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horzAnchor="page" w:tblpXSpec="center" w:tblpY="2310"/>
        <w:tblOverlap w:val="never"/>
        <w:tblW w:w="0" w:type="auto"/>
        <w:jc w:val="center"/>
        <w:tblLayout w:type="autofit"/>
        <w:tblCellMar>
          <w:top w:w="0" w:type="dxa"/>
          <w:left w:w="108" w:type="dxa"/>
          <w:bottom w:w="0" w:type="dxa"/>
          <w:right w:w="108" w:type="dxa"/>
        </w:tblCellMar>
      </w:tblPr>
      <w:tblGrid>
        <w:gridCol w:w="8355"/>
      </w:tblGrid>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ind w:right="-720"/>
              <w:jc w:val="both"/>
              <w:rPr>
                <w:bCs/>
                <w:color w:val="auto"/>
                <w:highlight w:val="none"/>
              </w:rPr>
            </w:pPr>
          </w:p>
        </w:tc>
      </w:tr>
      <w:tr>
        <w:tblPrEx>
          <w:tblCellMar>
            <w:top w:w="0" w:type="dxa"/>
            <w:left w:w="108" w:type="dxa"/>
            <w:bottom w:w="0" w:type="dxa"/>
            <w:right w:w="108" w:type="dxa"/>
          </w:tblCellMar>
        </w:tblPrEx>
        <w:trPr>
          <w:cantSplit/>
          <w:trHeight w:val="850" w:hRule="exact"/>
          <w:jc w:val="center"/>
        </w:trPr>
        <w:tc>
          <w:tcPr>
            <w:tcW w:w="8355" w:type="dxa"/>
            <w:shd w:val="clear" w:color="auto" w:fill="auto"/>
            <w:vAlign w:val="center"/>
          </w:tcPr>
          <w:p>
            <w:pPr>
              <w:jc w:val="center"/>
              <w:rPr>
                <w:rFonts w:ascii="黑体" w:hAnsi="黑体" w:eastAsia="黑体"/>
                <w:bCs/>
                <w:color w:val="auto"/>
                <w:sz w:val="44"/>
                <w:szCs w:val="44"/>
                <w:highlight w:val="none"/>
              </w:rPr>
            </w:pPr>
            <w:r>
              <w:rPr>
                <w:rFonts w:hint="eastAsia" w:ascii="黑体" w:hAnsi="黑体" w:eastAsia="黑体"/>
                <w:bCs/>
                <w:color w:val="auto"/>
                <w:sz w:val="44"/>
                <w:szCs w:val="44"/>
                <w:highlight w:val="none"/>
              </w:rPr>
              <w:t>龙馨家园项目集中商业3层装修改造工程</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djustRightInd w:val="0"/>
              <w:spacing w:line="360" w:lineRule="auto"/>
              <w:jc w:val="center"/>
              <w:rPr>
                <w:rFonts w:ascii="Times New Roman" w:hAnsi="Times New Roman" w:cs="Times New Roman"/>
                <w:color w:val="auto"/>
                <w:sz w:val="44"/>
                <w:szCs w:val="44"/>
                <w:highlight w:val="none"/>
              </w:rPr>
            </w:pPr>
            <w:r>
              <w:rPr>
                <w:rFonts w:hint="eastAsia" w:ascii="黑体" w:hAnsi="黑体" w:eastAsia="黑体" w:cs="黑体"/>
                <w:color w:val="auto"/>
                <w:sz w:val="44"/>
                <w:szCs w:val="44"/>
                <w:highlight w:val="none"/>
              </w:rPr>
              <w:t>施工合同</w:t>
            </w:r>
          </w:p>
          <w:p>
            <w:pPr>
              <w:jc w:val="center"/>
              <w:rPr>
                <w:rFonts w:ascii="黑体" w:hAnsi="黑体" w:eastAsia="黑体"/>
                <w:bCs/>
                <w:color w:val="auto"/>
                <w:sz w:val="44"/>
                <w:szCs w:val="44"/>
                <w:highlight w:val="none"/>
              </w:rPr>
            </w:pP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spacing w:line="480" w:lineRule="auto"/>
              <w:rPr>
                <w:color w:val="auto"/>
                <w:highlight w:val="none"/>
              </w:rPr>
            </w:pPr>
          </w:p>
          <w:p>
            <w:pPr>
              <w:autoSpaceDE w:val="0"/>
              <w:autoSpaceDN w:val="0"/>
              <w:adjustRightInd w:val="0"/>
              <w:ind w:firstLine="880" w:firstLineChars="200"/>
              <w:textAlignment w:val="baseline"/>
              <w:outlineLvl w:val="0"/>
              <w:rPr>
                <w:rFonts w:ascii="黑体" w:hAnsi="黑体" w:eastAsia="黑体"/>
                <w:bCs/>
                <w:color w:val="auto"/>
                <w:sz w:val="44"/>
                <w:szCs w:val="44"/>
                <w:highlight w:val="none"/>
              </w:rPr>
            </w:pPr>
          </w:p>
        </w:tc>
      </w:tr>
      <w:tr>
        <w:tblPrEx>
          <w:tblCellMar>
            <w:top w:w="0" w:type="dxa"/>
            <w:left w:w="108" w:type="dxa"/>
            <w:bottom w:w="0" w:type="dxa"/>
            <w:right w:w="108" w:type="dxa"/>
          </w:tblCellMar>
        </w:tblPrEx>
        <w:trPr>
          <w:trHeight w:val="3356" w:hRule="atLeast"/>
          <w:jc w:val="center"/>
        </w:trPr>
        <w:tc>
          <w:tcPr>
            <w:tcW w:w="8355" w:type="dxa"/>
            <w:shd w:val="clear" w:color="auto" w:fill="auto"/>
            <w:vAlign w:val="center"/>
          </w:tcPr>
          <w:p>
            <w:pPr>
              <w:spacing w:line="480" w:lineRule="auto"/>
              <w:jc w:val="center"/>
              <w:rPr>
                <w:b/>
                <w:color w:val="auto"/>
                <w:sz w:val="30"/>
                <w:szCs w:val="30"/>
                <w:highlight w:val="none"/>
              </w:rPr>
            </w:pPr>
            <w:r>
              <w:rPr>
                <w:rFonts w:hint="eastAsia"/>
                <w:b/>
                <w:color w:val="auto"/>
                <w:sz w:val="30"/>
                <w:szCs w:val="30"/>
                <w:highlight w:val="none"/>
              </w:rPr>
              <w:t>合同编号：</w:t>
            </w:r>
          </w:p>
          <w:p>
            <w:pPr>
              <w:spacing w:line="360" w:lineRule="auto"/>
              <w:outlineLvl w:val="0"/>
              <w:rPr>
                <w:rFonts w:ascii="黑体" w:hAnsi="黑体" w:eastAsia="黑体"/>
                <w:bCs/>
                <w:color w:val="auto"/>
                <w:sz w:val="28"/>
                <w:szCs w:val="28"/>
                <w:highlight w:val="none"/>
              </w:rPr>
            </w:pPr>
          </w:p>
        </w:tc>
      </w:tr>
      <w:tr>
        <w:tblPrEx>
          <w:tblCellMar>
            <w:top w:w="0" w:type="dxa"/>
            <w:left w:w="108" w:type="dxa"/>
            <w:bottom w:w="0" w:type="dxa"/>
            <w:right w:w="108" w:type="dxa"/>
          </w:tblCellMar>
        </w:tblPrEx>
        <w:trPr>
          <w:trHeight w:val="1561" w:hRule="exact"/>
          <w:jc w:val="center"/>
        </w:trPr>
        <w:tc>
          <w:tcPr>
            <w:tcW w:w="8355" w:type="dxa"/>
            <w:shd w:val="clear" w:color="auto" w:fill="auto"/>
            <w:vAlign w:val="center"/>
          </w:tcPr>
          <w:p>
            <w:pPr>
              <w:spacing w:line="360" w:lineRule="auto"/>
              <w:ind w:left="2560" w:hanging="2560" w:hangingChars="800"/>
              <w:rPr>
                <w:rFonts w:ascii="黑体" w:hAnsi="黑体" w:eastAsia="黑体" w:cs="黑体"/>
                <w:bCs/>
                <w:color w:val="auto"/>
                <w:sz w:val="32"/>
                <w:szCs w:val="32"/>
                <w:highlight w:val="none"/>
              </w:rPr>
            </w:pPr>
            <w:r>
              <w:rPr>
                <w:rFonts w:hint="eastAsia" w:ascii="黑体" w:hAnsi="黑体" w:eastAsia="黑体" w:cs="黑体"/>
                <w:color w:val="auto"/>
                <w:sz w:val="32"/>
                <w:szCs w:val="32"/>
                <w:highlight w:val="none"/>
              </w:rPr>
              <w:t>工 程 名 称：</w:t>
            </w:r>
            <w:r>
              <w:rPr>
                <w:rFonts w:hint="eastAsia" w:ascii="黑体" w:hAnsi="黑体" w:eastAsia="黑体" w:cs="黑体"/>
                <w:color w:val="auto"/>
                <w:sz w:val="32"/>
                <w:szCs w:val="32"/>
                <w:highlight w:val="none"/>
                <w:u w:val="single"/>
              </w:rPr>
              <w:t>龙馨家园项目集中商业3层装修改造工程</w:t>
            </w:r>
          </w:p>
        </w:tc>
      </w:tr>
      <w:tr>
        <w:tblPrEx>
          <w:tblCellMar>
            <w:top w:w="0" w:type="dxa"/>
            <w:left w:w="108" w:type="dxa"/>
            <w:bottom w:w="0" w:type="dxa"/>
            <w:right w:w="108" w:type="dxa"/>
          </w:tblCellMar>
        </w:tblPrEx>
        <w:trPr>
          <w:trHeight w:val="1449" w:hRule="exact"/>
          <w:jc w:val="center"/>
        </w:trPr>
        <w:tc>
          <w:tcPr>
            <w:tcW w:w="8355" w:type="dxa"/>
            <w:shd w:val="clear" w:color="auto" w:fill="auto"/>
            <w:vAlign w:val="center"/>
          </w:tcPr>
          <w:p>
            <w:pPr>
              <w:spacing w:line="360" w:lineRule="auto"/>
              <w:ind w:left="2560" w:hanging="2560" w:hangingChars="800"/>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发包人（全称）：</w:t>
            </w:r>
            <w:r>
              <w:rPr>
                <w:rFonts w:hint="eastAsia" w:ascii="黑体" w:hAnsi="黑体" w:eastAsia="黑体" w:cs="黑体"/>
                <w:color w:val="auto"/>
                <w:sz w:val="32"/>
                <w:szCs w:val="32"/>
                <w:highlight w:val="none"/>
                <w:u w:val="single"/>
              </w:rPr>
              <w:t>深圳市龙华高新技术产业园区</w:t>
            </w:r>
          </w:p>
          <w:p>
            <w:pPr>
              <w:spacing w:line="360" w:lineRule="auto"/>
              <w:ind w:left="2554" w:leftChars="1064" w:firstLine="640" w:firstLineChars="200"/>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u w:val="single"/>
              </w:rPr>
              <w:t>开发投资有限公司</w:t>
            </w:r>
          </w:p>
          <w:p>
            <w:pPr>
              <w:spacing w:line="360" w:lineRule="auto"/>
              <w:ind w:left="2560" w:hanging="2560" w:hangingChars="800"/>
              <w:rPr>
                <w:rFonts w:ascii="黑体" w:hAnsi="黑体" w:eastAsia="黑体" w:cs="黑体"/>
                <w:color w:val="auto"/>
                <w:sz w:val="32"/>
                <w:szCs w:val="32"/>
                <w:highlight w:val="none"/>
                <w:u w:val="single"/>
              </w:rPr>
            </w:pPr>
          </w:p>
        </w:tc>
      </w:tr>
      <w:tr>
        <w:tblPrEx>
          <w:tblCellMar>
            <w:top w:w="0" w:type="dxa"/>
            <w:left w:w="108" w:type="dxa"/>
            <w:bottom w:w="0" w:type="dxa"/>
            <w:right w:w="108" w:type="dxa"/>
          </w:tblCellMar>
        </w:tblPrEx>
        <w:trPr>
          <w:trHeight w:val="1072" w:hRule="exact"/>
          <w:jc w:val="center"/>
        </w:trPr>
        <w:tc>
          <w:tcPr>
            <w:tcW w:w="8355" w:type="dxa"/>
            <w:shd w:val="clear" w:color="auto" w:fill="auto"/>
            <w:vAlign w:val="center"/>
          </w:tcPr>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承包人（全称）：</w:t>
            </w:r>
            <w:r>
              <w:rPr>
                <w:rFonts w:hint="eastAsia" w:ascii="黑体" w:hAnsi="黑体" w:eastAsia="黑体" w:cs="黑体"/>
                <w:color w:val="auto"/>
                <w:sz w:val="32"/>
                <w:szCs w:val="32"/>
                <w:highlight w:val="none"/>
                <w:u w:val="single"/>
              </w:rPr>
              <w:t xml:space="preserve">                  </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utoSpaceDE w:val="0"/>
              <w:autoSpaceDN w:val="0"/>
              <w:adjustRightInd w:val="0"/>
              <w:textAlignment w:val="baseline"/>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签 订 日 期：       2025 年   月    日</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utoSpaceDE w:val="0"/>
              <w:autoSpaceDN w:val="0"/>
              <w:adjustRightInd w:val="0"/>
              <w:textAlignment w:val="baseline"/>
              <w:rPr>
                <w:rFonts w:ascii="黑体" w:hAnsi="黑体" w:eastAsia="黑体" w:cs="黑体"/>
                <w:color w:val="auto"/>
                <w:sz w:val="30"/>
                <w:szCs w:val="30"/>
                <w:highlight w:val="none"/>
              </w:rPr>
            </w:pPr>
          </w:p>
        </w:tc>
      </w:tr>
    </w:tbl>
    <w:p>
      <w:pPr>
        <w:spacing w:line="360" w:lineRule="auto"/>
        <w:jc w:val="center"/>
        <w:rPr>
          <w:rFonts w:ascii="黑体" w:eastAsia="黑体"/>
          <w:b/>
          <w:bCs/>
          <w:color w:val="auto"/>
          <w:sz w:val="44"/>
          <w:highlight w:val="none"/>
        </w:rPr>
        <w:sectPr>
          <w:headerReference r:id="rId3" w:type="default"/>
          <w:footerReference r:id="rId4" w:type="default"/>
          <w:pgSz w:w="11910" w:h="16840"/>
          <w:pgMar w:top="1440" w:right="1134" w:bottom="1440" w:left="1134" w:header="808" w:footer="720" w:gutter="0"/>
          <w:pgNumType w:fmt="numberInDash"/>
          <w:cols w:space="720" w:num="1"/>
        </w:sectPr>
      </w:pPr>
    </w:p>
    <w:p>
      <w:pPr>
        <w:spacing w:line="360" w:lineRule="auto"/>
        <w:jc w:val="center"/>
        <w:outlineLvl w:val="1"/>
        <w:rPr>
          <w:rFonts w:ascii="黑体" w:hAnsi="黑体" w:eastAsia="黑体"/>
          <w:color w:val="auto"/>
          <w:sz w:val="32"/>
          <w:highlight w:val="none"/>
        </w:rPr>
      </w:pPr>
      <w:r>
        <w:rPr>
          <w:rFonts w:hint="eastAsia" w:ascii="黑体" w:hAnsi="黑体" w:eastAsia="黑体"/>
          <w:color w:val="auto"/>
          <w:sz w:val="32"/>
          <w:highlight w:val="none"/>
        </w:rPr>
        <w:t>第一部分  协议书</w:t>
      </w:r>
    </w:p>
    <w:p>
      <w:pPr>
        <w:widowControl w:val="0"/>
        <w:spacing w:line="360" w:lineRule="auto"/>
        <w:ind w:firstLine="519"/>
        <w:jc w:val="both"/>
        <w:rPr>
          <w:b/>
          <w:bCs/>
          <w:color w:val="auto"/>
          <w:kern w:val="2"/>
          <w:szCs w:val="22"/>
          <w:highlight w:val="none"/>
        </w:rPr>
      </w:pPr>
      <w:r>
        <w:rPr>
          <w:rFonts w:hint="eastAsia"/>
          <w:b/>
          <w:bCs/>
          <w:color w:val="auto"/>
          <w:kern w:val="2"/>
          <w:szCs w:val="22"/>
          <w:highlight w:val="none"/>
        </w:rPr>
        <w:t>发包人</w:t>
      </w:r>
      <w:r>
        <w:rPr>
          <w:rFonts w:hint="eastAsia"/>
          <w:bCs/>
          <w:color w:val="auto"/>
          <w:kern w:val="2"/>
          <w:szCs w:val="22"/>
          <w:highlight w:val="none"/>
        </w:rPr>
        <w:t>(甲方)：</w:t>
      </w:r>
      <w:r>
        <w:rPr>
          <w:rFonts w:hint="eastAsia"/>
          <w:color w:val="auto"/>
          <w:kern w:val="2"/>
          <w:szCs w:val="22"/>
          <w:highlight w:val="none"/>
          <w:u w:val="single"/>
        </w:rPr>
        <w:t>深圳市龙华高新技术产业园区开发投资有限公司</w:t>
      </w:r>
    </w:p>
    <w:p>
      <w:pPr>
        <w:widowControl w:val="0"/>
        <w:spacing w:line="360" w:lineRule="auto"/>
        <w:ind w:firstLine="519"/>
        <w:jc w:val="both"/>
        <w:rPr>
          <w:b/>
          <w:bCs/>
          <w:color w:val="auto"/>
          <w:kern w:val="2"/>
          <w:szCs w:val="22"/>
          <w:highlight w:val="none"/>
        </w:rPr>
      </w:pPr>
      <w:r>
        <w:rPr>
          <w:rFonts w:hint="eastAsia"/>
          <w:b/>
          <w:bCs/>
          <w:color w:val="auto"/>
          <w:kern w:val="2"/>
          <w:szCs w:val="22"/>
          <w:highlight w:val="none"/>
        </w:rPr>
        <w:t>承包人</w:t>
      </w:r>
      <w:r>
        <w:rPr>
          <w:rFonts w:hint="eastAsia"/>
          <w:bCs/>
          <w:color w:val="auto"/>
          <w:kern w:val="2"/>
          <w:szCs w:val="22"/>
          <w:highlight w:val="none"/>
        </w:rPr>
        <w:t>(乙方)</w:t>
      </w:r>
      <w:r>
        <w:rPr>
          <w:rFonts w:hint="eastAsia"/>
          <w:b/>
          <w:bCs/>
          <w:color w:val="auto"/>
          <w:kern w:val="2"/>
          <w:szCs w:val="22"/>
          <w:highlight w:val="none"/>
        </w:rPr>
        <w:t>：</w:t>
      </w:r>
      <w:r>
        <w:rPr>
          <w:rFonts w:hint="eastAsia"/>
          <w:color w:val="auto"/>
          <w:kern w:val="2"/>
          <w:szCs w:val="22"/>
          <w:highlight w:val="none"/>
          <w:u w:val="single"/>
        </w:rPr>
        <w:t>*****</w:t>
      </w:r>
    </w:p>
    <w:p>
      <w:pPr>
        <w:widowControl w:val="0"/>
        <w:spacing w:line="360" w:lineRule="auto"/>
        <w:ind w:firstLine="480"/>
        <w:jc w:val="both"/>
        <w:rPr>
          <w:color w:val="auto"/>
          <w:kern w:val="2"/>
          <w:szCs w:val="22"/>
          <w:highlight w:val="none"/>
        </w:rPr>
      </w:pPr>
      <w:r>
        <w:rPr>
          <w:rFonts w:hint="eastAsia"/>
          <w:color w:val="auto"/>
          <w:kern w:val="2"/>
          <w:szCs w:val="22"/>
          <w:highlight w:val="none"/>
        </w:rPr>
        <w:t>根据《中华人民共和国民法典》、《中华人民共和国建筑法》、《深圳经济特区建设工程施工招标投标条例》及其他有关法律、法规，并结合广东省、深圳市、龙华区的有关规定，遵循平等、自愿、公平和诚实信用的原则，发包人和承包人就本工程施工事项协商一致，订立本合同，达成协议如下：</w:t>
      </w:r>
    </w:p>
    <w:p>
      <w:pPr>
        <w:spacing w:before="120" w:beforeLines="50" w:after="120" w:afterLines="50"/>
        <w:outlineLvl w:val="0"/>
        <w:rPr>
          <w:b/>
          <w:bCs/>
          <w:snapToGrid w:val="0"/>
          <w:color w:val="auto"/>
          <w:sz w:val="30"/>
          <w:szCs w:val="44"/>
          <w:highlight w:val="none"/>
          <w:lang w:val="zh-CN"/>
        </w:rPr>
      </w:pPr>
      <w:bookmarkStart w:id="0" w:name="_Toc20779"/>
      <w:bookmarkStart w:id="1" w:name="_Toc67418464"/>
      <w:bookmarkStart w:id="2" w:name="_Toc302635678"/>
      <w:r>
        <w:rPr>
          <w:rFonts w:hint="eastAsia"/>
          <w:b/>
          <w:bCs/>
          <w:snapToGrid w:val="0"/>
          <w:color w:val="auto"/>
          <w:sz w:val="30"/>
          <w:szCs w:val="44"/>
          <w:highlight w:val="none"/>
          <w:lang w:val="zh-CN"/>
        </w:rPr>
        <w:t>一、工程概况</w:t>
      </w:r>
      <w:bookmarkEnd w:id="0"/>
      <w:bookmarkEnd w:id="1"/>
      <w:bookmarkEnd w:id="2"/>
    </w:p>
    <w:p>
      <w:pPr>
        <w:widowControl w:val="0"/>
        <w:spacing w:line="360" w:lineRule="auto"/>
        <w:ind w:firstLine="480"/>
        <w:jc w:val="both"/>
        <w:rPr>
          <w:color w:val="auto"/>
          <w:kern w:val="2"/>
          <w:szCs w:val="22"/>
          <w:highlight w:val="none"/>
          <w:u w:val="single"/>
        </w:rPr>
      </w:pPr>
      <w:r>
        <w:rPr>
          <w:rFonts w:hint="eastAsia"/>
          <w:color w:val="auto"/>
          <w:kern w:val="2"/>
          <w:szCs w:val="22"/>
          <w:highlight w:val="none"/>
        </w:rPr>
        <w:t>1.工程名称：</w:t>
      </w:r>
      <w:r>
        <w:rPr>
          <w:rFonts w:hint="eastAsia"/>
          <w:color w:val="auto"/>
          <w:kern w:val="2"/>
          <w:szCs w:val="22"/>
          <w:highlight w:val="none"/>
          <w:u w:val="single"/>
        </w:rPr>
        <w:t>龙馨家园项目集中商业3层装修改造工程</w:t>
      </w:r>
    </w:p>
    <w:p>
      <w:pPr>
        <w:widowControl w:val="0"/>
        <w:spacing w:line="360" w:lineRule="auto"/>
        <w:ind w:firstLine="480"/>
        <w:jc w:val="both"/>
        <w:rPr>
          <w:color w:val="auto"/>
          <w:kern w:val="2"/>
          <w:szCs w:val="22"/>
          <w:highlight w:val="none"/>
          <w:u w:val="single"/>
        </w:rPr>
      </w:pPr>
      <w:r>
        <w:rPr>
          <w:rFonts w:hint="eastAsia"/>
          <w:color w:val="auto"/>
          <w:kern w:val="2"/>
          <w:szCs w:val="22"/>
          <w:highlight w:val="none"/>
        </w:rPr>
        <w:t>2.工程地点：</w:t>
      </w:r>
      <w:r>
        <w:rPr>
          <w:rFonts w:hint="eastAsia"/>
          <w:color w:val="auto"/>
          <w:kern w:val="2"/>
          <w:szCs w:val="22"/>
          <w:highlight w:val="none"/>
          <w:u w:val="single"/>
        </w:rPr>
        <w:t>深圳市龙华区观湖街道观乐路与观盛三路交汇处</w:t>
      </w:r>
    </w:p>
    <w:p>
      <w:pPr>
        <w:widowControl w:val="0"/>
        <w:spacing w:line="360" w:lineRule="auto"/>
        <w:ind w:firstLine="480"/>
        <w:jc w:val="both"/>
        <w:rPr>
          <w:color w:val="auto"/>
          <w:kern w:val="2"/>
          <w:szCs w:val="22"/>
          <w:highlight w:val="none"/>
          <w:u w:val="single"/>
        </w:rPr>
      </w:pPr>
      <w:r>
        <w:rPr>
          <w:rFonts w:hint="eastAsia"/>
          <w:color w:val="auto"/>
          <w:kern w:val="2"/>
          <w:szCs w:val="22"/>
          <w:highlight w:val="none"/>
        </w:rPr>
        <w:t>3.工程规模及特征：</w:t>
      </w:r>
      <w:r>
        <w:rPr>
          <w:rFonts w:hint="eastAsia"/>
          <w:color w:val="auto"/>
          <w:kern w:val="2"/>
          <w:szCs w:val="22"/>
          <w:highlight w:val="none"/>
          <w:u w:val="single"/>
        </w:rPr>
        <w:t>龙馨家园A座第3层建筑面积约774平方米，需通过增设幕墙对该层进行封闭，满足后期使用需求，并对</w:t>
      </w:r>
      <w:r>
        <w:rPr>
          <w:rFonts w:hint="eastAsia"/>
          <w:color w:val="auto"/>
          <w:kern w:val="2"/>
          <w:szCs w:val="22"/>
          <w:highlight w:val="none"/>
          <w:u w:val="single"/>
          <w:lang w:val="en-US" w:eastAsia="zh-CN"/>
        </w:rPr>
        <w:t>第</w:t>
      </w:r>
      <w:r>
        <w:rPr>
          <w:rFonts w:hint="eastAsia"/>
          <w:color w:val="auto"/>
          <w:kern w:val="2"/>
          <w:szCs w:val="22"/>
          <w:highlight w:val="none"/>
          <w:u w:val="single"/>
        </w:rPr>
        <w:t>3层整体进行精装修；对龙馨家园A座第17层成本合约部东侧墙体进行移位，增加其室内办公面积，满足其部门办公需求；对龙馨家园A座第18层的淋浴间地面进行找坡改造，使其地面积水能够顺畅流排。</w:t>
      </w:r>
    </w:p>
    <w:p>
      <w:pPr>
        <w:widowControl w:val="0"/>
        <w:spacing w:line="360" w:lineRule="auto"/>
        <w:ind w:firstLine="480"/>
        <w:jc w:val="both"/>
        <w:rPr>
          <w:color w:val="auto"/>
          <w:kern w:val="2"/>
          <w:szCs w:val="22"/>
          <w:highlight w:val="none"/>
        </w:rPr>
      </w:pPr>
      <w:r>
        <w:rPr>
          <w:rFonts w:hint="eastAsia"/>
          <w:color w:val="auto"/>
          <w:kern w:val="2"/>
          <w:szCs w:val="22"/>
          <w:highlight w:val="none"/>
        </w:rPr>
        <w:t>4.资金来源：财政投入</w:t>
      </w:r>
      <w:r>
        <w:rPr>
          <w:rFonts w:hint="eastAsia"/>
          <w:color w:val="auto"/>
          <w:kern w:val="2"/>
          <w:szCs w:val="22"/>
          <w:highlight w:val="none"/>
          <w:u w:val="single"/>
        </w:rPr>
        <w:t xml:space="preserve">     </w:t>
      </w:r>
      <w:r>
        <w:rPr>
          <w:rFonts w:hint="eastAsia"/>
          <w:color w:val="auto"/>
          <w:kern w:val="2"/>
          <w:szCs w:val="22"/>
          <w:highlight w:val="none"/>
        </w:rPr>
        <w:t>%；国有资本</w:t>
      </w:r>
      <w:r>
        <w:rPr>
          <w:rFonts w:hint="eastAsia"/>
          <w:color w:val="auto"/>
          <w:kern w:val="2"/>
          <w:szCs w:val="22"/>
          <w:highlight w:val="none"/>
          <w:u w:val="single"/>
        </w:rPr>
        <w:t>100</w:t>
      </w:r>
      <w:r>
        <w:rPr>
          <w:rFonts w:hint="eastAsia"/>
          <w:color w:val="auto"/>
          <w:kern w:val="2"/>
          <w:szCs w:val="22"/>
          <w:highlight w:val="none"/>
        </w:rPr>
        <w:t>%；集体资本</w:t>
      </w:r>
      <w:r>
        <w:rPr>
          <w:rFonts w:hint="eastAsia"/>
          <w:color w:val="auto"/>
          <w:kern w:val="2"/>
          <w:szCs w:val="22"/>
          <w:highlight w:val="none"/>
          <w:u w:val="single"/>
        </w:rPr>
        <w:t xml:space="preserve">    </w:t>
      </w:r>
      <w:r>
        <w:rPr>
          <w:rFonts w:hint="eastAsia"/>
          <w:color w:val="auto"/>
          <w:kern w:val="2"/>
          <w:szCs w:val="22"/>
          <w:highlight w:val="none"/>
        </w:rPr>
        <w:t>%；民营资本</w:t>
      </w:r>
      <w:r>
        <w:rPr>
          <w:rFonts w:hint="eastAsia"/>
          <w:color w:val="auto"/>
          <w:kern w:val="2"/>
          <w:szCs w:val="22"/>
          <w:highlight w:val="none"/>
          <w:u w:val="single"/>
        </w:rPr>
        <w:t xml:space="preserve">    </w:t>
      </w:r>
      <w:r>
        <w:rPr>
          <w:rFonts w:hint="eastAsia"/>
          <w:color w:val="auto"/>
          <w:kern w:val="2"/>
          <w:szCs w:val="22"/>
          <w:highlight w:val="none"/>
        </w:rPr>
        <w:t>%；外商投资</w:t>
      </w:r>
      <w:r>
        <w:rPr>
          <w:rFonts w:hint="eastAsia"/>
          <w:color w:val="auto"/>
          <w:kern w:val="2"/>
          <w:szCs w:val="22"/>
          <w:highlight w:val="none"/>
          <w:u w:val="single"/>
        </w:rPr>
        <w:t xml:space="preserve">    </w:t>
      </w:r>
      <w:r>
        <w:rPr>
          <w:rFonts w:hint="eastAsia"/>
          <w:color w:val="auto"/>
          <w:kern w:val="2"/>
          <w:szCs w:val="22"/>
          <w:highlight w:val="none"/>
        </w:rPr>
        <w:t>%；混合经济</w:t>
      </w:r>
      <w:r>
        <w:rPr>
          <w:rFonts w:hint="eastAsia"/>
          <w:color w:val="auto"/>
          <w:kern w:val="2"/>
          <w:szCs w:val="22"/>
          <w:highlight w:val="none"/>
          <w:u w:val="single"/>
        </w:rPr>
        <w:t xml:space="preserve">     </w:t>
      </w:r>
      <w:r>
        <w:rPr>
          <w:rFonts w:hint="eastAsia"/>
          <w:color w:val="auto"/>
          <w:kern w:val="2"/>
          <w:szCs w:val="22"/>
          <w:highlight w:val="none"/>
        </w:rPr>
        <w:t>%； 其他</w:t>
      </w:r>
      <w:r>
        <w:rPr>
          <w:rFonts w:hint="eastAsia"/>
          <w:color w:val="auto"/>
          <w:kern w:val="2"/>
          <w:szCs w:val="22"/>
          <w:highlight w:val="none"/>
          <w:u w:val="single"/>
        </w:rPr>
        <w:t xml:space="preserve">     </w:t>
      </w:r>
      <w:r>
        <w:rPr>
          <w:rFonts w:hint="eastAsia"/>
          <w:color w:val="auto"/>
          <w:kern w:val="2"/>
          <w:szCs w:val="22"/>
          <w:highlight w:val="none"/>
        </w:rPr>
        <w:t>%。</w:t>
      </w:r>
    </w:p>
    <w:p>
      <w:pPr>
        <w:spacing w:before="120" w:beforeLines="50" w:after="120" w:afterLines="50"/>
        <w:outlineLvl w:val="0"/>
        <w:rPr>
          <w:b/>
          <w:bCs/>
          <w:snapToGrid w:val="0"/>
          <w:color w:val="auto"/>
          <w:sz w:val="30"/>
          <w:szCs w:val="44"/>
          <w:highlight w:val="none"/>
          <w:lang w:val="zh-CN"/>
        </w:rPr>
      </w:pPr>
      <w:bookmarkStart w:id="3" w:name="_Toc67418465"/>
      <w:bookmarkStart w:id="4" w:name="_Toc3337"/>
      <w:bookmarkStart w:id="5" w:name="_Toc302635679"/>
      <w:r>
        <w:rPr>
          <w:rFonts w:hint="eastAsia"/>
          <w:b/>
          <w:bCs/>
          <w:snapToGrid w:val="0"/>
          <w:color w:val="auto"/>
          <w:sz w:val="30"/>
          <w:szCs w:val="44"/>
          <w:highlight w:val="none"/>
          <w:lang w:val="zh-CN"/>
        </w:rPr>
        <w:t>二、工程承包范围</w:t>
      </w:r>
      <w:bookmarkEnd w:id="3"/>
      <w:bookmarkEnd w:id="4"/>
      <w:bookmarkEnd w:id="5"/>
    </w:p>
    <w:p>
      <w:pPr>
        <w:widowControl w:val="0"/>
        <w:spacing w:before="48" w:beforeLines="20" w:after="48" w:afterLines="20" w:line="360" w:lineRule="auto"/>
        <w:ind w:firstLine="480" w:firstLineChars="200"/>
        <w:jc w:val="both"/>
        <w:rPr>
          <w:color w:val="auto"/>
          <w:kern w:val="2"/>
          <w:highlight w:val="none"/>
        </w:rPr>
      </w:pPr>
      <w:r>
        <w:rPr>
          <w:rFonts w:hint="eastAsia"/>
          <w:color w:val="auto"/>
          <w:kern w:val="2"/>
          <w:szCs w:val="22"/>
          <w:highlight w:val="none"/>
          <w:u w:val="single"/>
        </w:rPr>
        <w:t>幕墙工程（玻璃幕墙、金属幕墙、埋件、栏杆、铝板、雨棚、玻璃门及相关配件等的施工及施工图深化设计）、分隔空间、地面、墙面/天棚、门窗安装，强电工程、弱电工程、智能化工程、给排水工程、消防工程、通风空调工程、建筑节能、拆改工程、完成本项目验收移交所需的全部监测及检测、与办公设备和软装陈设等配合工作、常规材料及所有的开孔和装饰面收边收口工作、成品保护、清洁卫生、建渣清运出场等。具体范围以施工图纸和工程量清单为准。</w:t>
      </w:r>
    </w:p>
    <w:p>
      <w:pPr>
        <w:widowControl w:val="0"/>
        <w:numPr>
          <w:ilvl w:val="255"/>
          <w:numId w:val="0"/>
        </w:numPr>
        <w:spacing w:line="360" w:lineRule="auto"/>
        <w:ind w:firstLine="480" w:firstLineChars="200"/>
        <w:rPr>
          <w:color w:val="auto"/>
          <w:kern w:val="2"/>
          <w:highlight w:val="none"/>
        </w:rPr>
      </w:pPr>
      <w:r>
        <w:rPr>
          <w:rFonts w:hint="eastAsia"/>
          <w:color w:val="auto"/>
          <w:kern w:val="2"/>
          <w:highlight w:val="none"/>
        </w:rPr>
        <w:t>承包人不能拒绝执行为完成本项工程而需执行的可能遗漏的工程项目。发包人有权力根据需要进行调整，承包人须无条件接受发包人提出的变更要求，并按要求调整施工范围及内容。</w:t>
      </w:r>
    </w:p>
    <w:p>
      <w:pPr>
        <w:widowControl w:val="0"/>
        <w:spacing w:before="48" w:beforeLines="20" w:after="48" w:afterLines="20" w:line="360" w:lineRule="auto"/>
        <w:ind w:firstLine="482" w:firstLineChars="200"/>
        <w:jc w:val="both"/>
        <w:rPr>
          <w:b/>
          <w:color w:val="auto"/>
          <w:kern w:val="2"/>
          <w:szCs w:val="22"/>
          <w:highlight w:val="none"/>
        </w:rPr>
      </w:pPr>
      <w:r>
        <w:rPr>
          <w:rFonts w:hint="eastAsia"/>
          <w:b/>
          <w:color w:val="auto"/>
          <w:kern w:val="2"/>
          <w:szCs w:val="22"/>
          <w:highlight w:val="none"/>
        </w:rPr>
        <w:t>1.市政公用及配套专业工程、其他工程：</w:t>
      </w:r>
      <w:r>
        <w:rPr>
          <w:rFonts w:hint="eastAsia"/>
          <w:color w:val="auto"/>
          <w:kern w:val="2"/>
          <w:sz w:val="21"/>
          <w:szCs w:val="21"/>
          <w:highlight w:val="none"/>
        </w:rPr>
        <w:t>(在□内打√，并填写相应的工程量)</w:t>
      </w:r>
    </w:p>
    <w:tbl>
      <w:tblPr>
        <w:tblStyle w:val="1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□七通一平工程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□电信管道工程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color w:val="auto"/>
                <w:kern w:val="2"/>
                <w:sz w:val="22"/>
                <w:szCs w:val="22"/>
                <w:highlight w:val="none"/>
              </w:rPr>
            </w:pPr>
            <w:r>
              <w:rPr>
                <w:rFonts w:hint="eastAsia"/>
                <w:bCs/>
                <w:color w:val="auto"/>
                <w:kern w:val="2"/>
                <w:sz w:val="22"/>
                <w:szCs w:val="22"/>
                <w:highlight w:val="none"/>
              </w:rPr>
              <w:t>□挡墙护坡工程 长： 米； 宽： 米；高：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 xml:space="preserve">□电力管道工程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color w:val="auto"/>
                <w:kern w:val="2"/>
                <w:sz w:val="22"/>
                <w:szCs w:val="22"/>
                <w:highlight w:val="none"/>
              </w:rPr>
            </w:pPr>
            <w:r>
              <w:rPr>
                <w:rFonts w:hint="eastAsia"/>
                <w:bCs/>
                <w:color w:val="auto"/>
                <w:kern w:val="2"/>
                <w:sz w:val="22"/>
                <w:szCs w:val="22"/>
                <w:highlight w:val="none"/>
              </w:rPr>
              <w:t>□软基处理工程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□污水处理厂及配套工程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□水厂及配套工程              立方米/d</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□污泥处理厂及配套工程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□给水管道工程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□泵站工程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□道路工程   长：  米 宽：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□隧道工程  长：  米 宽：  米 高：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□桥梁工程           座</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□道路改造工程  长：  米   宽：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□排水箱涵工程  长：  米 宽：  米 高：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 xml:space="preserve">□路灯照明工程           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□交通监控、收费综合系统工程</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□绿化工程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□交通安全设施工程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hint="eastAsia"/>
                <w:bCs/>
                <w:color w:val="auto"/>
                <w:kern w:val="2"/>
                <w:sz w:val="22"/>
                <w:szCs w:val="22"/>
                <w:highlight w:val="none"/>
              </w:rPr>
              <w:t>□燃气工程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84"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hint="eastAsia"/>
                <w:bCs/>
                <w:color w:val="auto"/>
                <w:kern w:val="2"/>
                <w:sz w:val="22"/>
                <w:szCs w:val="22"/>
                <w:highlight w:val="none"/>
              </w:rPr>
              <w:t>□其它:</w:t>
            </w:r>
          </w:p>
        </w:tc>
      </w:tr>
    </w:tbl>
    <w:p>
      <w:pPr>
        <w:widowControl w:val="0"/>
        <w:spacing w:before="48" w:beforeLines="20" w:after="48" w:afterLines="20" w:line="360" w:lineRule="auto"/>
        <w:jc w:val="both"/>
        <w:rPr>
          <w:b/>
          <w:color w:val="auto"/>
          <w:kern w:val="2"/>
          <w:szCs w:val="22"/>
          <w:highlight w:val="none"/>
        </w:rPr>
      </w:pPr>
      <w:r>
        <w:rPr>
          <w:rFonts w:hint="eastAsia"/>
          <w:b/>
          <w:color w:val="auto"/>
          <w:kern w:val="2"/>
          <w:szCs w:val="22"/>
          <w:highlight w:val="none"/>
        </w:rPr>
        <w:t>2.房屋建筑及配套专业工程：</w:t>
      </w:r>
      <w:r>
        <w:rPr>
          <w:rFonts w:hint="eastAsia"/>
          <w:color w:val="auto"/>
          <w:kern w:val="2"/>
          <w:sz w:val="21"/>
          <w:szCs w:val="21"/>
          <w:highlight w:val="none"/>
        </w:rPr>
        <w:t>(在□内打√，并填写相应的工程量)</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0"/>
        <w:gridCol w:w="2532"/>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□地基与基础工程  （□基础  □基坑支护  □边坡  □土石方  □其它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□主体结构工程    （□钢筋混凝土 □钢结构 □</w:t>
            </w:r>
            <w:r>
              <w:rPr>
                <w:rFonts w:hint="eastAsia"/>
                <w:bCs/>
                <w:color w:val="auto"/>
                <w:spacing w:val="-20"/>
                <w:kern w:val="2"/>
                <w:sz w:val="22"/>
                <w:szCs w:val="22"/>
                <w:highlight w:val="none"/>
              </w:rPr>
              <w:t xml:space="preserve">网架  </w:t>
            </w:r>
            <w:r>
              <w:rPr>
                <w:rFonts w:hint="eastAsia"/>
                <w:bCs/>
                <w:color w:val="auto"/>
                <w:kern w:val="2"/>
                <w:sz w:val="22"/>
                <w:szCs w:val="22"/>
                <w:highlight w:val="none"/>
              </w:rPr>
              <w:t xml:space="preserve">□索膜结构 □其它 </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□装饰装修工程     （□金属门窗   □幕墙：   平方米  □其它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sym w:font="Wingdings 2" w:char="00A3"/>
            </w:r>
            <w:r>
              <w:rPr>
                <w:rFonts w:hint="eastAsia"/>
                <w:bCs/>
                <w:color w:val="auto"/>
                <w:kern w:val="2"/>
                <w:sz w:val="22"/>
                <w:szCs w:val="22"/>
                <w:highlight w:val="none"/>
              </w:rPr>
              <w:t>通风与空调       (</w:t>
            </w:r>
            <w:r>
              <w:rPr>
                <w:rFonts w:hint="eastAsia"/>
                <w:bCs/>
                <w:color w:val="auto"/>
                <w:kern w:val="2"/>
                <w:sz w:val="22"/>
                <w:szCs w:val="22"/>
                <w:highlight w:val="none"/>
              </w:rPr>
              <w:sym w:font="Wingdings 2" w:char="00A3"/>
            </w:r>
            <w:r>
              <w:rPr>
                <w:rFonts w:hint="eastAsia"/>
                <w:bCs/>
                <w:color w:val="auto"/>
                <w:kern w:val="2"/>
                <w:sz w:val="22"/>
                <w:szCs w:val="22"/>
                <w:highlight w:val="none"/>
              </w:rPr>
              <w:t>通风  □空调       □其它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ascii="Wingdings 2" w:hAnsi="Wingdings 2"/>
                <w:bCs/>
                <w:color w:val="auto"/>
                <w:kern w:val="2"/>
                <w:sz w:val="22"/>
                <w:szCs w:val="22"/>
                <w:highlight w:val="none"/>
              </w:rPr>
              <w:sym w:font="Wingdings 2" w:char="00A3"/>
            </w:r>
            <w:r>
              <w:rPr>
                <w:rFonts w:hint="eastAsia"/>
                <w:bCs/>
                <w:color w:val="auto"/>
                <w:spacing w:val="-20"/>
                <w:kern w:val="2"/>
                <w:sz w:val="22"/>
                <w:szCs w:val="22"/>
                <w:highlight w:val="none"/>
              </w:rPr>
              <w:t xml:space="preserve">建筑给水排水及供暖    </w:t>
            </w:r>
            <w:r>
              <w:rPr>
                <w:rFonts w:hint="eastAsia"/>
                <w:bCs/>
                <w:color w:val="auto"/>
                <w:kern w:val="2"/>
                <w:sz w:val="22"/>
                <w:szCs w:val="22"/>
                <w:highlight w:val="none"/>
              </w:rPr>
              <w:t>（</w:t>
            </w:r>
            <w:r>
              <w:rPr>
                <w:rFonts w:hint="eastAsia"/>
                <w:bCs/>
                <w:color w:val="auto"/>
                <w:kern w:val="2"/>
                <w:sz w:val="22"/>
                <w:szCs w:val="22"/>
                <w:highlight w:val="none"/>
              </w:rPr>
              <w:sym w:font="Wingdings 2" w:char="00A3"/>
            </w:r>
            <w:r>
              <w:rPr>
                <w:rFonts w:hint="eastAsia"/>
                <w:bCs/>
                <w:color w:val="auto"/>
                <w:kern w:val="2"/>
                <w:sz w:val="22"/>
                <w:szCs w:val="22"/>
                <w:highlight w:val="none"/>
              </w:rPr>
              <w:t xml:space="preserve">室内给、排水系统 </w:t>
            </w: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 xml:space="preserve"> 室外给、排水系统   □其它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color w:val="auto"/>
                <w:kern w:val="2"/>
                <w:sz w:val="22"/>
                <w:szCs w:val="22"/>
                <w:highlight w:val="none"/>
              </w:rPr>
            </w:pP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建筑电气工程     (</w:t>
            </w: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室外电气    □电气照明     □其它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auto"/>
                <w:kern w:val="2"/>
                <w:sz w:val="22"/>
                <w:szCs w:val="22"/>
                <w:highlight w:val="none"/>
              </w:rPr>
            </w:pPr>
            <w:r>
              <w:rPr>
                <w:rFonts w:hint="eastAsia"/>
                <w:bCs/>
                <w:color w:val="auto"/>
                <w:kern w:val="2"/>
                <w:sz w:val="22"/>
                <w:szCs w:val="22"/>
                <w:highlight w:val="none"/>
              </w:rPr>
              <w:t>□智能建筑</w:t>
            </w:r>
          </w:p>
        </w:tc>
        <w:tc>
          <w:tcPr>
            <w:tcW w:w="6291"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hint="eastAsia"/>
                <w:bCs/>
                <w:color w:val="auto"/>
                <w:kern w:val="2"/>
                <w:sz w:val="22"/>
                <w:szCs w:val="22"/>
                <w:highlight w:val="none"/>
              </w:rPr>
              <w:t>(□综合布线系统  □信息网络系统     □其它</w:t>
            </w:r>
            <w:r>
              <w:rPr>
                <w:rFonts w:hint="eastAsia"/>
                <w:color w:val="auto"/>
                <w:kern w:val="2"/>
                <w:sz w:val="22"/>
                <w:szCs w:val="22"/>
                <w:highlight w:val="none"/>
                <w:u w:val="single"/>
              </w:rPr>
              <w:t xml:space="preserve">         </w:t>
            </w:r>
            <w:r>
              <w:rPr>
                <w:rFonts w:hint="eastAsia"/>
                <w:bCs/>
                <w:color w:val="auto"/>
                <w:kern w:val="2"/>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hint="eastAsia"/>
                <w:bCs/>
                <w:color w:val="auto"/>
                <w:kern w:val="2"/>
                <w:sz w:val="22"/>
                <w:szCs w:val="22"/>
                <w:highlight w:val="none"/>
              </w:rPr>
              <w:t>□屋面及防水工程</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color w:val="auto"/>
                <w:kern w:val="2"/>
                <w:sz w:val="22"/>
                <w:szCs w:val="22"/>
                <w:highlight w:val="none"/>
              </w:rPr>
            </w:pPr>
            <w:r>
              <w:rPr>
                <w:rFonts w:hint="eastAsia"/>
                <w:bCs/>
                <w:color w:val="auto"/>
                <w:kern w:val="2"/>
                <w:sz w:val="22"/>
                <w:szCs w:val="22"/>
                <w:highlight w:val="none"/>
              </w:rPr>
              <w:t xml:space="preserve">□建筑节能    </w:t>
            </w:r>
          </w:p>
        </w:tc>
        <w:tc>
          <w:tcPr>
            <w:tcW w:w="3759"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hint="eastAsia"/>
                <w:bCs/>
                <w:color w:val="auto"/>
                <w:kern w:val="2"/>
                <w:sz w:val="22"/>
                <w:szCs w:val="22"/>
                <w:highlight w:val="none"/>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 xml:space="preserve">室外工程    （ </w:t>
            </w: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室外设施</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□附属建筑</w:t>
            </w:r>
            <w:r>
              <w:rPr>
                <w:rFonts w:hint="eastAsia"/>
                <w:color w:val="auto"/>
                <w:kern w:val="2"/>
                <w:sz w:val="22"/>
                <w:szCs w:val="22"/>
                <w:highlight w:val="none"/>
                <w:u w:val="single"/>
              </w:rPr>
              <w:t xml:space="preserve">                   </w:t>
            </w:r>
          </w:p>
          <w:p>
            <w:pPr>
              <w:widowControl w:val="0"/>
              <w:jc w:val="both"/>
              <w:rPr>
                <w:bCs/>
                <w:color w:val="auto"/>
                <w:kern w:val="2"/>
                <w:sz w:val="22"/>
                <w:szCs w:val="22"/>
                <w:highlight w:val="none"/>
              </w:rPr>
            </w:pPr>
            <w:r>
              <w:rPr>
                <w:rFonts w:hint="eastAsia"/>
                <w:bCs/>
                <w:color w:val="auto"/>
                <w:kern w:val="2"/>
                <w:sz w:val="22"/>
                <w:szCs w:val="22"/>
                <w:highlight w:val="none"/>
              </w:rPr>
              <w:t xml:space="preserve">                 </w:t>
            </w: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室外环境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hint="eastAsia"/>
                <w:bCs/>
                <w:color w:val="auto"/>
                <w:kern w:val="2"/>
                <w:sz w:val="22"/>
                <w:szCs w:val="22"/>
                <w:highlight w:val="none"/>
              </w:rPr>
              <w:sym w:font="Wingdings 2" w:char="00A3"/>
            </w:r>
            <w:r>
              <w:rPr>
                <w:rFonts w:hint="eastAsia"/>
                <w:bCs/>
                <w:color w:val="auto"/>
                <w:kern w:val="2"/>
                <w:sz w:val="22"/>
                <w:szCs w:val="22"/>
                <w:highlight w:val="none"/>
              </w:rPr>
              <w:t>燃气工程     （户数：</w:t>
            </w:r>
            <w:r>
              <w:rPr>
                <w:rFonts w:hint="eastAsia"/>
                <w:color w:val="auto"/>
                <w:kern w:val="2"/>
                <w:sz w:val="22"/>
                <w:szCs w:val="22"/>
                <w:highlight w:val="none"/>
                <w:u w:val="single"/>
              </w:rPr>
              <w:t xml:space="preserve">       </w:t>
            </w:r>
            <w:r>
              <w:rPr>
                <w:rFonts w:hint="eastAsia"/>
                <w:color w:val="auto"/>
                <w:kern w:val="2"/>
                <w:sz w:val="22"/>
                <w:szCs w:val="22"/>
                <w:highlight w:val="none"/>
              </w:rPr>
              <w:t>户；</w:t>
            </w:r>
            <w:r>
              <w:rPr>
                <w:rFonts w:hint="eastAsia"/>
                <w:bCs/>
                <w:color w:val="auto"/>
                <w:kern w:val="2"/>
                <w:sz w:val="22"/>
                <w:szCs w:val="22"/>
                <w:highlight w:val="none"/>
              </w:rPr>
              <w:t xml:space="preserve"> 庭院管：</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米）</w:t>
            </w:r>
          </w:p>
        </w:tc>
      </w:tr>
    </w:tbl>
    <w:p>
      <w:pPr>
        <w:widowControl w:val="0"/>
        <w:spacing w:before="48" w:beforeLines="20" w:after="48" w:afterLines="20" w:line="360" w:lineRule="auto"/>
        <w:jc w:val="both"/>
        <w:rPr>
          <w:b/>
          <w:color w:val="auto"/>
          <w:kern w:val="2"/>
          <w:szCs w:val="22"/>
          <w:highlight w:val="none"/>
        </w:rPr>
      </w:pPr>
      <w:r>
        <w:rPr>
          <w:rFonts w:hint="eastAsia"/>
          <w:b/>
          <w:color w:val="auto"/>
          <w:kern w:val="2"/>
          <w:szCs w:val="22"/>
          <w:highlight w:val="none"/>
        </w:rPr>
        <w:t>3.二次装饰装修工程：</w:t>
      </w:r>
      <w:r>
        <w:rPr>
          <w:rFonts w:hint="eastAsia"/>
          <w:color w:val="auto"/>
          <w:kern w:val="2"/>
          <w:sz w:val="21"/>
          <w:szCs w:val="21"/>
          <w:highlight w:val="none"/>
        </w:rPr>
        <w:t>(在□内打√，并填写相应的工程量)</w:t>
      </w:r>
    </w:p>
    <w:tbl>
      <w:tblPr>
        <w:tblStyle w:val="1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843"/>
        <w:gridCol w:w="2126"/>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hint="eastAsia"/>
                <w:bCs/>
                <w:color w:val="auto"/>
                <w:kern w:val="2"/>
                <w:sz w:val="22"/>
                <w:szCs w:val="22"/>
                <w:highlight w:val="none"/>
              </w:rPr>
              <w:sym w:font="Wingdings 2" w:char="0052"/>
            </w:r>
            <w:r>
              <w:rPr>
                <w:rFonts w:hint="eastAsia"/>
                <w:bCs/>
                <w:color w:val="auto"/>
                <w:kern w:val="2"/>
                <w:sz w:val="22"/>
                <w:szCs w:val="22"/>
                <w:highlight w:val="none"/>
              </w:rPr>
              <w:t>消防工程</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门窗</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防水工程</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电气照明</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color w:val="auto"/>
                <w:kern w:val="2"/>
                <w:sz w:val="22"/>
                <w:szCs w:val="22"/>
                <w:highlight w:val="none"/>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 xml:space="preserve">通风与空调 (□通风  □空调       </w:t>
            </w:r>
            <w:r>
              <w:rPr>
                <w:rFonts w:ascii="Wingdings 2" w:hAnsi="Wingdings 2"/>
                <w:bCs/>
                <w:color w:val="auto"/>
                <w:kern w:val="2"/>
                <w:sz w:val="22"/>
                <w:szCs w:val="22"/>
                <w:highlight w:val="none"/>
              </w:rPr>
              <w:t>£</w:t>
            </w:r>
            <w:r>
              <w:rPr>
                <w:rFonts w:hint="eastAsia"/>
                <w:bCs/>
                <w:color w:val="auto"/>
                <w:kern w:val="2"/>
                <w:sz w:val="22"/>
                <w:szCs w:val="22"/>
                <w:highlight w:val="none"/>
              </w:rPr>
              <w:t>其它</w:t>
            </w:r>
            <w:r>
              <w:rPr>
                <w:rFonts w:hint="eastAsia"/>
                <w:color w:val="auto"/>
                <w:kern w:val="2"/>
                <w:sz w:val="22"/>
                <w:szCs w:val="22"/>
                <w:highlight w:val="none"/>
                <w:u w:val="single"/>
              </w:rPr>
              <w:t xml:space="preserve">            </w:t>
            </w:r>
            <w:r>
              <w:rPr>
                <w:rFonts w:hint="eastAsia"/>
                <w:bCs/>
                <w:color w:val="auto"/>
                <w:kern w:val="2"/>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jc w:val="both"/>
              <w:rPr>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建筑给排水及供暖（</w:t>
            </w:r>
            <w:r>
              <w:rPr>
                <w:rFonts w:ascii="Wingdings 2" w:hAnsi="Wingdings 2"/>
                <w:bCs/>
                <w:color w:val="auto"/>
                <w:kern w:val="2"/>
                <w:sz w:val="22"/>
                <w:szCs w:val="22"/>
                <w:highlight w:val="none"/>
              </w:rPr>
              <w:t>£</w:t>
            </w:r>
            <w:r>
              <w:rPr>
                <w:rFonts w:hint="eastAsia"/>
                <w:bCs/>
                <w:color w:val="auto"/>
                <w:kern w:val="2"/>
                <w:sz w:val="22"/>
                <w:szCs w:val="22"/>
                <w:highlight w:val="none"/>
              </w:rPr>
              <w:t>室内给、排水系统   □室外给、排水系统   □其它</w:t>
            </w:r>
            <w:r>
              <w:rPr>
                <w:rFonts w:hint="eastAsia"/>
                <w:color w:val="auto"/>
                <w:kern w:val="2"/>
                <w:sz w:val="22"/>
                <w:szCs w:val="22"/>
                <w:highlight w:val="none"/>
                <w:u w:val="single"/>
              </w:rPr>
              <w:t xml:space="preserve">         </w:t>
            </w:r>
            <w:r>
              <w:rPr>
                <w:rFonts w:hint="eastAsia"/>
                <w:bCs/>
                <w:color w:val="auto"/>
                <w:kern w:val="2"/>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智能建筑  (</w:t>
            </w:r>
            <w:r>
              <w:rPr>
                <w:rFonts w:ascii="Wingdings 2" w:hAnsi="Wingdings 2"/>
                <w:bCs/>
                <w:color w:val="auto"/>
                <w:kern w:val="2"/>
                <w:sz w:val="22"/>
                <w:szCs w:val="22"/>
                <w:highlight w:val="none"/>
              </w:rPr>
              <w:t>£</w:t>
            </w:r>
            <w:r>
              <w:rPr>
                <w:rFonts w:hint="eastAsia"/>
                <w:bCs/>
                <w:color w:val="auto"/>
                <w:kern w:val="2"/>
                <w:sz w:val="22"/>
                <w:szCs w:val="22"/>
                <w:highlight w:val="none"/>
              </w:rPr>
              <w:t xml:space="preserve">综合布线系统    </w:t>
            </w:r>
            <w:r>
              <w:rPr>
                <w:rFonts w:ascii="Wingdings 2" w:hAnsi="Wingdings 2"/>
                <w:bCs/>
                <w:color w:val="auto"/>
                <w:kern w:val="2"/>
                <w:sz w:val="22"/>
                <w:szCs w:val="22"/>
                <w:highlight w:val="none"/>
              </w:rPr>
              <w:t>£</w:t>
            </w:r>
            <w:r>
              <w:rPr>
                <w:rFonts w:hint="eastAsia"/>
                <w:bCs/>
                <w:color w:val="auto"/>
                <w:kern w:val="2"/>
                <w:sz w:val="22"/>
                <w:szCs w:val="22"/>
                <w:highlight w:val="none"/>
              </w:rPr>
              <w:t xml:space="preserve">信息网络系统    </w:t>
            </w:r>
            <w:r>
              <w:rPr>
                <w:rFonts w:ascii="Wingdings 2" w:hAnsi="Wingdings 2"/>
                <w:bCs/>
                <w:color w:val="auto"/>
                <w:kern w:val="2"/>
                <w:sz w:val="22"/>
                <w:szCs w:val="22"/>
                <w:highlight w:val="none"/>
              </w:rPr>
              <w:t>£</w:t>
            </w:r>
            <w:r>
              <w:rPr>
                <w:rFonts w:hint="eastAsia"/>
                <w:bCs/>
                <w:color w:val="auto"/>
                <w:kern w:val="2"/>
                <w:sz w:val="22"/>
                <w:szCs w:val="22"/>
                <w:highlight w:val="none"/>
              </w:rPr>
              <w:t>其它</w:t>
            </w:r>
            <w:r>
              <w:rPr>
                <w:rFonts w:hint="eastAsia"/>
                <w:color w:val="auto"/>
                <w:kern w:val="2"/>
                <w:sz w:val="22"/>
                <w:szCs w:val="22"/>
                <w:highlight w:val="none"/>
                <w:u w:val="single"/>
              </w:rPr>
              <w:t xml:space="preserve">        </w:t>
            </w:r>
            <w:r>
              <w:rPr>
                <w:rFonts w:hint="eastAsia"/>
                <w:bCs/>
                <w:color w:val="auto"/>
                <w:kern w:val="2"/>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装饰装修  (</w:t>
            </w:r>
            <w:r>
              <w:rPr>
                <w:rFonts w:ascii="Wingdings 2" w:hAnsi="Wingdings 2"/>
                <w:bCs/>
                <w:color w:val="auto"/>
                <w:kern w:val="2"/>
                <w:sz w:val="22"/>
                <w:szCs w:val="22"/>
                <w:highlight w:val="none"/>
              </w:rPr>
              <w:t>£</w:t>
            </w:r>
            <w:r>
              <w:rPr>
                <w:rFonts w:hint="eastAsia"/>
                <w:bCs/>
                <w:color w:val="auto"/>
                <w:kern w:val="2"/>
                <w:sz w:val="22"/>
                <w:szCs w:val="22"/>
                <w:highlight w:val="none"/>
              </w:rPr>
              <w:t xml:space="preserve">抹灰   </w:t>
            </w:r>
            <w:r>
              <w:rPr>
                <w:rFonts w:ascii="Wingdings 2" w:hAnsi="Wingdings 2"/>
                <w:bCs/>
                <w:color w:val="auto"/>
                <w:kern w:val="2"/>
                <w:sz w:val="22"/>
                <w:szCs w:val="22"/>
                <w:highlight w:val="none"/>
              </w:rPr>
              <w:sym w:font="Wingdings 2" w:char="00A3"/>
            </w:r>
            <w:r>
              <w:rPr>
                <w:rFonts w:hint="eastAsia"/>
                <w:bCs/>
                <w:color w:val="auto"/>
                <w:kern w:val="2"/>
                <w:sz w:val="22"/>
                <w:szCs w:val="22"/>
                <w:highlight w:val="none"/>
              </w:rPr>
              <w:t xml:space="preserve">涂饰   </w:t>
            </w:r>
            <w:r>
              <w:rPr>
                <w:rFonts w:ascii="Wingdings 2" w:hAnsi="Wingdings 2"/>
                <w:bCs/>
                <w:color w:val="auto"/>
                <w:kern w:val="2"/>
                <w:sz w:val="22"/>
                <w:szCs w:val="22"/>
                <w:highlight w:val="none"/>
              </w:rPr>
              <w:t>£</w:t>
            </w:r>
            <w:r>
              <w:rPr>
                <w:rFonts w:hint="eastAsia"/>
                <w:bCs/>
                <w:color w:val="auto"/>
                <w:kern w:val="2"/>
                <w:sz w:val="22"/>
                <w:szCs w:val="22"/>
                <w:highlight w:val="none"/>
              </w:rPr>
              <w:t xml:space="preserve">饰面板（砖）   </w:t>
            </w:r>
            <w:r>
              <w:rPr>
                <w:rFonts w:ascii="Wingdings 2" w:hAnsi="Wingdings 2"/>
                <w:bCs/>
                <w:color w:val="auto"/>
                <w:kern w:val="2"/>
                <w:sz w:val="22"/>
                <w:szCs w:val="22"/>
                <w:highlight w:val="none"/>
              </w:rPr>
              <w:t>£</w:t>
            </w:r>
            <w:r>
              <w:rPr>
                <w:rFonts w:hint="eastAsia"/>
                <w:bCs/>
                <w:color w:val="auto"/>
                <w:kern w:val="2"/>
                <w:sz w:val="22"/>
                <w:szCs w:val="22"/>
                <w:highlight w:val="none"/>
              </w:rPr>
              <w:t xml:space="preserve">吊顶   </w:t>
            </w:r>
            <w:r>
              <w:rPr>
                <w:rFonts w:ascii="Wingdings 2" w:hAnsi="Wingdings 2"/>
                <w:bCs/>
                <w:color w:val="auto"/>
                <w:kern w:val="2"/>
                <w:sz w:val="22"/>
                <w:szCs w:val="22"/>
                <w:highlight w:val="none"/>
              </w:rPr>
              <w:t>£</w:t>
            </w:r>
            <w:r>
              <w:rPr>
                <w:rFonts w:hint="eastAsia"/>
                <w:bCs/>
                <w:color w:val="auto"/>
                <w:kern w:val="2"/>
                <w:sz w:val="22"/>
                <w:szCs w:val="22"/>
                <w:highlight w:val="none"/>
              </w:rPr>
              <w:t>其它</w:t>
            </w:r>
            <w:r>
              <w:rPr>
                <w:rFonts w:hint="eastAsia"/>
                <w:color w:val="auto"/>
                <w:kern w:val="2"/>
                <w:sz w:val="22"/>
                <w:szCs w:val="22"/>
                <w:highlight w:val="none"/>
                <w:u w:val="single"/>
              </w:rPr>
              <w:t xml:space="preserve">         </w:t>
            </w:r>
            <w:r>
              <w:rPr>
                <w:rFonts w:hint="eastAsia"/>
                <w:bCs/>
                <w:color w:val="auto"/>
                <w:kern w:val="2"/>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auto"/>
                <w:kern w:val="2"/>
                <w:sz w:val="22"/>
                <w:szCs w:val="22"/>
                <w:highlight w:val="none"/>
              </w:rPr>
            </w:pPr>
            <w:r>
              <w:rPr>
                <w:rFonts w:ascii="Wingdings 2" w:hAnsi="Wingdings 2"/>
                <w:bCs/>
                <w:color w:val="auto"/>
                <w:kern w:val="2"/>
                <w:sz w:val="22"/>
                <w:szCs w:val="22"/>
                <w:highlight w:val="none"/>
              </w:rPr>
              <w:sym w:font="Wingdings 2" w:char="0052"/>
            </w:r>
            <w:r>
              <w:rPr>
                <w:rFonts w:hint="eastAsia"/>
                <w:bCs/>
                <w:color w:val="auto"/>
                <w:kern w:val="2"/>
                <w:sz w:val="22"/>
                <w:szCs w:val="22"/>
                <w:highlight w:val="none"/>
              </w:rPr>
              <w:t>其它：</w:t>
            </w:r>
          </w:p>
        </w:tc>
      </w:tr>
    </w:tbl>
    <w:p>
      <w:pPr>
        <w:widowControl w:val="0"/>
        <w:spacing w:before="48" w:beforeLines="20" w:after="48" w:afterLines="20" w:line="360" w:lineRule="auto"/>
        <w:jc w:val="both"/>
        <w:rPr>
          <w:b/>
          <w:color w:val="auto"/>
          <w:kern w:val="2"/>
          <w:szCs w:val="22"/>
          <w:highlight w:val="none"/>
        </w:rPr>
      </w:pPr>
      <w:r>
        <w:rPr>
          <w:rFonts w:hint="eastAsia"/>
          <w:b/>
          <w:color w:val="auto"/>
          <w:kern w:val="2"/>
          <w:szCs w:val="22"/>
          <w:highlight w:val="none"/>
        </w:rPr>
        <w:t>4.其他工程</w:t>
      </w:r>
    </w:p>
    <w:p>
      <w:pPr>
        <w:widowControl w:val="0"/>
        <w:ind w:firstLine="240" w:firstLineChars="100"/>
        <w:jc w:val="both"/>
        <w:rPr>
          <w:color w:val="auto"/>
          <w:highlight w:val="none"/>
        </w:rPr>
      </w:pPr>
      <w:r>
        <w:rPr>
          <w:rFonts w:hint="eastAsia"/>
          <w:color w:val="auto"/>
          <w:kern w:val="2"/>
          <w:szCs w:val="22"/>
          <w:highlight w:val="none"/>
          <w:u w:val="single"/>
        </w:rPr>
        <w:t xml:space="preserve">    /    。</w:t>
      </w:r>
    </w:p>
    <w:p>
      <w:pPr>
        <w:spacing w:before="10" w:after="120" w:afterLines="50"/>
        <w:outlineLvl w:val="0"/>
        <w:rPr>
          <w:b/>
          <w:bCs/>
          <w:snapToGrid w:val="0"/>
          <w:color w:val="auto"/>
          <w:sz w:val="30"/>
          <w:szCs w:val="44"/>
          <w:highlight w:val="none"/>
          <w:lang w:val="zh-CN"/>
        </w:rPr>
      </w:pPr>
      <w:bookmarkStart w:id="6" w:name="_Toc30411"/>
      <w:bookmarkStart w:id="7" w:name="_Toc302635680"/>
      <w:bookmarkStart w:id="8" w:name="_Toc67418466"/>
      <w:r>
        <w:rPr>
          <w:rFonts w:hint="eastAsia"/>
          <w:b/>
          <w:bCs/>
          <w:snapToGrid w:val="0"/>
          <w:color w:val="auto"/>
          <w:sz w:val="30"/>
          <w:szCs w:val="44"/>
          <w:highlight w:val="none"/>
          <w:lang w:val="zh-CN"/>
        </w:rPr>
        <w:t>三、合同工期</w:t>
      </w:r>
      <w:bookmarkEnd w:id="6"/>
      <w:bookmarkEnd w:id="7"/>
      <w:bookmarkEnd w:id="8"/>
    </w:p>
    <w:p>
      <w:pPr>
        <w:widowControl w:val="0"/>
        <w:spacing w:line="360" w:lineRule="auto"/>
        <w:ind w:firstLine="480"/>
        <w:jc w:val="both"/>
        <w:rPr>
          <w:color w:val="auto"/>
          <w:kern w:val="2"/>
          <w:highlight w:val="none"/>
        </w:rPr>
      </w:pPr>
      <w:r>
        <w:rPr>
          <w:rFonts w:hint="eastAsia"/>
          <w:color w:val="auto"/>
          <w:kern w:val="2"/>
          <w:highlight w:val="none"/>
        </w:rPr>
        <w:t>计划开工日期：暂定</w:t>
      </w:r>
      <w:r>
        <w:rPr>
          <w:rFonts w:hint="eastAsia"/>
          <w:color w:val="auto"/>
          <w:kern w:val="2"/>
          <w:highlight w:val="none"/>
          <w:u w:val="single"/>
        </w:rPr>
        <w:t xml:space="preserve"> 2025 </w:t>
      </w:r>
      <w:r>
        <w:rPr>
          <w:rFonts w:hint="eastAsia"/>
          <w:color w:val="auto"/>
          <w:kern w:val="2"/>
          <w:highlight w:val="none"/>
        </w:rPr>
        <w:t>年</w:t>
      </w:r>
      <w:r>
        <w:rPr>
          <w:rFonts w:hint="eastAsia"/>
          <w:color w:val="auto"/>
          <w:kern w:val="2"/>
          <w:highlight w:val="none"/>
          <w:u w:val="single"/>
        </w:rPr>
        <w:t xml:space="preserve"> 5 </w:t>
      </w:r>
      <w:r>
        <w:rPr>
          <w:rFonts w:hint="eastAsia"/>
          <w:color w:val="auto"/>
          <w:kern w:val="2"/>
          <w:highlight w:val="none"/>
        </w:rPr>
        <w:t>月</w:t>
      </w:r>
      <w:r>
        <w:rPr>
          <w:rFonts w:hint="eastAsia"/>
          <w:color w:val="auto"/>
          <w:kern w:val="2"/>
          <w:highlight w:val="none"/>
          <w:u w:val="single"/>
        </w:rPr>
        <w:t xml:space="preserve"> 6 </w:t>
      </w:r>
      <w:r>
        <w:rPr>
          <w:rFonts w:hint="eastAsia"/>
          <w:color w:val="auto"/>
          <w:kern w:val="2"/>
          <w:highlight w:val="none"/>
        </w:rPr>
        <w:t>日</w:t>
      </w:r>
      <w:r>
        <w:rPr>
          <w:rFonts w:hint="eastAsia"/>
          <w:color w:val="auto"/>
          <w:highlight w:val="none"/>
        </w:rPr>
        <w:t>（实际开工日期</w:t>
      </w:r>
      <w:r>
        <w:rPr>
          <w:rFonts w:hint="eastAsia"/>
          <w:color w:val="auto"/>
          <w:kern w:val="2"/>
          <w:highlight w:val="none"/>
          <w:u w:val="single"/>
        </w:rPr>
        <w:t>以发包人或监理人下达的开工令为准</w:t>
      </w:r>
      <w:r>
        <w:rPr>
          <w:rFonts w:hint="eastAsia"/>
          <w:color w:val="auto"/>
          <w:highlight w:val="none"/>
        </w:rPr>
        <w:t>）</w:t>
      </w:r>
      <w:r>
        <w:rPr>
          <w:rFonts w:hint="eastAsia"/>
          <w:color w:val="auto"/>
          <w:kern w:val="2"/>
          <w:highlight w:val="none"/>
        </w:rPr>
        <w:t>；</w:t>
      </w:r>
    </w:p>
    <w:p>
      <w:pPr>
        <w:widowControl w:val="0"/>
        <w:spacing w:line="360" w:lineRule="auto"/>
        <w:ind w:firstLine="480"/>
        <w:jc w:val="both"/>
        <w:rPr>
          <w:color w:val="auto"/>
          <w:kern w:val="2"/>
          <w:highlight w:val="none"/>
          <w:u w:val="single"/>
        </w:rPr>
      </w:pPr>
      <w:r>
        <w:rPr>
          <w:rFonts w:hint="eastAsia"/>
          <w:color w:val="auto"/>
          <w:kern w:val="2"/>
          <w:highlight w:val="none"/>
        </w:rPr>
        <w:t>计划竣工日期：暂定</w:t>
      </w:r>
      <w:r>
        <w:rPr>
          <w:rFonts w:hint="eastAsia"/>
          <w:color w:val="auto"/>
          <w:kern w:val="2"/>
          <w:highlight w:val="none"/>
          <w:u w:val="single"/>
        </w:rPr>
        <w:t xml:space="preserve"> 2025 </w:t>
      </w:r>
      <w:r>
        <w:rPr>
          <w:rFonts w:hint="eastAsia"/>
          <w:color w:val="auto"/>
          <w:kern w:val="2"/>
          <w:highlight w:val="none"/>
        </w:rPr>
        <w:t>年</w:t>
      </w:r>
      <w:r>
        <w:rPr>
          <w:rFonts w:hint="eastAsia"/>
          <w:color w:val="auto"/>
          <w:kern w:val="2"/>
          <w:highlight w:val="none"/>
          <w:u w:val="single"/>
        </w:rPr>
        <w:t xml:space="preserve"> 8</w:t>
      </w:r>
      <w:r>
        <w:rPr>
          <w:rFonts w:hint="eastAsia"/>
          <w:color w:val="auto"/>
          <w:kern w:val="2"/>
          <w:highlight w:val="none"/>
        </w:rPr>
        <w:t>月</w:t>
      </w:r>
      <w:r>
        <w:rPr>
          <w:rFonts w:hint="eastAsia"/>
          <w:color w:val="auto"/>
          <w:kern w:val="2"/>
          <w:highlight w:val="none"/>
          <w:u w:val="single"/>
        </w:rPr>
        <w:t xml:space="preserve"> 10 </w:t>
      </w:r>
      <w:r>
        <w:rPr>
          <w:rFonts w:hint="eastAsia"/>
          <w:color w:val="auto"/>
          <w:kern w:val="2"/>
          <w:highlight w:val="none"/>
        </w:rPr>
        <w:t>日；</w:t>
      </w:r>
    </w:p>
    <w:p>
      <w:pPr>
        <w:widowControl w:val="0"/>
        <w:spacing w:line="360" w:lineRule="auto"/>
        <w:ind w:firstLine="480"/>
        <w:jc w:val="both"/>
        <w:rPr>
          <w:color w:val="auto"/>
          <w:highlight w:val="none"/>
        </w:rPr>
      </w:pPr>
      <w:r>
        <w:rPr>
          <w:rFonts w:hint="eastAsia"/>
          <w:color w:val="auto"/>
          <w:kern w:val="2"/>
          <w:highlight w:val="none"/>
        </w:rPr>
        <w:t>招标工期总日历天数</w:t>
      </w:r>
      <w:r>
        <w:rPr>
          <w:rFonts w:hint="eastAsia"/>
          <w:color w:val="auto"/>
          <w:kern w:val="2"/>
          <w:highlight w:val="none"/>
          <w:u w:val="single"/>
        </w:rPr>
        <w:t xml:space="preserve"> 96 </w:t>
      </w:r>
      <w:r>
        <w:rPr>
          <w:rFonts w:hint="eastAsia"/>
          <w:color w:val="auto"/>
          <w:kern w:val="2"/>
          <w:highlight w:val="none"/>
        </w:rPr>
        <w:t>天。</w:t>
      </w:r>
    </w:p>
    <w:p>
      <w:pPr>
        <w:widowControl w:val="0"/>
        <w:spacing w:line="360" w:lineRule="auto"/>
        <w:ind w:firstLine="480"/>
        <w:jc w:val="both"/>
        <w:rPr>
          <w:color w:val="auto"/>
          <w:kern w:val="2"/>
          <w:highlight w:val="none"/>
        </w:rPr>
      </w:pPr>
      <w:r>
        <w:rPr>
          <w:rFonts w:hint="eastAsia"/>
          <w:color w:val="auto"/>
          <w:kern w:val="2"/>
          <w:highlight w:val="none"/>
        </w:rPr>
        <w:t>合同工期总日历天数</w:t>
      </w:r>
      <w:r>
        <w:rPr>
          <w:rFonts w:hint="eastAsia"/>
          <w:color w:val="auto"/>
          <w:kern w:val="2"/>
          <w:highlight w:val="none"/>
          <w:u w:val="single"/>
        </w:rPr>
        <w:t xml:space="preserve"> **</w:t>
      </w:r>
      <w:r>
        <w:rPr>
          <w:rFonts w:hint="eastAsia"/>
          <w:color w:val="auto"/>
          <w:kern w:val="2"/>
          <w:highlight w:val="none"/>
        </w:rPr>
        <w:t>天。</w:t>
      </w:r>
    </w:p>
    <w:p>
      <w:pPr>
        <w:spacing w:before="16" w:after="192" w:afterLines="80"/>
        <w:outlineLvl w:val="0"/>
        <w:rPr>
          <w:b/>
          <w:bCs/>
          <w:snapToGrid w:val="0"/>
          <w:color w:val="auto"/>
          <w:sz w:val="30"/>
          <w:szCs w:val="44"/>
          <w:highlight w:val="none"/>
          <w:lang w:val="zh-CN"/>
        </w:rPr>
      </w:pPr>
      <w:bookmarkStart w:id="9" w:name="_Toc18849"/>
      <w:bookmarkStart w:id="10" w:name="_Toc302635681"/>
      <w:bookmarkStart w:id="11" w:name="_Toc67418467"/>
      <w:r>
        <w:rPr>
          <w:rFonts w:hint="eastAsia"/>
          <w:b/>
          <w:bCs/>
          <w:snapToGrid w:val="0"/>
          <w:color w:val="auto"/>
          <w:sz w:val="30"/>
          <w:szCs w:val="44"/>
          <w:highlight w:val="none"/>
          <w:lang w:val="zh-CN"/>
        </w:rPr>
        <w:t>四、质量标准</w:t>
      </w:r>
      <w:bookmarkEnd w:id="9"/>
      <w:bookmarkEnd w:id="10"/>
      <w:bookmarkEnd w:id="11"/>
    </w:p>
    <w:p>
      <w:pPr>
        <w:widowControl w:val="0"/>
        <w:spacing w:line="360" w:lineRule="auto"/>
        <w:ind w:firstLine="480" w:firstLineChars="200"/>
        <w:jc w:val="both"/>
        <w:rPr>
          <w:color w:val="auto"/>
          <w:kern w:val="2"/>
          <w:szCs w:val="22"/>
          <w:highlight w:val="none"/>
          <w:u w:val="single"/>
        </w:rPr>
      </w:pPr>
      <w:r>
        <w:rPr>
          <w:rFonts w:hint="eastAsia"/>
          <w:color w:val="auto"/>
          <w:kern w:val="2"/>
          <w:szCs w:val="22"/>
          <w:highlight w:val="none"/>
        </w:rPr>
        <w:t>本工程质量标准：</w:t>
      </w:r>
      <w:r>
        <w:rPr>
          <w:rFonts w:hint="eastAsia"/>
          <w:color w:val="auto"/>
          <w:kern w:val="2"/>
          <w:szCs w:val="22"/>
          <w:highlight w:val="none"/>
          <w:u w:val="single"/>
        </w:rPr>
        <w:t>达到国家、省、市及行业现行有关工程建设技术标准中的合格标准，安全文明施工严格按照深圳市相关文件执行。工程质量必须符合设计要求和现行国家及地方有关规范、标准规定及相关要求。当合同约定的质量要求与相关法律、法规、规范和技术标准矛盾时，以较高要求为准。</w:t>
      </w:r>
    </w:p>
    <w:p>
      <w:pPr>
        <w:spacing w:before="10" w:after="120" w:afterLines="50"/>
        <w:outlineLvl w:val="0"/>
        <w:rPr>
          <w:b/>
          <w:bCs/>
          <w:snapToGrid w:val="0"/>
          <w:color w:val="auto"/>
          <w:sz w:val="30"/>
          <w:szCs w:val="44"/>
          <w:highlight w:val="none"/>
          <w:lang w:val="zh-CN"/>
        </w:rPr>
      </w:pPr>
      <w:bookmarkStart w:id="12" w:name="_Toc302635682"/>
      <w:bookmarkStart w:id="13" w:name="_Toc67418468"/>
      <w:bookmarkStart w:id="14" w:name="_Toc10302"/>
      <w:r>
        <w:rPr>
          <w:rFonts w:hint="eastAsia"/>
          <w:b/>
          <w:bCs/>
          <w:snapToGrid w:val="0"/>
          <w:color w:val="auto"/>
          <w:sz w:val="30"/>
          <w:szCs w:val="44"/>
          <w:highlight w:val="none"/>
          <w:lang w:val="zh-CN"/>
        </w:rPr>
        <w:t>五、</w:t>
      </w:r>
      <w:bookmarkEnd w:id="12"/>
      <w:r>
        <w:rPr>
          <w:rFonts w:hint="eastAsia"/>
          <w:b/>
          <w:bCs/>
          <w:snapToGrid w:val="0"/>
          <w:color w:val="auto"/>
          <w:sz w:val="30"/>
          <w:szCs w:val="44"/>
          <w:highlight w:val="none"/>
          <w:lang w:val="zh-CN"/>
        </w:rPr>
        <w:t>签约合同价</w:t>
      </w:r>
      <w:bookmarkEnd w:id="13"/>
      <w:bookmarkEnd w:id="14"/>
    </w:p>
    <w:p>
      <w:pPr>
        <w:widowControl w:val="0"/>
        <w:adjustRightInd w:val="0"/>
        <w:snapToGrid w:val="0"/>
        <w:spacing w:line="360" w:lineRule="auto"/>
        <w:ind w:firstLine="480" w:firstLineChars="200"/>
        <w:jc w:val="both"/>
        <w:rPr>
          <w:color w:val="auto"/>
          <w:kern w:val="2"/>
          <w:szCs w:val="22"/>
          <w:highlight w:val="none"/>
        </w:rPr>
      </w:pPr>
      <w:bookmarkStart w:id="15" w:name="_Toc67418469"/>
      <w:bookmarkStart w:id="16" w:name="_Toc12476"/>
      <w:bookmarkStart w:id="17" w:name="_Toc302635683"/>
      <w:r>
        <w:rPr>
          <w:rFonts w:hint="eastAsia"/>
          <w:color w:val="auto"/>
          <w:kern w:val="2"/>
          <w:szCs w:val="22"/>
          <w:highlight w:val="none"/>
          <w:lang w:val="zh-CN"/>
        </w:rPr>
        <w:t>签约合同价（</w:t>
      </w:r>
      <w:r>
        <w:rPr>
          <w:rFonts w:hint="eastAsia"/>
          <w:color w:val="auto"/>
          <w:kern w:val="2"/>
          <w:szCs w:val="22"/>
          <w:highlight w:val="none"/>
        </w:rPr>
        <w:t>含税</w:t>
      </w:r>
      <w:r>
        <w:rPr>
          <w:rFonts w:hint="eastAsia"/>
          <w:color w:val="auto"/>
          <w:kern w:val="2"/>
          <w:szCs w:val="22"/>
          <w:highlight w:val="none"/>
          <w:lang w:val="zh-CN"/>
        </w:rPr>
        <w:t>）</w:t>
      </w:r>
      <w:r>
        <w:rPr>
          <w:rFonts w:hint="eastAsia"/>
          <w:color w:val="auto"/>
          <w:kern w:val="2"/>
          <w:szCs w:val="22"/>
          <w:highlight w:val="none"/>
        </w:rPr>
        <w:t>为人民币（大写）</w:t>
      </w:r>
      <w:r>
        <w:rPr>
          <w:rFonts w:hint="eastAsia"/>
          <w:color w:val="auto"/>
          <w:kern w:val="2"/>
          <w:szCs w:val="22"/>
          <w:highlight w:val="none"/>
          <w:u w:val="single"/>
        </w:rPr>
        <w:t xml:space="preserve">         </w:t>
      </w:r>
      <w:r>
        <w:rPr>
          <w:color w:val="auto"/>
          <w:kern w:val="2"/>
          <w:szCs w:val="22"/>
          <w:highlight w:val="none"/>
        </w:rPr>
        <w:t>(¥</w:t>
      </w:r>
      <w:r>
        <w:rPr>
          <w:rFonts w:hint="eastAsia"/>
          <w:color w:val="auto"/>
          <w:kern w:val="2"/>
          <w:szCs w:val="22"/>
          <w:highlight w:val="none"/>
          <w:u w:val="single"/>
        </w:rPr>
        <w:t xml:space="preserve">           </w:t>
      </w:r>
      <w:r>
        <w:rPr>
          <w:rFonts w:hint="eastAsia"/>
          <w:color w:val="auto"/>
          <w:kern w:val="2"/>
          <w:szCs w:val="22"/>
          <w:highlight w:val="none"/>
        </w:rPr>
        <w:t>)，本项目中标净下浮率为</w:t>
      </w:r>
      <w:r>
        <w:rPr>
          <w:rFonts w:hint="eastAsia"/>
          <w:color w:val="auto"/>
          <w:kern w:val="2"/>
          <w:szCs w:val="22"/>
          <w:highlight w:val="none"/>
          <w:u w:val="single"/>
        </w:rPr>
        <w:t xml:space="preserve">    %</w:t>
      </w:r>
      <w:r>
        <w:rPr>
          <w:rFonts w:hint="eastAsia"/>
          <w:color w:val="auto"/>
          <w:kern w:val="2"/>
          <w:szCs w:val="22"/>
          <w:highlight w:val="none"/>
        </w:rPr>
        <w:t>，其中：</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⑴安全文明措施费：</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人民币（大写）</w:t>
      </w:r>
      <w:r>
        <w:rPr>
          <w:rFonts w:hint="eastAsia"/>
          <w:color w:val="auto"/>
          <w:kern w:val="2"/>
          <w:szCs w:val="22"/>
          <w:highlight w:val="none"/>
          <w:u w:val="single"/>
        </w:rPr>
        <w:t xml:space="preserve">         </w:t>
      </w:r>
      <w:r>
        <w:rPr>
          <w:rFonts w:hint="eastAsia"/>
          <w:color w:val="auto"/>
          <w:kern w:val="2"/>
          <w:szCs w:val="22"/>
          <w:highlight w:val="none"/>
        </w:rPr>
        <w:t>(¥</w:t>
      </w:r>
      <w:r>
        <w:rPr>
          <w:rFonts w:hint="eastAsia"/>
          <w:color w:val="auto"/>
          <w:kern w:val="2"/>
          <w:szCs w:val="22"/>
          <w:highlight w:val="none"/>
          <w:u w:val="single"/>
        </w:rPr>
        <w:t xml:space="preserve">         </w:t>
      </w:r>
      <w:r>
        <w:rPr>
          <w:rFonts w:hint="eastAsia"/>
          <w:color w:val="auto"/>
          <w:kern w:val="2"/>
          <w:szCs w:val="22"/>
          <w:highlight w:val="none"/>
        </w:rPr>
        <w:t>)；</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⑵材料和工程设备暂估价金额：</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人民币（大写）</w:t>
      </w:r>
      <w:r>
        <w:rPr>
          <w:rFonts w:hint="eastAsia"/>
          <w:color w:val="auto"/>
          <w:kern w:val="2"/>
          <w:szCs w:val="22"/>
          <w:highlight w:val="none"/>
          <w:u w:val="single"/>
        </w:rPr>
        <w:t xml:space="preserve"> /</w:t>
      </w:r>
      <w:r>
        <w:rPr>
          <w:rFonts w:hint="eastAsia"/>
          <w:color w:val="auto"/>
          <w:kern w:val="2"/>
          <w:szCs w:val="22"/>
          <w:highlight w:val="none"/>
        </w:rPr>
        <w:t xml:space="preserve"> (¥</w:t>
      </w:r>
      <w:r>
        <w:rPr>
          <w:rFonts w:hint="eastAsia"/>
          <w:color w:val="auto"/>
          <w:kern w:val="2"/>
          <w:szCs w:val="22"/>
          <w:highlight w:val="none"/>
          <w:u w:val="single"/>
        </w:rPr>
        <w:t xml:space="preserve"> / </w:t>
      </w:r>
      <w:r>
        <w:rPr>
          <w:rFonts w:hint="eastAsia"/>
          <w:color w:val="auto"/>
          <w:kern w:val="2"/>
          <w:szCs w:val="22"/>
          <w:highlight w:val="none"/>
        </w:rPr>
        <w:t>)；</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⑶专业工程暂估价金额：</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人民币（大写）</w:t>
      </w:r>
      <w:r>
        <w:rPr>
          <w:rFonts w:hint="eastAsia"/>
          <w:color w:val="auto"/>
          <w:kern w:val="2"/>
          <w:szCs w:val="22"/>
          <w:highlight w:val="none"/>
          <w:u w:val="single"/>
        </w:rPr>
        <w:t xml:space="preserve"> /</w:t>
      </w:r>
      <w:r>
        <w:rPr>
          <w:rFonts w:hint="eastAsia"/>
          <w:color w:val="auto"/>
          <w:kern w:val="2"/>
          <w:szCs w:val="22"/>
          <w:highlight w:val="none"/>
        </w:rPr>
        <w:t xml:space="preserve"> (¥</w:t>
      </w:r>
      <w:r>
        <w:rPr>
          <w:rFonts w:hint="eastAsia"/>
          <w:color w:val="auto"/>
          <w:kern w:val="2"/>
          <w:szCs w:val="22"/>
          <w:highlight w:val="none"/>
          <w:u w:val="single"/>
        </w:rPr>
        <w:t xml:space="preserve"> /</w:t>
      </w:r>
      <w:r>
        <w:rPr>
          <w:rFonts w:hint="eastAsia"/>
          <w:color w:val="auto"/>
          <w:kern w:val="2"/>
          <w:szCs w:val="22"/>
          <w:highlight w:val="none"/>
        </w:rPr>
        <w:t>)；</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⑷暂列金额：</w:t>
      </w:r>
    </w:p>
    <w:p>
      <w:pPr>
        <w:widowControl w:val="0"/>
        <w:adjustRightInd w:val="0"/>
        <w:snapToGrid w:val="0"/>
        <w:spacing w:line="360" w:lineRule="auto"/>
        <w:ind w:firstLine="480" w:firstLineChars="200"/>
        <w:jc w:val="both"/>
        <w:rPr>
          <w:color w:val="auto"/>
          <w:kern w:val="2"/>
          <w:szCs w:val="22"/>
          <w:highlight w:val="none"/>
        </w:rPr>
      </w:pPr>
      <w:r>
        <w:rPr>
          <w:rFonts w:hint="eastAsia"/>
          <w:color w:val="auto"/>
          <w:kern w:val="2"/>
          <w:szCs w:val="22"/>
          <w:highlight w:val="none"/>
        </w:rPr>
        <w:t>人民币（大写）</w:t>
      </w:r>
      <w:r>
        <w:rPr>
          <w:rFonts w:hint="eastAsia"/>
          <w:color w:val="auto"/>
          <w:kern w:val="2"/>
          <w:szCs w:val="22"/>
          <w:highlight w:val="none"/>
          <w:u w:val="single"/>
        </w:rPr>
        <w:t xml:space="preserve">       </w:t>
      </w:r>
      <w:r>
        <w:rPr>
          <w:rFonts w:hint="eastAsia"/>
          <w:color w:val="auto"/>
          <w:kern w:val="2"/>
          <w:szCs w:val="22"/>
          <w:highlight w:val="none"/>
        </w:rPr>
        <w:t xml:space="preserve"> (¥</w:t>
      </w:r>
      <w:r>
        <w:rPr>
          <w:rFonts w:hint="eastAsia"/>
          <w:color w:val="auto"/>
          <w:kern w:val="2"/>
          <w:szCs w:val="22"/>
          <w:highlight w:val="none"/>
          <w:u w:val="single"/>
        </w:rPr>
        <w:t xml:space="preserve">        </w:t>
      </w:r>
      <w:r>
        <w:rPr>
          <w:rFonts w:hint="eastAsia"/>
          <w:color w:val="auto"/>
          <w:kern w:val="2"/>
          <w:szCs w:val="22"/>
          <w:highlight w:val="none"/>
        </w:rPr>
        <w:t>)。</w:t>
      </w:r>
    </w:p>
    <w:p>
      <w:pPr>
        <w:spacing w:before="10" w:after="120" w:afterLines="50"/>
        <w:outlineLvl w:val="0"/>
        <w:rPr>
          <w:color w:val="auto"/>
          <w:kern w:val="2"/>
          <w:szCs w:val="22"/>
          <w:highlight w:val="none"/>
        </w:rPr>
      </w:pPr>
      <w:r>
        <w:rPr>
          <w:rFonts w:hint="eastAsia"/>
          <w:b/>
          <w:bCs/>
          <w:snapToGrid w:val="0"/>
          <w:color w:val="auto"/>
          <w:sz w:val="30"/>
          <w:szCs w:val="44"/>
          <w:highlight w:val="none"/>
          <w:lang w:val="zh-CN"/>
        </w:rPr>
        <w:t>六、工人工资专用账户信息</w:t>
      </w:r>
      <w:bookmarkEnd w:id="15"/>
      <w:bookmarkEnd w:id="16"/>
    </w:p>
    <w:p>
      <w:pPr>
        <w:widowControl w:val="0"/>
        <w:spacing w:line="360" w:lineRule="auto"/>
        <w:ind w:firstLine="480"/>
        <w:jc w:val="both"/>
        <w:rPr>
          <w:color w:val="auto"/>
          <w:kern w:val="2"/>
          <w:szCs w:val="22"/>
          <w:highlight w:val="none"/>
        </w:rPr>
      </w:pPr>
      <w:r>
        <w:rPr>
          <w:rFonts w:hint="eastAsia"/>
          <w:color w:val="auto"/>
          <w:kern w:val="2"/>
          <w:szCs w:val="22"/>
          <w:highlight w:val="none"/>
        </w:rPr>
        <w:t>工人工资款支付专用账户名称：</w:t>
      </w:r>
      <w:r>
        <w:rPr>
          <w:rFonts w:hint="eastAsia"/>
          <w:color w:val="auto"/>
          <w:kern w:val="2"/>
          <w:szCs w:val="22"/>
          <w:highlight w:val="none"/>
          <w:u w:val="single"/>
        </w:rPr>
        <w:t xml:space="preserve">    </w:t>
      </w:r>
    </w:p>
    <w:p>
      <w:pPr>
        <w:widowControl w:val="0"/>
        <w:spacing w:line="360" w:lineRule="auto"/>
        <w:ind w:firstLine="480"/>
        <w:jc w:val="both"/>
        <w:rPr>
          <w:color w:val="auto"/>
          <w:kern w:val="2"/>
          <w:szCs w:val="22"/>
          <w:highlight w:val="none"/>
        </w:rPr>
      </w:pPr>
      <w:r>
        <w:rPr>
          <w:rFonts w:hint="eastAsia"/>
          <w:color w:val="auto"/>
          <w:kern w:val="2"/>
          <w:szCs w:val="22"/>
          <w:highlight w:val="none"/>
        </w:rPr>
        <w:t>工人工资款支付专用账户开户银行</w:t>
      </w:r>
      <w:r>
        <w:rPr>
          <w:rFonts w:hint="eastAsia"/>
          <w:color w:val="auto"/>
          <w:kern w:val="2"/>
          <w:szCs w:val="22"/>
          <w:highlight w:val="none"/>
          <w:u w:val="single"/>
        </w:rPr>
        <w:t xml:space="preserve">   </w:t>
      </w:r>
      <w:r>
        <w:rPr>
          <w:color w:val="auto"/>
          <w:kern w:val="2"/>
          <w:szCs w:val="22"/>
          <w:highlight w:val="none"/>
          <w:u w:val="single"/>
        </w:rPr>
        <w:t xml:space="preserve"> </w:t>
      </w:r>
      <w:r>
        <w:rPr>
          <w:rFonts w:hint="eastAsia"/>
          <w:color w:val="auto"/>
          <w:kern w:val="2"/>
          <w:szCs w:val="22"/>
          <w:highlight w:val="none"/>
          <w:u w:val="single"/>
        </w:rPr>
        <w:t xml:space="preserve"> </w:t>
      </w:r>
    </w:p>
    <w:p>
      <w:pPr>
        <w:widowControl w:val="0"/>
        <w:spacing w:line="360" w:lineRule="auto"/>
        <w:ind w:firstLine="480"/>
        <w:jc w:val="both"/>
        <w:rPr>
          <w:color w:val="auto"/>
          <w:kern w:val="2"/>
          <w:szCs w:val="22"/>
          <w:highlight w:val="none"/>
          <w:u w:val="single"/>
        </w:rPr>
      </w:pPr>
      <w:r>
        <w:rPr>
          <w:rFonts w:hint="eastAsia"/>
          <w:color w:val="auto"/>
          <w:kern w:val="2"/>
          <w:szCs w:val="22"/>
          <w:highlight w:val="none"/>
        </w:rPr>
        <w:t>工人工资款支付专用账户号：</w:t>
      </w:r>
      <w:r>
        <w:rPr>
          <w:rFonts w:hint="eastAsia"/>
          <w:color w:val="auto"/>
          <w:kern w:val="2"/>
          <w:szCs w:val="22"/>
          <w:highlight w:val="none"/>
          <w:u w:val="single"/>
        </w:rPr>
        <w:t xml:space="preserve">  </w:t>
      </w:r>
      <w:r>
        <w:rPr>
          <w:color w:val="auto"/>
          <w:kern w:val="2"/>
          <w:szCs w:val="22"/>
          <w:highlight w:val="none"/>
          <w:u w:val="single"/>
        </w:rPr>
        <w:t xml:space="preserve"> </w:t>
      </w:r>
      <w:r>
        <w:rPr>
          <w:rFonts w:hint="eastAsia"/>
          <w:color w:val="auto"/>
          <w:kern w:val="2"/>
          <w:szCs w:val="22"/>
          <w:highlight w:val="none"/>
          <w:u w:val="single"/>
        </w:rPr>
        <w:t xml:space="preserve"> </w:t>
      </w:r>
    </w:p>
    <w:p>
      <w:pPr>
        <w:spacing w:before="10" w:after="120" w:afterLines="50"/>
        <w:outlineLvl w:val="0"/>
        <w:rPr>
          <w:b/>
          <w:bCs/>
          <w:snapToGrid w:val="0"/>
          <w:color w:val="auto"/>
          <w:sz w:val="30"/>
          <w:szCs w:val="44"/>
          <w:highlight w:val="none"/>
          <w:lang w:val="zh-CN"/>
        </w:rPr>
      </w:pPr>
      <w:bookmarkStart w:id="18" w:name="_Toc27958"/>
      <w:bookmarkStart w:id="19" w:name="_Toc67418470"/>
      <w:r>
        <w:rPr>
          <w:rFonts w:hint="eastAsia"/>
          <w:b/>
          <w:bCs/>
          <w:snapToGrid w:val="0"/>
          <w:color w:val="auto"/>
          <w:sz w:val="30"/>
          <w:szCs w:val="44"/>
          <w:highlight w:val="none"/>
          <w:lang w:val="zh-CN"/>
        </w:rPr>
        <w:t>七、组成合同的文件</w:t>
      </w:r>
      <w:bookmarkEnd w:id="17"/>
      <w:bookmarkEnd w:id="18"/>
      <w:bookmarkEnd w:id="19"/>
    </w:p>
    <w:p>
      <w:pPr>
        <w:widowControl w:val="0"/>
        <w:spacing w:line="360" w:lineRule="auto"/>
        <w:ind w:firstLine="480"/>
        <w:jc w:val="both"/>
        <w:rPr>
          <w:color w:val="auto"/>
          <w:kern w:val="2"/>
          <w:szCs w:val="22"/>
          <w:highlight w:val="none"/>
        </w:rPr>
      </w:pPr>
      <w:bookmarkStart w:id="20" w:name="_Toc11547"/>
      <w:bookmarkStart w:id="21" w:name="_Toc302635684"/>
      <w:bookmarkStart w:id="22" w:name="_Toc67418471"/>
      <w:r>
        <w:rPr>
          <w:rFonts w:hint="eastAsia"/>
          <w:color w:val="auto"/>
          <w:kern w:val="2"/>
          <w:szCs w:val="22"/>
          <w:highlight w:val="none"/>
        </w:rPr>
        <w:t>组成本合同的文件及优先解释顺序与本合同通用条款2.1款的规定一致：</w:t>
      </w:r>
    </w:p>
    <w:p>
      <w:pPr>
        <w:widowControl w:val="0"/>
        <w:spacing w:line="360" w:lineRule="auto"/>
        <w:ind w:firstLine="480" w:firstLineChars="200"/>
        <w:jc w:val="both"/>
        <w:rPr>
          <w:color w:val="auto"/>
          <w:kern w:val="2"/>
          <w:szCs w:val="22"/>
          <w:highlight w:val="none"/>
        </w:rPr>
      </w:pPr>
      <w:r>
        <w:rPr>
          <w:rFonts w:hint="eastAsia"/>
          <w:color w:val="auto"/>
          <w:kern w:val="2"/>
          <w:szCs w:val="22"/>
          <w:highlight w:val="none"/>
        </w:rPr>
        <w:t>⑴本合同签订后双方新签订的补充协议；</w:t>
      </w:r>
    </w:p>
    <w:p>
      <w:pPr>
        <w:widowControl w:val="0"/>
        <w:spacing w:line="360" w:lineRule="auto"/>
        <w:ind w:firstLine="480"/>
        <w:jc w:val="both"/>
        <w:rPr>
          <w:color w:val="auto"/>
          <w:kern w:val="2"/>
          <w:szCs w:val="22"/>
          <w:highlight w:val="none"/>
        </w:rPr>
      </w:pPr>
      <w:r>
        <w:rPr>
          <w:rFonts w:hint="eastAsia"/>
          <w:color w:val="auto"/>
          <w:kern w:val="2"/>
          <w:szCs w:val="22"/>
          <w:highlight w:val="none"/>
        </w:rPr>
        <w:t>⑵本合同第一部分的协议书；</w:t>
      </w:r>
    </w:p>
    <w:p>
      <w:pPr>
        <w:widowControl w:val="0"/>
        <w:spacing w:line="360" w:lineRule="auto"/>
        <w:ind w:firstLine="480"/>
        <w:jc w:val="both"/>
        <w:rPr>
          <w:color w:val="auto"/>
          <w:kern w:val="2"/>
          <w:szCs w:val="22"/>
          <w:highlight w:val="none"/>
        </w:rPr>
      </w:pPr>
      <w:r>
        <w:rPr>
          <w:rFonts w:hint="eastAsia"/>
          <w:color w:val="auto"/>
          <w:kern w:val="2"/>
          <w:szCs w:val="22"/>
          <w:highlight w:val="none"/>
        </w:rPr>
        <w:t>⑶中标通知书；</w:t>
      </w:r>
    </w:p>
    <w:p>
      <w:pPr>
        <w:widowControl w:val="0"/>
        <w:spacing w:line="360" w:lineRule="auto"/>
        <w:ind w:firstLine="480"/>
        <w:jc w:val="both"/>
        <w:rPr>
          <w:color w:val="auto"/>
          <w:kern w:val="2"/>
          <w:szCs w:val="22"/>
          <w:highlight w:val="none"/>
        </w:rPr>
      </w:pPr>
      <w:r>
        <w:rPr>
          <w:rFonts w:hint="eastAsia"/>
          <w:color w:val="auto"/>
          <w:kern w:val="2"/>
          <w:szCs w:val="22"/>
          <w:highlight w:val="none"/>
        </w:rPr>
        <w:t>⑷本合同第四部分的补充条款及其附件；</w:t>
      </w:r>
    </w:p>
    <w:p>
      <w:pPr>
        <w:widowControl w:val="0"/>
        <w:spacing w:line="360" w:lineRule="auto"/>
        <w:ind w:firstLine="480"/>
        <w:jc w:val="both"/>
        <w:rPr>
          <w:color w:val="auto"/>
          <w:kern w:val="2"/>
          <w:szCs w:val="22"/>
          <w:highlight w:val="none"/>
        </w:rPr>
      </w:pPr>
      <w:r>
        <w:rPr>
          <w:rFonts w:hint="eastAsia"/>
          <w:color w:val="auto"/>
          <w:kern w:val="2"/>
          <w:szCs w:val="22"/>
          <w:highlight w:val="none"/>
        </w:rPr>
        <w:t>⑸本合同第三部分的专用条款；</w:t>
      </w:r>
    </w:p>
    <w:p>
      <w:pPr>
        <w:widowControl w:val="0"/>
        <w:spacing w:line="360" w:lineRule="auto"/>
        <w:ind w:firstLine="480"/>
        <w:jc w:val="both"/>
        <w:rPr>
          <w:color w:val="auto"/>
          <w:kern w:val="2"/>
          <w:szCs w:val="22"/>
          <w:highlight w:val="none"/>
        </w:rPr>
      </w:pPr>
      <w:r>
        <w:rPr>
          <w:rFonts w:hint="eastAsia"/>
          <w:color w:val="auto"/>
          <w:kern w:val="2"/>
          <w:szCs w:val="22"/>
          <w:highlight w:val="none"/>
        </w:rPr>
        <w:t>⑹本合同第二部分的通用条款；</w:t>
      </w:r>
    </w:p>
    <w:p>
      <w:pPr>
        <w:widowControl w:val="0"/>
        <w:spacing w:line="360" w:lineRule="auto"/>
        <w:ind w:firstLine="480"/>
        <w:jc w:val="both"/>
        <w:rPr>
          <w:color w:val="auto"/>
          <w:kern w:val="2"/>
          <w:szCs w:val="22"/>
          <w:highlight w:val="none"/>
        </w:rPr>
      </w:pPr>
      <w:r>
        <w:rPr>
          <w:rFonts w:hint="eastAsia"/>
          <w:color w:val="auto"/>
          <w:kern w:val="2"/>
          <w:szCs w:val="22"/>
          <w:highlight w:val="none"/>
        </w:rPr>
        <w:t>⑺本工程招标文件中的技术要求和投标报价规定；</w:t>
      </w:r>
    </w:p>
    <w:p>
      <w:pPr>
        <w:widowControl w:val="0"/>
        <w:spacing w:line="360" w:lineRule="auto"/>
        <w:ind w:firstLine="480"/>
        <w:jc w:val="both"/>
        <w:rPr>
          <w:color w:val="auto"/>
          <w:kern w:val="2"/>
          <w:szCs w:val="22"/>
          <w:highlight w:val="none"/>
        </w:rPr>
      </w:pPr>
      <w:r>
        <w:rPr>
          <w:rFonts w:hint="eastAsia"/>
          <w:color w:val="auto"/>
          <w:kern w:val="2"/>
          <w:szCs w:val="22"/>
          <w:highlight w:val="none"/>
        </w:rPr>
        <w:t>⑻投标文件(包括承包人在评标期间和合同谈判过程中递交和确认并经发包人同意的对有关问题的补充资料和澄清文件等)；</w:t>
      </w:r>
    </w:p>
    <w:p>
      <w:pPr>
        <w:widowControl w:val="0"/>
        <w:spacing w:line="360" w:lineRule="auto"/>
        <w:ind w:firstLine="480"/>
        <w:jc w:val="both"/>
        <w:rPr>
          <w:color w:val="auto"/>
          <w:kern w:val="2"/>
          <w:szCs w:val="22"/>
          <w:highlight w:val="none"/>
        </w:rPr>
      </w:pPr>
      <w:r>
        <w:rPr>
          <w:rFonts w:hint="eastAsia"/>
          <w:color w:val="auto"/>
          <w:kern w:val="2"/>
          <w:szCs w:val="22"/>
          <w:highlight w:val="none"/>
        </w:rPr>
        <w:t>⑼现行的标准、规范、规定及有关技术文件；</w:t>
      </w:r>
    </w:p>
    <w:p>
      <w:pPr>
        <w:widowControl w:val="0"/>
        <w:spacing w:line="360" w:lineRule="auto"/>
        <w:ind w:firstLine="480"/>
        <w:jc w:val="both"/>
        <w:rPr>
          <w:color w:val="auto"/>
          <w:kern w:val="2"/>
          <w:szCs w:val="22"/>
          <w:highlight w:val="none"/>
        </w:rPr>
      </w:pPr>
      <w:r>
        <w:rPr>
          <w:rFonts w:hint="eastAsia"/>
          <w:color w:val="auto"/>
          <w:kern w:val="2"/>
          <w:szCs w:val="22"/>
          <w:highlight w:val="none"/>
        </w:rPr>
        <w:t>⑽图纸和技术规格书；</w:t>
      </w:r>
    </w:p>
    <w:p>
      <w:pPr>
        <w:widowControl w:val="0"/>
        <w:spacing w:line="360" w:lineRule="auto"/>
        <w:ind w:firstLine="480"/>
        <w:jc w:val="both"/>
        <w:rPr>
          <w:color w:val="auto"/>
          <w:kern w:val="2"/>
          <w:szCs w:val="22"/>
          <w:highlight w:val="none"/>
        </w:rPr>
      </w:pPr>
      <w:r>
        <w:rPr>
          <w:rFonts w:hint="eastAsia"/>
          <w:color w:val="auto"/>
          <w:kern w:val="2"/>
          <w:szCs w:val="22"/>
          <w:highlight w:val="none"/>
        </w:rPr>
        <w:t>⑾已标价工程量清单；</w:t>
      </w:r>
    </w:p>
    <w:p>
      <w:pPr>
        <w:widowControl w:val="0"/>
        <w:spacing w:line="360" w:lineRule="auto"/>
        <w:ind w:firstLine="480"/>
        <w:jc w:val="both"/>
        <w:rPr>
          <w:color w:val="auto"/>
          <w:kern w:val="2"/>
          <w:szCs w:val="22"/>
          <w:highlight w:val="none"/>
        </w:rPr>
      </w:pPr>
      <w:r>
        <w:rPr>
          <w:rFonts w:hint="eastAsia"/>
          <w:color w:val="auto"/>
          <w:kern w:val="2"/>
          <w:szCs w:val="22"/>
          <w:highlight w:val="none"/>
        </w:rPr>
        <w:t>⑿发包人和承包人双方有关本工程的变更、签证、洽商、索赔、询价采购凭证等书面文件及组成合同的其他文件。</w:t>
      </w:r>
    </w:p>
    <w:p>
      <w:pPr>
        <w:spacing w:before="10" w:after="120" w:afterLines="50"/>
        <w:outlineLvl w:val="0"/>
        <w:rPr>
          <w:b/>
          <w:bCs/>
          <w:snapToGrid w:val="0"/>
          <w:color w:val="auto"/>
          <w:sz w:val="30"/>
          <w:szCs w:val="44"/>
          <w:highlight w:val="none"/>
          <w:lang w:val="zh-CN"/>
        </w:rPr>
      </w:pPr>
      <w:r>
        <w:rPr>
          <w:rFonts w:hint="eastAsia"/>
          <w:b/>
          <w:bCs/>
          <w:snapToGrid w:val="0"/>
          <w:color w:val="auto"/>
          <w:sz w:val="30"/>
          <w:szCs w:val="44"/>
          <w:highlight w:val="none"/>
          <w:lang w:val="zh-CN"/>
        </w:rPr>
        <w:t>八、词语含义</w:t>
      </w:r>
      <w:bookmarkEnd w:id="20"/>
      <w:bookmarkEnd w:id="21"/>
      <w:bookmarkEnd w:id="22"/>
    </w:p>
    <w:p>
      <w:pPr>
        <w:widowControl w:val="0"/>
        <w:spacing w:line="360" w:lineRule="auto"/>
        <w:ind w:firstLine="480"/>
        <w:jc w:val="both"/>
        <w:rPr>
          <w:color w:val="auto"/>
          <w:kern w:val="2"/>
          <w:szCs w:val="22"/>
          <w:highlight w:val="none"/>
        </w:rPr>
      </w:pPr>
      <w:r>
        <w:rPr>
          <w:rFonts w:hint="eastAsia"/>
          <w:color w:val="auto"/>
          <w:kern w:val="2"/>
          <w:szCs w:val="22"/>
          <w:highlight w:val="none"/>
        </w:rPr>
        <w:t>本协议书中有关词语含义与本合同“通用条款”中赋予它们的定义相同。</w:t>
      </w:r>
    </w:p>
    <w:p>
      <w:pPr>
        <w:spacing w:before="10" w:after="120" w:afterLines="50"/>
        <w:outlineLvl w:val="0"/>
        <w:rPr>
          <w:b/>
          <w:bCs/>
          <w:snapToGrid w:val="0"/>
          <w:color w:val="auto"/>
          <w:sz w:val="30"/>
          <w:szCs w:val="44"/>
          <w:highlight w:val="none"/>
          <w:lang w:val="zh-CN"/>
        </w:rPr>
      </w:pPr>
      <w:bookmarkStart w:id="23" w:name="_Toc26592"/>
      <w:bookmarkStart w:id="24" w:name="_Toc67418472"/>
      <w:bookmarkStart w:id="25" w:name="_Toc302635685"/>
      <w:r>
        <w:rPr>
          <w:rFonts w:hint="eastAsia"/>
          <w:b/>
          <w:bCs/>
          <w:snapToGrid w:val="0"/>
          <w:color w:val="auto"/>
          <w:sz w:val="30"/>
          <w:szCs w:val="44"/>
          <w:highlight w:val="none"/>
          <w:lang w:val="zh-CN"/>
        </w:rPr>
        <w:t>九、承诺</w:t>
      </w:r>
      <w:bookmarkEnd w:id="23"/>
      <w:bookmarkEnd w:id="24"/>
      <w:bookmarkEnd w:id="25"/>
    </w:p>
    <w:p>
      <w:pPr>
        <w:widowControl w:val="0"/>
        <w:spacing w:line="360" w:lineRule="auto"/>
        <w:ind w:firstLine="480"/>
        <w:jc w:val="both"/>
        <w:rPr>
          <w:bCs/>
          <w:color w:val="auto"/>
          <w:kern w:val="2"/>
          <w:szCs w:val="22"/>
          <w:highlight w:val="none"/>
        </w:rPr>
      </w:pPr>
      <w:bookmarkStart w:id="26" w:name="_Toc302635686"/>
      <w:bookmarkStart w:id="27" w:name="_Toc30949"/>
      <w:bookmarkStart w:id="28" w:name="_Toc67418473"/>
      <w:r>
        <w:rPr>
          <w:rFonts w:hint="eastAsia"/>
          <w:bCs/>
          <w:color w:val="auto"/>
          <w:kern w:val="2"/>
          <w:szCs w:val="22"/>
          <w:highlight w:val="none"/>
        </w:rPr>
        <w:t>1.发包人承诺按照法律规定履行项目审批手续、筹集工程建设资金并按照合同约定的期限和方式支付合同价款</w:t>
      </w:r>
      <w:r>
        <w:rPr>
          <w:rFonts w:hint="eastAsia"/>
          <w:color w:val="auto"/>
          <w:kern w:val="2"/>
          <w:szCs w:val="22"/>
          <w:highlight w:val="none"/>
        </w:rPr>
        <w:t>及其它应当支付的款项,并履行本合同所约定的全部义务</w:t>
      </w:r>
      <w:r>
        <w:rPr>
          <w:rFonts w:hint="eastAsia"/>
          <w:bCs/>
          <w:color w:val="auto"/>
          <w:kern w:val="2"/>
          <w:szCs w:val="22"/>
          <w:highlight w:val="none"/>
        </w:rPr>
        <w:t>。</w:t>
      </w:r>
    </w:p>
    <w:p>
      <w:pPr>
        <w:widowControl w:val="0"/>
        <w:spacing w:line="360" w:lineRule="auto"/>
        <w:ind w:firstLine="480"/>
        <w:jc w:val="both"/>
        <w:rPr>
          <w:bCs/>
          <w:color w:val="auto"/>
          <w:kern w:val="2"/>
          <w:szCs w:val="22"/>
          <w:highlight w:val="none"/>
        </w:rPr>
      </w:pPr>
      <w:r>
        <w:rPr>
          <w:rFonts w:hint="eastAsia"/>
          <w:bCs/>
          <w:color w:val="auto"/>
          <w:kern w:val="2"/>
          <w:szCs w:val="22"/>
          <w:highlight w:val="none"/>
        </w:rPr>
        <w:t>2.承包人承诺按照法律规定及合同约定组织完成工程施工，确保工程质量和安全，不进行转包及违法分包，并在质量缺陷责任期及保修期内承担相应的工程维修责任</w:t>
      </w:r>
      <w:r>
        <w:rPr>
          <w:rFonts w:hint="eastAsia"/>
          <w:color w:val="auto"/>
          <w:kern w:val="2"/>
          <w:szCs w:val="22"/>
          <w:highlight w:val="none"/>
        </w:rPr>
        <w:t>,并履行本合同所约定的全部义务</w:t>
      </w:r>
      <w:r>
        <w:rPr>
          <w:rFonts w:hint="eastAsia"/>
          <w:bCs/>
          <w:color w:val="auto"/>
          <w:kern w:val="2"/>
          <w:szCs w:val="22"/>
          <w:highlight w:val="none"/>
        </w:rPr>
        <w:t>。</w:t>
      </w:r>
    </w:p>
    <w:p>
      <w:pPr>
        <w:spacing w:before="80"/>
        <w:ind w:firstLine="480" w:firstLineChars="200"/>
        <w:outlineLvl w:val="0"/>
        <w:rPr>
          <w:bCs/>
          <w:color w:val="auto"/>
          <w:kern w:val="2"/>
          <w:szCs w:val="22"/>
          <w:highlight w:val="none"/>
        </w:rPr>
      </w:pPr>
      <w:r>
        <w:rPr>
          <w:rFonts w:hint="eastAsia"/>
          <w:bCs/>
          <w:color w:val="auto"/>
          <w:kern w:val="2"/>
          <w:szCs w:val="22"/>
          <w:highlight w:val="none"/>
        </w:rPr>
        <w:t>3.发包人和承包人双方理解并承诺不再就同一工程另行签订与合同实质性内容相背离的协议。</w:t>
      </w:r>
    </w:p>
    <w:p>
      <w:pPr>
        <w:spacing w:before="10" w:after="120" w:afterLines="50"/>
        <w:outlineLvl w:val="0"/>
        <w:rPr>
          <w:b/>
          <w:bCs/>
          <w:snapToGrid w:val="0"/>
          <w:color w:val="auto"/>
          <w:sz w:val="30"/>
          <w:szCs w:val="44"/>
          <w:highlight w:val="none"/>
          <w:lang w:val="zh-CN"/>
        </w:rPr>
      </w:pPr>
      <w:r>
        <w:rPr>
          <w:rFonts w:hint="eastAsia"/>
          <w:b/>
          <w:bCs/>
          <w:snapToGrid w:val="0"/>
          <w:color w:val="auto"/>
          <w:sz w:val="30"/>
          <w:szCs w:val="44"/>
          <w:highlight w:val="none"/>
          <w:lang w:val="zh-CN"/>
        </w:rPr>
        <w:t>十、合同订立与生效</w:t>
      </w:r>
      <w:bookmarkEnd w:id="26"/>
      <w:bookmarkEnd w:id="27"/>
      <w:bookmarkEnd w:id="28"/>
    </w:p>
    <w:p>
      <w:pPr>
        <w:widowControl w:val="0"/>
        <w:spacing w:line="360" w:lineRule="auto"/>
        <w:ind w:firstLine="480"/>
        <w:jc w:val="both"/>
        <w:rPr>
          <w:color w:val="auto"/>
          <w:kern w:val="2"/>
          <w:szCs w:val="22"/>
          <w:highlight w:val="none"/>
        </w:rPr>
      </w:pPr>
      <w:r>
        <w:rPr>
          <w:rFonts w:hint="eastAsia"/>
          <w:color w:val="auto"/>
          <w:kern w:val="2"/>
          <w:szCs w:val="22"/>
          <w:highlight w:val="none"/>
        </w:rPr>
        <w:t>1.本合同订立时间：</w:t>
      </w:r>
      <w:r>
        <w:rPr>
          <w:rFonts w:hint="eastAsia"/>
          <w:color w:val="auto"/>
          <w:kern w:val="2"/>
          <w:szCs w:val="22"/>
          <w:highlight w:val="none"/>
          <w:u w:val="single"/>
        </w:rPr>
        <w:t xml:space="preserve">20    </w:t>
      </w:r>
      <w:r>
        <w:rPr>
          <w:rFonts w:hint="eastAsia"/>
          <w:color w:val="auto"/>
          <w:kern w:val="2"/>
          <w:szCs w:val="22"/>
          <w:highlight w:val="none"/>
        </w:rPr>
        <w:t>年</w:t>
      </w:r>
      <w:r>
        <w:rPr>
          <w:rFonts w:hint="eastAsia"/>
          <w:color w:val="auto"/>
          <w:kern w:val="2"/>
          <w:szCs w:val="22"/>
          <w:highlight w:val="none"/>
          <w:u w:val="single"/>
        </w:rPr>
        <w:t xml:space="preserve">    </w:t>
      </w:r>
      <w:r>
        <w:rPr>
          <w:rFonts w:hint="eastAsia"/>
          <w:color w:val="auto"/>
          <w:kern w:val="2"/>
          <w:szCs w:val="22"/>
          <w:highlight w:val="none"/>
        </w:rPr>
        <w:t>月</w:t>
      </w:r>
      <w:r>
        <w:rPr>
          <w:rFonts w:hint="eastAsia"/>
          <w:color w:val="auto"/>
          <w:kern w:val="2"/>
          <w:szCs w:val="22"/>
          <w:highlight w:val="none"/>
          <w:u w:val="single"/>
        </w:rPr>
        <w:t xml:space="preserve">     </w:t>
      </w:r>
      <w:r>
        <w:rPr>
          <w:rFonts w:hint="eastAsia"/>
          <w:color w:val="auto"/>
          <w:kern w:val="2"/>
          <w:szCs w:val="22"/>
          <w:highlight w:val="none"/>
        </w:rPr>
        <w:t>日。</w:t>
      </w:r>
    </w:p>
    <w:p>
      <w:pPr>
        <w:widowControl w:val="0"/>
        <w:spacing w:line="360" w:lineRule="auto"/>
        <w:ind w:firstLine="480" w:firstLineChars="200"/>
        <w:jc w:val="both"/>
        <w:rPr>
          <w:color w:val="auto"/>
          <w:kern w:val="2"/>
          <w:szCs w:val="22"/>
          <w:highlight w:val="none"/>
        </w:rPr>
      </w:pPr>
      <w:r>
        <w:rPr>
          <w:rFonts w:hint="eastAsia"/>
          <w:color w:val="auto"/>
          <w:kern w:val="2"/>
          <w:szCs w:val="22"/>
          <w:highlight w:val="none"/>
        </w:rPr>
        <w:t>2.订立地点：</w:t>
      </w:r>
      <w:r>
        <w:rPr>
          <w:rFonts w:hint="eastAsia"/>
          <w:snapToGrid w:val="0"/>
          <w:color w:val="auto"/>
          <w:highlight w:val="none"/>
          <w:u w:val="single"/>
        </w:rPr>
        <w:t>深圳市龙华区</w:t>
      </w:r>
      <w:r>
        <w:rPr>
          <w:rFonts w:hint="eastAsia"/>
          <w:color w:val="auto"/>
          <w:szCs w:val="21"/>
          <w:highlight w:val="none"/>
        </w:rPr>
        <w:t>。</w:t>
      </w:r>
    </w:p>
    <w:p>
      <w:pPr>
        <w:widowControl w:val="0"/>
        <w:spacing w:line="360" w:lineRule="auto"/>
        <w:ind w:firstLine="480"/>
        <w:rPr>
          <w:color w:val="auto"/>
          <w:kern w:val="2"/>
          <w:szCs w:val="22"/>
          <w:highlight w:val="none"/>
        </w:rPr>
      </w:pPr>
      <w:r>
        <w:rPr>
          <w:rFonts w:hint="eastAsia"/>
          <w:color w:val="auto"/>
          <w:kern w:val="2"/>
          <w:szCs w:val="22"/>
          <w:highlight w:val="none"/>
        </w:rPr>
        <w:t>3.本合同自</w:t>
      </w:r>
      <w:r>
        <w:rPr>
          <w:rFonts w:hint="eastAsia"/>
          <w:color w:val="auto"/>
          <w:kern w:val="2"/>
          <w:szCs w:val="22"/>
          <w:highlight w:val="none"/>
          <w:u w:val="single"/>
        </w:rPr>
        <w:t>双方法定代表人或其委托代理人签名并加盖公章</w:t>
      </w:r>
      <w:r>
        <w:rPr>
          <w:rFonts w:hint="eastAsia"/>
          <w:color w:val="auto"/>
          <w:kern w:val="2"/>
          <w:szCs w:val="22"/>
          <w:highlight w:val="none"/>
        </w:rPr>
        <w:t>后成立并生效。</w:t>
      </w:r>
    </w:p>
    <w:p>
      <w:pPr>
        <w:widowControl w:val="0"/>
        <w:spacing w:line="360" w:lineRule="auto"/>
        <w:ind w:firstLine="480"/>
        <w:rPr>
          <w:bCs/>
          <w:color w:val="auto"/>
          <w:kern w:val="2"/>
          <w:szCs w:val="22"/>
          <w:highlight w:val="none"/>
        </w:rPr>
      </w:pPr>
      <w:r>
        <w:rPr>
          <w:rFonts w:hint="eastAsia"/>
          <w:bCs/>
          <w:color w:val="auto"/>
          <w:kern w:val="2"/>
          <w:szCs w:val="22"/>
          <w:highlight w:val="none"/>
        </w:rPr>
        <w:t>4.与本合同有关的通知可用邮寄方式送达，邮寄地址以本合同中约定的地址为准，寄出三日后即视为送达，任何一方变更地址的，应书面方式通知对方。</w:t>
      </w:r>
    </w:p>
    <w:p>
      <w:pPr>
        <w:widowControl w:val="0"/>
        <w:spacing w:line="360" w:lineRule="auto"/>
        <w:ind w:firstLine="480"/>
        <w:rPr>
          <w:bCs/>
          <w:color w:val="auto"/>
          <w:kern w:val="2"/>
          <w:szCs w:val="22"/>
          <w:highlight w:val="none"/>
        </w:rPr>
      </w:pPr>
      <w:r>
        <w:rPr>
          <w:rFonts w:hint="eastAsia"/>
          <w:bCs/>
          <w:color w:val="auto"/>
          <w:kern w:val="2"/>
          <w:szCs w:val="22"/>
          <w:highlight w:val="none"/>
        </w:rPr>
        <w:t>5.本合同一式</w:t>
      </w:r>
      <w:r>
        <w:rPr>
          <w:rFonts w:hint="eastAsia"/>
          <w:bCs/>
          <w:color w:val="auto"/>
          <w:kern w:val="2"/>
          <w:szCs w:val="22"/>
          <w:highlight w:val="none"/>
          <w:u w:val="single"/>
        </w:rPr>
        <w:t>壹拾陆</w:t>
      </w:r>
      <w:r>
        <w:rPr>
          <w:rFonts w:hint="eastAsia"/>
          <w:bCs/>
          <w:color w:val="auto"/>
          <w:kern w:val="2"/>
          <w:szCs w:val="22"/>
          <w:highlight w:val="none"/>
        </w:rPr>
        <w:t>份，均具有同等法律效力，发包人执</w:t>
      </w:r>
      <w:r>
        <w:rPr>
          <w:rFonts w:hint="eastAsia"/>
          <w:bCs/>
          <w:color w:val="auto"/>
          <w:kern w:val="2"/>
          <w:szCs w:val="22"/>
          <w:highlight w:val="none"/>
          <w:u w:val="single"/>
        </w:rPr>
        <w:t>捌</w:t>
      </w:r>
      <w:r>
        <w:rPr>
          <w:rFonts w:hint="eastAsia"/>
          <w:bCs/>
          <w:color w:val="auto"/>
          <w:kern w:val="2"/>
          <w:szCs w:val="22"/>
          <w:highlight w:val="none"/>
        </w:rPr>
        <w:t>份，承包人执</w:t>
      </w:r>
      <w:r>
        <w:rPr>
          <w:rFonts w:hint="eastAsia"/>
          <w:bCs/>
          <w:color w:val="auto"/>
          <w:kern w:val="2"/>
          <w:szCs w:val="22"/>
          <w:highlight w:val="none"/>
          <w:u w:val="single"/>
        </w:rPr>
        <w:t>捌</w:t>
      </w:r>
      <w:r>
        <w:rPr>
          <w:rFonts w:hint="eastAsia"/>
          <w:bCs/>
          <w:color w:val="auto"/>
          <w:kern w:val="2"/>
          <w:szCs w:val="22"/>
          <w:highlight w:val="none"/>
        </w:rPr>
        <w:t>份。</w:t>
      </w:r>
    </w:p>
    <w:p>
      <w:pPr>
        <w:pStyle w:val="2"/>
        <w:rPr>
          <w:color w:val="auto"/>
          <w:highlight w:val="none"/>
        </w:rPr>
      </w:pPr>
      <w:r>
        <w:rPr>
          <w:rFonts w:hint="eastAsia"/>
          <w:color w:val="auto"/>
          <w:highlight w:val="none"/>
        </w:rPr>
        <w:t>（以下无正文）</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6"/>
        <w:gridCol w:w="4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500" w:type="pct"/>
            <w:vAlign w:val="center"/>
          </w:tcPr>
          <w:p>
            <w:pPr>
              <w:widowControl w:val="0"/>
              <w:jc w:val="both"/>
              <w:rPr>
                <w:color w:val="auto"/>
                <w:highlight w:val="none"/>
                <w:lang w:eastAsia="zh-CN"/>
              </w:rPr>
            </w:pPr>
            <w:r>
              <w:rPr>
                <w:rFonts w:hint="eastAsia"/>
                <w:color w:val="auto"/>
                <w:highlight w:val="none"/>
                <w:lang w:eastAsia="zh-CN"/>
              </w:rPr>
              <w:t>发包人：（盖章）</w:t>
            </w:r>
          </w:p>
          <w:p>
            <w:pPr>
              <w:widowControl w:val="0"/>
              <w:jc w:val="both"/>
              <w:rPr>
                <w:color w:val="auto"/>
                <w:highlight w:val="none"/>
                <w:lang w:eastAsia="zh-CN"/>
              </w:rPr>
            </w:pPr>
            <w:r>
              <w:rPr>
                <w:rFonts w:hint="eastAsia"/>
                <w:color w:val="auto"/>
                <w:highlight w:val="none"/>
                <w:lang w:eastAsia="zh-CN"/>
              </w:rPr>
              <w:t>深圳市龙华高新技术产业园区开发投资有限公司</w:t>
            </w:r>
          </w:p>
        </w:tc>
        <w:tc>
          <w:tcPr>
            <w:tcW w:w="4646" w:type="dxa"/>
            <w:vAlign w:val="center"/>
          </w:tcPr>
          <w:p>
            <w:pPr>
              <w:widowControl w:val="0"/>
              <w:jc w:val="both"/>
              <w:rPr>
                <w:color w:val="auto"/>
                <w:highlight w:val="none"/>
                <w:lang w:eastAsia="en-US"/>
              </w:rPr>
            </w:pPr>
            <w:r>
              <w:rPr>
                <w:rFonts w:hint="eastAsia"/>
                <w:color w:val="auto"/>
                <w:highlight w:val="none"/>
                <w:lang w:eastAsia="en-US"/>
              </w:rPr>
              <w:t>承包人：（盖章）</w:t>
            </w:r>
          </w:p>
          <w:p>
            <w:pPr>
              <w:widowControl w:val="0"/>
              <w:jc w:val="both"/>
              <w:rPr>
                <w:color w:val="auto"/>
                <w:highlight w:val="none"/>
                <w:lang w:eastAsia="en-US"/>
              </w:rPr>
            </w:pPr>
            <w:r>
              <w:rPr>
                <w:rFonts w:hint="eastAsia"/>
                <w:color w:val="auto"/>
                <w:highlight w:val="none"/>
                <w:lang w:eastAsia="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500" w:type="pct"/>
            <w:vAlign w:val="center"/>
          </w:tcPr>
          <w:p>
            <w:pPr>
              <w:widowControl w:val="0"/>
              <w:jc w:val="both"/>
              <w:rPr>
                <w:color w:val="auto"/>
                <w:highlight w:val="none"/>
                <w:lang w:eastAsia="en-US"/>
              </w:rPr>
            </w:pPr>
            <w:r>
              <w:rPr>
                <w:rFonts w:hint="eastAsia"/>
                <w:color w:val="auto"/>
                <w:highlight w:val="none"/>
                <w:lang w:eastAsia="en-US"/>
              </w:rPr>
              <w:t>法定代表人</w:t>
            </w:r>
          </w:p>
          <w:p>
            <w:pPr>
              <w:widowControl w:val="0"/>
              <w:jc w:val="both"/>
              <w:rPr>
                <w:color w:val="auto"/>
                <w:highlight w:val="none"/>
                <w:lang w:eastAsia="en-US"/>
              </w:rPr>
            </w:pPr>
            <w:r>
              <w:rPr>
                <w:rFonts w:hint="eastAsia"/>
                <w:color w:val="auto"/>
                <w:highlight w:val="none"/>
                <w:lang w:eastAsia="en-US"/>
              </w:rPr>
              <w:t>或其委托代理人：</w:t>
            </w:r>
          </w:p>
          <w:p>
            <w:pPr>
              <w:widowControl w:val="0"/>
              <w:jc w:val="both"/>
              <w:rPr>
                <w:color w:val="auto"/>
                <w:highlight w:val="none"/>
                <w:lang w:eastAsia="en-US"/>
              </w:rPr>
            </w:pPr>
            <w:r>
              <w:rPr>
                <w:rFonts w:hint="eastAsia"/>
                <w:color w:val="auto"/>
                <w:highlight w:val="none"/>
                <w:lang w:eastAsia="en-US"/>
              </w:rPr>
              <w:t>（签名）</w:t>
            </w:r>
          </w:p>
        </w:tc>
        <w:tc>
          <w:tcPr>
            <w:tcW w:w="4646" w:type="dxa"/>
            <w:vAlign w:val="center"/>
          </w:tcPr>
          <w:p>
            <w:pPr>
              <w:widowControl w:val="0"/>
              <w:jc w:val="both"/>
              <w:rPr>
                <w:color w:val="auto"/>
                <w:highlight w:val="none"/>
                <w:lang w:eastAsia="en-US"/>
              </w:rPr>
            </w:pPr>
            <w:r>
              <w:rPr>
                <w:rFonts w:hint="eastAsia"/>
                <w:color w:val="auto"/>
                <w:highlight w:val="none"/>
                <w:lang w:eastAsia="en-US"/>
              </w:rPr>
              <w:t>法定代表人</w:t>
            </w:r>
          </w:p>
          <w:p>
            <w:pPr>
              <w:widowControl w:val="0"/>
              <w:jc w:val="both"/>
              <w:rPr>
                <w:color w:val="auto"/>
                <w:highlight w:val="none"/>
                <w:lang w:eastAsia="en-US"/>
              </w:rPr>
            </w:pPr>
            <w:r>
              <w:rPr>
                <w:rFonts w:hint="eastAsia"/>
                <w:color w:val="auto"/>
                <w:highlight w:val="none"/>
                <w:lang w:eastAsia="en-US"/>
              </w:rPr>
              <w:t>或其委托代理人：</w:t>
            </w:r>
          </w:p>
          <w:p>
            <w:pPr>
              <w:widowControl w:val="0"/>
              <w:jc w:val="both"/>
              <w:rPr>
                <w:color w:val="auto"/>
                <w:highlight w:val="none"/>
                <w:lang w:eastAsia="en-US"/>
              </w:rPr>
            </w:pPr>
            <w:r>
              <w:rPr>
                <w:rFonts w:hint="eastAsia"/>
                <w:color w:val="auto"/>
                <w:highlight w:val="none"/>
                <w:lang w:eastAsia="en-US"/>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00" w:type="pct"/>
            <w:vAlign w:val="center"/>
          </w:tcPr>
          <w:p>
            <w:pPr>
              <w:widowControl w:val="0"/>
              <w:jc w:val="both"/>
              <w:rPr>
                <w:color w:val="auto"/>
                <w:highlight w:val="none"/>
                <w:lang w:eastAsia="en-US"/>
              </w:rPr>
            </w:pPr>
            <w:r>
              <w:rPr>
                <w:rFonts w:hint="eastAsia"/>
                <w:color w:val="auto"/>
                <w:highlight w:val="none"/>
                <w:lang w:eastAsia="en-US"/>
              </w:rPr>
              <w:t>统一社会信用代码：</w:t>
            </w:r>
          </w:p>
          <w:p>
            <w:pPr>
              <w:widowControl w:val="0"/>
              <w:jc w:val="both"/>
              <w:rPr>
                <w:color w:val="auto"/>
                <w:highlight w:val="none"/>
                <w:lang w:eastAsia="en-US"/>
              </w:rPr>
            </w:pPr>
            <w:r>
              <w:rPr>
                <w:rFonts w:hint="eastAsia"/>
                <w:color w:val="auto"/>
                <w:highlight w:val="none"/>
                <w:lang w:eastAsia="en-US"/>
              </w:rPr>
              <w:t>******</w:t>
            </w:r>
          </w:p>
        </w:tc>
        <w:tc>
          <w:tcPr>
            <w:tcW w:w="4646" w:type="dxa"/>
            <w:vAlign w:val="center"/>
          </w:tcPr>
          <w:p>
            <w:pPr>
              <w:widowControl w:val="0"/>
              <w:jc w:val="both"/>
              <w:rPr>
                <w:color w:val="auto"/>
                <w:highlight w:val="none"/>
                <w:lang w:eastAsia="en-US"/>
              </w:rPr>
            </w:pPr>
            <w:r>
              <w:rPr>
                <w:rFonts w:hint="eastAsia"/>
                <w:color w:val="auto"/>
                <w:highlight w:val="none"/>
                <w:lang w:eastAsia="en-US"/>
              </w:rPr>
              <w:t>统一社会信用代码：</w:t>
            </w:r>
          </w:p>
          <w:p>
            <w:pPr>
              <w:widowControl w:val="0"/>
              <w:jc w:val="both"/>
              <w:rPr>
                <w:color w:val="auto"/>
                <w:highlight w:val="none"/>
                <w:lang w:eastAsia="en-US"/>
              </w:rPr>
            </w:pPr>
            <w:r>
              <w:rPr>
                <w:rFonts w:hint="eastAsia"/>
                <w:color w:val="auto"/>
                <w:highlight w:val="none"/>
                <w:lang w:eastAsia="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646" w:type="dxa"/>
            <w:vAlign w:val="center"/>
          </w:tcPr>
          <w:p>
            <w:pPr>
              <w:widowControl w:val="0"/>
              <w:jc w:val="both"/>
              <w:rPr>
                <w:color w:val="auto"/>
                <w:highlight w:val="none"/>
                <w:lang w:eastAsia="en-US"/>
              </w:rPr>
            </w:pPr>
            <w:r>
              <w:rPr>
                <w:rFonts w:hint="eastAsia"/>
                <w:color w:val="auto"/>
                <w:highlight w:val="none"/>
                <w:lang w:eastAsia="en-US"/>
              </w:rPr>
              <w:t>地址：******</w:t>
            </w:r>
          </w:p>
        </w:tc>
        <w:tc>
          <w:tcPr>
            <w:tcW w:w="4646" w:type="dxa"/>
            <w:vAlign w:val="center"/>
          </w:tcPr>
          <w:p>
            <w:pPr>
              <w:widowControl w:val="0"/>
              <w:jc w:val="both"/>
              <w:rPr>
                <w:color w:val="auto"/>
                <w:highlight w:val="none"/>
                <w:lang w:eastAsia="en-US"/>
              </w:rPr>
            </w:pPr>
            <w:r>
              <w:rPr>
                <w:rFonts w:hint="eastAsia"/>
                <w:color w:val="auto"/>
                <w:highlight w:val="none"/>
                <w:lang w:eastAsia="en-US"/>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646" w:type="dxa"/>
          </w:tcPr>
          <w:p>
            <w:pPr>
              <w:widowControl w:val="0"/>
              <w:jc w:val="both"/>
              <w:rPr>
                <w:color w:val="auto"/>
                <w:highlight w:val="none"/>
                <w:lang w:eastAsia="en-US"/>
              </w:rPr>
            </w:pPr>
            <w:r>
              <w:rPr>
                <w:rFonts w:hint="eastAsia"/>
                <w:color w:val="auto"/>
                <w:highlight w:val="none"/>
                <w:lang w:eastAsia="en-US"/>
              </w:rPr>
              <w:t>开户银行：******</w:t>
            </w:r>
          </w:p>
        </w:tc>
        <w:tc>
          <w:tcPr>
            <w:tcW w:w="4646" w:type="dxa"/>
          </w:tcPr>
          <w:p>
            <w:pPr>
              <w:widowControl w:val="0"/>
              <w:jc w:val="both"/>
              <w:rPr>
                <w:color w:val="auto"/>
                <w:highlight w:val="none"/>
                <w:lang w:eastAsia="en-US"/>
              </w:rPr>
            </w:pPr>
            <w:r>
              <w:rPr>
                <w:rFonts w:hint="eastAsia"/>
                <w:color w:val="auto"/>
                <w:highlight w:val="none"/>
                <w:lang w:eastAsia="en-US"/>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646" w:type="dxa"/>
          </w:tcPr>
          <w:p>
            <w:pPr>
              <w:widowControl w:val="0"/>
              <w:jc w:val="both"/>
              <w:rPr>
                <w:color w:val="auto"/>
                <w:highlight w:val="none"/>
                <w:lang w:eastAsia="en-US"/>
              </w:rPr>
            </w:pPr>
            <w:r>
              <w:rPr>
                <w:rFonts w:hint="eastAsia"/>
                <w:color w:val="auto"/>
                <w:highlight w:val="none"/>
                <w:lang w:eastAsia="en-US"/>
              </w:rPr>
              <w:t>银行账号：******</w:t>
            </w:r>
          </w:p>
        </w:tc>
        <w:tc>
          <w:tcPr>
            <w:tcW w:w="4646" w:type="dxa"/>
          </w:tcPr>
          <w:p>
            <w:pPr>
              <w:widowControl w:val="0"/>
              <w:jc w:val="both"/>
              <w:rPr>
                <w:color w:val="auto"/>
                <w:highlight w:val="none"/>
                <w:lang w:eastAsia="en-US"/>
              </w:rPr>
            </w:pPr>
            <w:r>
              <w:rPr>
                <w:rFonts w:hint="eastAsia"/>
                <w:color w:val="auto"/>
                <w:highlight w:val="none"/>
                <w:lang w:eastAsia="en-US"/>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46" w:type="dxa"/>
            <w:vAlign w:val="center"/>
          </w:tcPr>
          <w:p>
            <w:pPr>
              <w:widowControl w:val="0"/>
              <w:jc w:val="both"/>
              <w:rPr>
                <w:color w:val="auto"/>
                <w:highlight w:val="none"/>
                <w:lang w:eastAsia="en-US"/>
              </w:rPr>
            </w:pPr>
            <w:r>
              <w:rPr>
                <w:rFonts w:hint="eastAsia"/>
                <w:color w:val="auto"/>
                <w:highlight w:val="none"/>
                <w:lang w:eastAsia="en-US"/>
              </w:rPr>
              <w:t>邮政编码：******</w:t>
            </w:r>
          </w:p>
        </w:tc>
        <w:tc>
          <w:tcPr>
            <w:tcW w:w="4646" w:type="dxa"/>
            <w:vAlign w:val="center"/>
          </w:tcPr>
          <w:p>
            <w:pPr>
              <w:widowControl w:val="0"/>
              <w:jc w:val="both"/>
              <w:rPr>
                <w:color w:val="auto"/>
                <w:highlight w:val="none"/>
                <w:lang w:eastAsia="en-US"/>
              </w:rPr>
            </w:pPr>
            <w:r>
              <w:rPr>
                <w:rFonts w:hint="eastAsia"/>
                <w:color w:val="auto"/>
                <w:highlight w:val="none"/>
                <w:lang w:eastAsia="en-US"/>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46" w:type="dxa"/>
            <w:vAlign w:val="center"/>
          </w:tcPr>
          <w:p>
            <w:pPr>
              <w:widowControl w:val="0"/>
              <w:jc w:val="both"/>
              <w:rPr>
                <w:color w:val="auto"/>
                <w:highlight w:val="none"/>
                <w:lang w:eastAsia="en-US"/>
              </w:rPr>
            </w:pPr>
            <w:r>
              <w:rPr>
                <w:rFonts w:hint="eastAsia"/>
                <w:color w:val="auto"/>
                <w:highlight w:val="none"/>
                <w:lang w:eastAsia="en-US"/>
              </w:rPr>
              <w:t>电子邮箱：******</w:t>
            </w:r>
          </w:p>
        </w:tc>
        <w:tc>
          <w:tcPr>
            <w:tcW w:w="4646" w:type="dxa"/>
            <w:vAlign w:val="center"/>
          </w:tcPr>
          <w:p>
            <w:pPr>
              <w:widowControl w:val="0"/>
              <w:jc w:val="both"/>
              <w:rPr>
                <w:color w:val="auto"/>
                <w:highlight w:val="none"/>
                <w:lang w:eastAsia="en-US"/>
              </w:rPr>
            </w:pPr>
            <w:r>
              <w:rPr>
                <w:rFonts w:hint="eastAsia"/>
                <w:color w:val="auto"/>
                <w:highlight w:val="none"/>
                <w:lang w:eastAsia="en-US"/>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646" w:type="dxa"/>
            <w:vAlign w:val="center"/>
          </w:tcPr>
          <w:p>
            <w:pPr>
              <w:widowControl w:val="0"/>
              <w:jc w:val="both"/>
              <w:rPr>
                <w:color w:val="auto"/>
                <w:highlight w:val="none"/>
                <w:lang w:eastAsia="en-US"/>
              </w:rPr>
            </w:pPr>
            <w:r>
              <w:rPr>
                <w:rFonts w:hint="eastAsia"/>
                <w:color w:val="auto"/>
                <w:highlight w:val="none"/>
                <w:lang w:eastAsia="en-US"/>
              </w:rPr>
              <w:t>合同联系人：******</w:t>
            </w:r>
          </w:p>
        </w:tc>
        <w:tc>
          <w:tcPr>
            <w:tcW w:w="4646" w:type="dxa"/>
            <w:vAlign w:val="center"/>
          </w:tcPr>
          <w:p>
            <w:pPr>
              <w:widowControl w:val="0"/>
              <w:jc w:val="both"/>
              <w:rPr>
                <w:color w:val="auto"/>
                <w:highlight w:val="none"/>
                <w:lang w:eastAsia="en-US"/>
              </w:rPr>
            </w:pPr>
            <w:r>
              <w:rPr>
                <w:rFonts w:hint="eastAsia"/>
                <w:color w:val="auto"/>
                <w:highlight w:val="none"/>
                <w:lang w:eastAsia="en-US"/>
              </w:rPr>
              <w:t>合同联系人：******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46" w:type="dxa"/>
            <w:vAlign w:val="center"/>
          </w:tcPr>
          <w:p>
            <w:pPr>
              <w:widowControl w:val="0"/>
              <w:jc w:val="both"/>
              <w:rPr>
                <w:color w:val="auto"/>
                <w:highlight w:val="none"/>
                <w:lang w:eastAsia="en-US"/>
              </w:rPr>
            </w:pPr>
            <w:r>
              <w:rPr>
                <w:rFonts w:hint="eastAsia"/>
                <w:color w:val="auto"/>
                <w:highlight w:val="none"/>
                <w:lang w:eastAsia="en-US"/>
              </w:rPr>
              <w:t>联系方式：******</w:t>
            </w:r>
          </w:p>
        </w:tc>
        <w:tc>
          <w:tcPr>
            <w:tcW w:w="4646" w:type="dxa"/>
            <w:vAlign w:val="center"/>
          </w:tcPr>
          <w:p>
            <w:pPr>
              <w:widowControl w:val="0"/>
              <w:jc w:val="both"/>
              <w:rPr>
                <w:color w:val="auto"/>
                <w:highlight w:val="none"/>
                <w:lang w:eastAsia="en-US"/>
              </w:rPr>
            </w:pPr>
            <w:r>
              <w:rPr>
                <w:rFonts w:hint="eastAsia"/>
                <w:color w:val="auto"/>
                <w:highlight w:val="none"/>
                <w:lang w:eastAsia="en-US"/>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00" w:type="pct"/>
            <w:vAlign w:val="center"/>
          </w:tcPr>
          <w:p>
            <w:pPr>
              <w:widowControl w:val="0"/>
              <w:jc w:val="both"/>
              <w:rPr>
                <w:color w:val="auto"/>
                <w:highlight w:val="none"/>
                <w:lang w:eastAsia="zh-CN"/>
              </w:rPr>
            </w:pPr>
            <w:r>
              <w:rPr>
                <w:rFonts w:hint="eastAsia"/>
                <w:color w:val="auto"/>
                <w:highlight w:val="none"/>
                <w:lang w:eastAsia="zh-CN"/>
              </w:rPr>
              <w:t>合同签订时间：20  年    月   日</w:t>
            </w:r>
          </w:p>
        </w:tc>
        <w:tc>
          <w:tcPr>
            <w:tcW w:w="2500" w:type="pct"/>
            <w:vAlign w:val="center"/>
          </w:tcPr>
          <w:p>
            <w:pPr>
              <w:widowControl w:val="0"/>
              <w:jc w:val="both"/>
              <w:rPr>
                <w:color w:val="auto"/>
                <w:highlight w:val="none"/>
                <w:lang w:eastAsia="zh-CN"/>
              </w:rPr>
            </w:pPr>
          </w:p>
        </w:tc>
      </w:tr>
    </w:tbl>
    <w:p>
      <w:pPr>
        <w:pStyle w:val="2"/>
        <w:rPr>
          <w:color w:val="auto"/>
          <w:highlight w:val="none"/>
        </w:rPr>
      </w:pPr>
    </w:p>
    <w:p>
      <w:pPr>
        <w:widowControl w:val="0"/>
        <w:jc w:val="both"/>
        <w:rPr>
          <w:rFonts w:asciiTheme="minorHAnsi" w:hAnsiTheme="minorHAnsi" w:eastAsiaTheme="minorEastAsia" w:cstheme="minorBidi"/>
          <w:color w:val="auto"/>
          <w:kern w:val="2"/>
          <w:sz w:val="21"/>
          <w:szCs w:val="22"/>
          <w:highlight w:val="none"/>
        </w:rPr>
      </w:pPr>
    </w:p>
    <w:p>
      <w:pPr>
        <w:spacing w:line="360" w:lineRule="auto"/>
        <w:ind w:firstLine="519"/>
        <w:rPr>
          <w:b/>
          <w:bCs/>
          <w:color w:val="auto"/>
          <w:highlight w:val="none"/>
        </w:rPr>
      </w:pPr>
      <w:r>
        <w:rPr>
          <w:color w:val="auto"/>
          <w:highlight w:val="none"/>
        </w:rPr>
        <w:fldChar w:fldCharType="begin"/>
      </w:r>
      <w:r>
        <w:rPr>
          <w:color w:val="auto"/>
          <w:highlight w:val="none"/>
        </w:rPr>
        <w:instrText xml:space="preserve"> AUTOTEXT  协议书 \* MERGEFORMAT </w:instrText>
      </w:r>
      <w:r>
        <w:rPr>
          <w:color w:val="auto"/>
          <w:highlight w:val="none"/>
        </w:rPr>
        <w:fldChar w:fldCharType="separate"/>
      </w:r>
      <w:r>
        <w:rPr>
          <w:color w:val="auto"/>
          <w:highlight w:val="none"/>
        </w:rPr>
        <w:fldChar w:fldCharType="end"/>
      </w:r>
    </w:p>
    <w:p>
      <w:pPr>
        <w:spacing w:line="360" w:lineRule="auto"/>
        <w:rPr>
          <w:bCs/>
          <w:color w:val="auto"/>
          <w:highlight w:val="none"/>
        </w:rPr>
      </w:pPr>
      <w:r>
        <w:rPr>
          <w:bCs/>
          <w:color w:val="auto"/>
          <w:highlight w:val="none"/>
        </w:rPr>
        <w:br w:type="page"/>
      </w:r>
    </w:p>
    <w:p>
      <w:pPr>
        <w:spacing w:line="360" w:lineRule="auto"/>
        <w:jc w:val="center"/>
        <w:outlineLvl w:val="0"/>
        <w:rPr>
          <w:rFonts w:ascii="黑体" w:hAnsi="黑体" w:eastAsia="黑体"/>
          <w:color w:val="auto"/>
          <w:sz w:val="32"/>
          <w:highlight w:val="none"/>
        </w:rPr>
      </w:pPr>
      <w:r>
        <w:rPr>
          <w:rFonts w:hint="eastAsia" w:ascii="黑体" w:hAnsi="黑体" w:eastAsia="黑体"/>
          <w:color w:val="auto"/>
          <w:sz w:val="32"/>
          <w:highlight w:val="none"/>
        </w:rPr>
        <w:t>第二部分  通用条款</w:t>
      </w:r>
    </w:p>
    <w:p>
      <w:pPr>
        <w:adjustRightInd w:val="0"/>
        <w:snapToGrid w:val="0"/>
        <w:spacing w:line="360" w:lineRule="auto"/>
        <w:ind w:left="178"/>
        <w:rPr>
          <w:color w:val="auto"/>
          <w:sz w:val="28"/>
          <w:highlight w:val="none"/>
        </w:rPr>
      </w:pPr>
      <w:r>
        <w:rPr>
          <w:b/>
          <w:color w:val="auto"/>
          <w:sz w:val="28"/>
          <w:highlight w:val="none"/>
        </w:rPr>
        <w:t>1</w:t>
      </w:r>
      <w:r>
        <w:rPr>
          <w:rFonts w:hint="eastAsia"/>
          <w:b/>
          <w:color w:val="auto"/>
          <w:sz w:val="28"/>
          <w:highlight w:val="none"/>
        </w:rPr>
        <w:t>词语定义</w:t>
      </w:r>
    </w:p>
    <w:p>
      <w:pPr>
        <w:tabs>
          <w:tab w:val="left" w:pos="1620"/>
          <w:tab w:val="left" w:pos="2340"/>
        </w:tabs>
        <w:adjustRightInd w:val="0"/>
        <w:snapToGrid w:val="0"/>
        <w:spacing w:line="360" w:lineRule="auto"/>
        <w:ind w:firstLine="420"/>
        <w:rPr>
          <w:color w:val="auto"/>
          <w:highlight w:val="none"/>
        </w:rPr>
      </w:pPr>
      <w:r>
        <w:rPr>
          <w:rFonts w:hint="eastAsia"/>
          <w:color w:val="auto"/>
          <w:highlight w:val="none"/>
        </w:rPr>
        <w:t>下列词语除</w:t>
      </w:r>
      <w:r>
        <w:rPr>
          <w:rFonts w:hint="eastAsia"/>
          <w:b/>
          <w:i/>
          <w:color w:val="auto"/>
          <w:highlight w:val="none"/>
        </w:rPr>
        <w:t>专用条款</w:t>
      </w:r>
      <w:r>
        <w:rPr>
          <w:rFonts w:hint="eastAsia"/>
          <w:color w:val="auto"/>
          <w:highlight w:val="none"/>
        </w:rPr>
        <w:t>另有约定外，应具有本条所赋予的定义：</w:t>
      </w:r>
    </w:p>
    <w:p>
      <w:pPr>
        <w:adjustRightInd w:val="0"/>
        <w:snapToGrid w:val="0"/>
        <w:spacing w:line="360" w:lineRule="auto"/>
        <w:ind w:left="359"/>
        <w:rPr>
          <w:color w:val="auto"/>
          <w:highlight w:val="none"/>
        </w:rPr>
      </w:pPr>
      <w:r>
        <w:rPr>
          <w:b/>
          <w:color w:val="auto"/>
          <w:highlight w:val="none"/>
        </w:rPr>
        <w:t>1.1</w:t>
      </w:r>
      <w:r>
        <w:rPr>
          <w:rFonts w:hint="eastAsia"/>
          <w:b/>
          <w:color w:val="auto"/>
          <w:highlight w:val="none"/>
        </w:rPr>
        <w:t>合同主体与参与各方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⑴发包人：指本合同指明执行本工程投资或负责管理本工程的、具有相应工程发包主体资格和支付工程价款能力的当事人，以及取得该资格和能力的合法继承人。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⑵发包人代表：指由发包人任命的行使发包人在本合同约定的权利和义务的代表。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⑶承包人：指其投标文件已为发包人所接受，并与发包人签订了合同协议书承建本工程、具有相应工程施工资质的当事人，以及取得该资格的合法继承人。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⑷项目经理：指由承包人任命常驻现场、并取得相应资格的工程管理人员，代表承包人履行本合同约定的权利和义务。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⑸专业工程承包人：指与发包人签订专业工程施工合同并承建该合同指定专业工程的、具有相应工程施工资质的当事人，以及取得该当事人资格的合法继承人。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⑹分包人：指经发包人认可并与承包人签订了分包合同承建本工程部分工程的、具有相应工程施工资质的当事人，以及取得该当事人资格的合法继承人。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w:t>
      </w:r>
      <w:r>
        <w:rPr>
          <w:color w:val="auto"/>
          <w:highlight w:val="none"/>
        </w:rPr>
        <w:t>监理人</w:t>
      </w:r>
      <w:r>
        <w:rPr>
          <w:rFonts w:hint="eastAsia"/>
          <w:color w:val="auto"/>
          <w:highlight w:val="none"/>
        </w:rPr>
        <w:t>：指由发包人委托的负责本工程监理工作并取得相应工程监理资质的当事人，以及取得该当事人资格的合法继承人。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⑻总监理工程师：指</w:t>
      </w:r>
      <w:r>
        <w:rPr>
          <w:color w:val="auto"/>
          <w:highlight w:val="none"/>
        </w:rPr>
        <w:t>监理人</w:t>
      </w:r>
      <w:r>
        <w:rPr>
          <w:rFonts w:hint="eastAsia"/>
          <w:color w:val="auto"/>
          <w:highlight w:val="none"/>
        </w:rPr>
        <w:t>指派常驻现场履行</w:t>
      </w:r>
      <w:r>
        <w:rPr>
          <w:color w:val="auto"/>
          <w:highlight w:val="none"/>
        </w:rPr>
        <w:t>监理人</w:t>
      </w:r>
      <w:r>
        <w:rPr>
          <w:rFonts w:hint="eastAsia"/>
          <w:color w:val="auto"/>
          <w:highlight w:val="none"/>
        </w:rPr>
        <w:t>职责的代表。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⑼</w:t>
      </w:r>
      <w:r>
        <w:rPr>
          <w:color w:val="auto"/>
          <w:highlight w:val="none"/>
        </w:rPr>
        <w:t>设计人</w:t>
      </w:r>
      <w:r>
        <w:rPr>
          <w:rFonts w:hint="eastAsia"/>
          <w:color w:val="auto"/>
          <w:highlight w:val="none"/>
        </w:rPr>
        <w:t>：指发包人委托的负责本工程设计并取得相应工程设计资质的当事人，以及取得该当事人资格的合法继承人。</w:t>
      </w:r>
    </w:p>
    <w:p>
      <w:pPr>
        <w:adjustRightInd w:val="0"/>
        <w:snapToGrid w:val="0"/>
        <w:spacing w:line="360" w:lineRule="auto"/>
        <w:ind w:left="359"/>
        <w:rPr>
          <w:color w:val="auto"/>
          <w:highlight w:val="none"/>
        </w:rPr>
      </w:pPr>
      <w:r>
        <w:rPr>
          <w:b/>
          <w:color w:val="auto"/>
          <w:highlight w:val="none"/>
        </w:rPr>
        <w:t>1.2</w:t>
      </w:r>
      <w:r>
        <w:rPr>
          <w:rFonts w:hint="eastAsia"/>
          <w:b/>
          <w:color w:val="auto"/>
          <w:highlight w:val="none"/>
        </w:rPr>
        <w:t>合同文件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⑴合同：是指由承包人进行本工程施工并提供工程保修服务，发包人支付价款，约定双方权利义务的协议。合同由通用条款第</w:t>
      </w:r>
      <w:r>
        <w:rPr>
          <w:color w:val="auto"/>
          <w:highlight w:val="none"/>
        </w:rPr>
        <w:t>2.</w:t>
      </w:r>
      <w:r>
        <w:rPr>
          <w:rFonts w:hint="eastAsia"/>
          <w:color w:val="auto"/>
          <w:highlight w:val="none"/>
        </w:rPr>
        <w:t>1款所列的文件组成。</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⑵图纸：指由发包人按本合同约定向承包人提供的全部设计图纸、计算书和性质类似的技术资料，或由承包人提交并经</w:t>
      </w:r>
      <w:r>
        <w:rPr>
          <w:color w:val="auto"/>
          <w:highlight w:val="none"/>
        </w:rPr>
        <w:t>监理人</w:t>
      </w:r>
      <w:r>
        <w:rPr>
          <w:rFonts w:hint="eastAsia"/>
          <w:color w:val="auto"/>
          <w:highlight w:val="none"/>
        </w:rPr>
        <w:t>批准的所有图纸、计算书和其他性质类似的技术资料。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⑶标准、规范：指本合同中约定的适用于本工程的技术标准、规范及其修改或补充。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⑸书面形式：指合同、协议、信件和数据电文(包括电报、电传、传真、电子数据交换和电子邮件)等可以有形地表现所载内容的形式。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⑹其他合同文件：是指经承发包双方约定的与工程施工有关的具有合同约束力的文件或书面协议。承发包双方可以在</w:t>
      </w:r>
      <w:r>
        <w:rPr>
          <w:rFonts w:hint="eastAsia"/>
          <w:b/>
          <w:i/>
          <w:color w:val="auto"/>
          <w:highlight w:val="none"/>
        </w:rPr>
        <w:t>专用条款</w:t>
      </w:r>
      <w:r>
        <w:rPr>
          <w:rFonts w:hint="eastAsia"/>
          <w:color w:val="auto"/>
          <w:highlight w:val="none"/>
        </w:rPr>
        <w:t>中进行约定。</w:t>
      </w:r>
    </w:p>
    <w:p>
      <w:pPr>
        <w:adjustRightInd w:val="0"/>
        <w:snapToGrid w:val="0"/>
        <w:spacing w:line="360" w:lineRule="auto"/>
        <w:ind w:left="359"/>
        <w:rPr>
          <w:color w:val="auto"/>
          <w:highlight w:val="none"/>
        </w:rPr>
      </w:pPr>
      <w:r>
        <w:rPr>
          <w:b/>
          <w:color w:val="auto"/>
          <w:highlight w:val="none"/>
        </w:rPr>
        <w:t>1.3</w:t>
      </w:r>
      <w:r>
        <w:rPr>
          <w:rFonts w:hint="eastAsia"/>
          <w:b/>
          <w:color w:val="auto"/>
          <w:highlight w:val="none"/>
        </w:rPr>
        <w:t>工程、现场与装备</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⑴永久工程：指根据本合同约定应实施的永久性工程，包括1.3⑻款所指的设备。</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⑵临时工程：指实施和完成本工程及其缺陷的修复过程中所需的各种临时性工程，但不包括1.3⑼款所指的承包人装备。</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⑶工程：指永久工程和临时工程，或视具体情况指两者中的任何一个。</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⑷单项工程：指本工程范围内、合同约定或能单独发挥效益的某一独立工程。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⑸现场：指由发包人提供的用于本工程施工的场地以及发包人在本合同中具体指定构成现场一部分的其他场所。</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⑹永久占地：指为实施本工程而需要的长期占用的土地，具体期限以政府批准的土地使用年限为准。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⑺临时占地：指为实施本工程而需要的一切临时占用土地，包括施工所用的临时支线、便道、便桥和现场的临时出入通道，以及生产、生活等临时设施用地等。</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⑻设备：指预定构成或构成永久工程一部分的机械、仪器、装置。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⑼承包人装备：指属承包人所有(或租赁)的，为实施和完成本工程及其缺陷修复所需的机械、器具或物品。</w:t>
      </w:r>
    </w:p>
    <w:p>
      <w:pPr>
        <w:adjustRightInd w:val="0"/>
        <w:snapToGrid w:val="0"/>
        <w:spacing w:line="360" w:lineRule="auto"/>
        <w:ind w:left="359"/>
        <w:rPr>
          <w:color w:val="auto"/>
          <w:highlight w:val="none"/>
        </w:rPr>
      </w:pPr>
      <w:r>
        <w:rPr>
          <w:b/>
          <w:color w:val="auto"/>
          <w:highlight w:val="none"/>
        </w:rPr>
        <w:t>1.4</w:t>
      </w:r>
      <w:r>
        <w:rPr>
          <w:rFonts w:hint="eastAsia"/>
          <w:b/>
          <w:color w:val="auto"/>
          <w:highlight w:val="none"/>
        </w:rPr>
        <w:t>合同价格与费用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⑴签约合同价：指在中标通知书和合同协议书中写明的，承包人按合同约定实施和完成本工程及其缺陷的修复应得到的价款。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⑵合同价格：指发包人用于支付承包人按照合同约定完成承包范围内全部工作的金额，包括合同履行过程中按合同约定发生的价格变化。</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⑶费用：指为履行合同所发生的或将要发生的所有必需的开支，包括管理费和应分摊的其他费用，但不包括利润。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⑷计日工：承包人在本合同履行过程中依发包人要求所完成的施工图纸以外的零星项目或工作。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⑸现场签证：发包人和承包人双方对其在本合同履行过程中涉及的相关责任事件所作的签认证明。</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⑹质量保证金：指承包人用于保证其在缺陷责任期内履行缺陷修补义务的担保。</w:t>
      </w:r>
    </w:p>
    <w:p>
      <w:pPr>
        <w:adjustRightInd w:val="0"/>
        <w:snapToGrid w:val="0"/>
        <w:spacing w:line="360" w:lineRule="auto"/>
        <w:ind w:left="359"/>
        <w:rPr>
          <w:color w:val="auto"/>
          <w:highlight w:val="none"/>
        </w:rPr>
      </w:pPr>
      <w:r>
        <w:rPr>
          <w:b/>
          <w:color w:val="auto"/>
          <w:highlight w:val="none"/>
        </w:rPr>
        <w:t>1.5</w:t>
      </w:r>
      <w:r>
        <w:rPr>
          <w:rFonts w:hint="eastAsia"/>
          <w:b/>
          <w:color w:val="auto"/>
          <w:highlight w:val="none"/>
        </w:rPr>
        <w:t>施工工期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⑴计划开工日期：指发包人和承包人在本合同协议书中约定，承包人开始本工程施工的绝对或相对的日期。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⑵计划竣工日期：指发包人和承包人在本合同协议书中约定，承包人完成本工程施工的绝对或相对的日期。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⑶合同工期：指发包人和承包人在本合同协议书中约定的，按总日历天数(包括法定节假日)计算的从开工日期至竣工日期的天数。</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⑷定额工期：指按《深圳市建设工程施工工期定额》计算的本工程工期。《深圳市建设工程施工工期定额》缺项的专业工程，其定额工期由发包人组织专家论证评审确定。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⑸实际开工日期：指工程具备开工条件，</w:t>
      </w:r>
      <w:r>
        <w:rPr>
          <w:color w:val="auto"/>
          <w:highlight w:val="none"/>
        </w:rPr>
        <w:t>监理人</w:t>
      </w:r>
      <w:r>
        <w:rPr>
          <w:rFonts w:hint="eastAsia"/>
          <w:color w:val="auto"/>
          <w:highlight w:val="none"/>
        </w:rPr>
        <w:t>向承包人发出开工通知书中指令的开始本工程施工的日期。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⑹实际竣工日期：指承包人按本合同约定承包范围和质量要求完成本工程施工并通过竣工验收的日期。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⑺实际工期：指按总日历天数(包括法定节假日)计算的从实际开工日期至实际竣工日期的天数。</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⑻交接证书：指本工程或本合同中约定有单独工期的单项工程竣工后，发包人和承包人进行本工程移交所签发的证书。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⑼缺陷责任期：是指承包人按照合同约定承担缺陷修复义务，且发包人预留质量保证金的期限，自工程实际竣工日期起计算。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⑽保修期：是指承包人按照合同约定对工程承担保修责任的期限，从工程竣工验收合格之日起计算。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⑾基准日期：</w:t>
      </w:r>
      <w:r>
        <w:rPr>
          <w:color w:val="auto"/>
          <w:highlight w:val="none"/>
        </w:rPr>
        <w:t>以投标截止日前28天的日期为基准日</w:t>
      </w:r>
      <w:r>
        <w:rPr>
          <w:rFonts w:hint="eastAsia"/>
          <w:color w:val="auto"/>
          <w:highlight w:val="none"/>
        </w:rPr>
        <w:t>期</w:t>
      </w:r>
      <w:r>
        <w:rPr>
          <w:color w:val="auto"/>
          <w:highlight w:val="none"/>
        </w:rPr>
        <w:t>。</w:t>
      </w:r>
    </w:p>
    <w:p>
      <w:pPr>
        <w:adjustRightInd w:val="0"/>
        <w:snapToGrid w:val="0"/>
        <w:spacing w:line="360" w:lineRule="auto"/>
        <w:ind w:left="359"/>
        <w:rPr>
          <w:color w:val="auto"/>
          <w:highlight w:val="none"/>
        </w:rPr>
      </w:pPr>
      <w:r>
        <w:rPr>
          <w:b/>
          <w:color w:val="auto"/>
          <w:highlight w:val="none"/>
        </w:rPr>
        <w:t>1.6</w:t>
      </w:r>
      <w:r>
        <w:rPr>
          <w:rFonts w:hint="eastAsia"/>
          <w:b/>
          <w:color w:val="auto"/>
          <w:highlight w:val="none"/>
        </w:rPr>
        <w:t>其它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⑴违约责任：指合同一方不履行合同义务或履行合同义务不符合约定所应承担的责任。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⑵索赔：指在合同履行过程中，对于并非自己的过错、而应由对方承担责任的情况造成的损失，向对方提出经济补偿和</w:t>
      </w:r>
      <w:r>
        <w:rPr>
          <w:color w:val="auto"/>
          <w:highlight w:val="none"/>
        </w:rPr>
        <w:t>(</w:t>
      </w:r>
      <w:r>
        <w:rPr>
          <w:rFonts w:hint="eastAsia"/>
          <w:color w:val="auto"/>
          <w:highlight w:val="none"/>
        </w:rPr>
        <w:t>或</w:t>
      </w:r>
      <w:r>
        <w:rPr>
          <w:color w:val="auto"/>
          <w:highlight w:val="none"/>
        </w:rPr>
        <w:t>)</w:t>
      </w:r>
      <w:r>
        <w:rPr>
          <w:rFonts w:hint="eastAsia"/>
          <w:color w:val="auto"/>
          <w:highlight w:val="none"/>
        </w:rPr>
        <w:t>工期顺延的要求。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⑶不可抗力：发包人和承包人在合同签订时不能预见、对其发生的后果不能避免，并且不能克服的自然灾害和社会性突发事件。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⑸法定节假日：指星期六、星期天及国家法定的其它节假日。</w:t>
      </w:r>
    </w:p>
    <w:p>
      <w:pPr>
        <w:adjustRightInd w:val="0"/>
        <w:snapToGrid w:val="0"/>
        <w:spacing w:line="360" w:lineRule="auto"/>
        <w:ind w:left="359"/>
        <w:rPr>
          <w:color w:val="auto"/>
          <w:highlight w:val="none"/>
        </w:rPr>
      </w:pPr>
      <w:r>
        <w:rPr>
          <w:b/>
          <w:color w:val="auto"/>
          <w:highlight w:val="none"/>
        </w:rPr>
        <w:t>1.7</w:t>
      </w:r>
      <w:r>
        <w:rPr>
          <w:rFonts w:hint="eastAsia"/>
          <w:b/>
          <w:color w:val="auto"/>
          <w:highlight w:val="none"/>
        </w:rPr>
        <w:t>标题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本合同条款的标题不视为合同条款或合同本身的一部分，在解释及推定合同条款时，不列入考虑。</w:t>
      </w:r>
    </w:p>
    <w:p>
      <w:pPr>
        <w:adjustRightInd w:val="0"/>
        <w:snapToGrid w:val="0"/>
        <w:spacing w:line="360" w:lineRule="auto"/>
        <w:ind w:left="359"/>
        <w:rPr>
          <w:color w:val="auto"/>
          <w:highlight w:val="none"/>
        </w:rPr>
      </w:pPr>
      <w:r>
        <w:rPr>
          <w:b/>
          <w:color w:val="auto"/>
          <w:highlight w:val="none"/>
        </w:rPr>
        <w:t>1.8</w:t>
      </w:r>
      <w:r>
        <w:rPr>
          <w:rFonts w:hint="eastAsia"/>
          <w:b/>
          <w:color w:val="auto"/>
          <w:highlight w:val="none"/>
        </w:rPr>
        <w:t>书面形式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⑴本合同另有约定外，在合同履行过程中承发包双方发出或发布的任何通知、指令，均应是书面的，收件方应在回执上签署姓名和收到时间，不应无理扣压或拖延。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⑵本合同在签订过程中应由打印形成，除承发包双方的法定代表人或授权代表签名外，如需手写的，所有手写部分必须由同一人手写。发包人和承包人应共同指定填写人，并在</w:t>
      </w:r>
      <w:r>
        <w:rPr>
          <w:rFonts w:hint="eastAsia"/>
          <w:b/>
          <w:i/>
          <w:color w:val="auto"/>
          <w:highlight w:val="none"/>
        </w:rPr>
        <w:t>专用条款</w:t>
      </w:r>
      <w:r>
        <w:rPr>
          <w:rFonts w:hint="eastAsia"/>
          <w:color w:val="auto"/>
          <w:highlight w:val="none"/>
        </w:rPr>
        <w:t>中明确填写人的姓名和身份证号码。</w:t>
      </w:r>
    </w:p>
    <w:p>
      <w:pPr>
        <w:adjustRightInd w:val="0"/>
        <w:snapToGrid w:val="0"/>
        <w:spacing w:line="360" w:lineRule="auto"/>
        <w:ind w:left="178"/>
        <w:rPr>
          <w:color w:val="auto"/>
          <w:sz w:val="28"/>
          <w:highlight w:val="none"/>
        </w:rPr>
      </w:pPr>
      <w:r>
        <w:rPr>
          <w:b/>
          <w:color w:val="auto"/>
          <w:sz w:val="28"/>
          <w:highlight w:val="none"/>
        </w:rPr>
        <w:t>2</w:t>
      </w:r>
      <w:r>
        <w:rPr>
          <w:rFonts w:hint="eastAsia"/>
          <w:b/>
          <w:color w:val="auto"/>
          <w:sz w:val="28"/>
          <w:highlight w:val="none"/>
        </w:rPr>
        <w:t>一般约定</w:t>
      </w:r>
    </w:p>
    <w:p>
      <w:pPr>
        <w:adjustRightInd w:val="0"/>
        <w:snapToGrid w:val="0"/>
        <w:spacing w:line="360" w:lineRule="auto"/>
        <w:ind w:left="359"/>
        <w:rPr>
          <w:color w:val="auto"/>
          <w:highlight w:val="none"/>
        </w:rPr>
      </w:pPr>
      <w:r>
        <w:rPr>
          <w:b/>
          <w:color w:val="auto"/>
          <w:highlight w:val="none"/>
        </w:rPr>
        <w:t>2.1</w:t>
      </w:r>
      <w:r>
        <w:rPr>
          <w:rFonts w:hint="eastAsia"/>
          <w:b/>
          <w:color w:val="auto"/>
          <w:highlight w:val="none"/>
        </w:rPr>
        <w:t>合同文件组成及解释顺序</w:t>
      </w:r>
    </w:p>
    <w:p>
      <w:pPr>
        <w:tabs>
          <w:tab w:val="left" w:pos="1620"/>
          <w:tab w:val="left" w:pos="2340"/>
        </w:tabs>
        <w:adjustRightInd w:val="0"/>
        <w:snapToGrid w:val="0"/>
        <w:spacing w:line="360" w:lineRule="auto"/>
        <w:ind w:left="899"/>
        <w:rPr>
          <w:color w:val="auto"/>
          <w:highlight w:val="none"/>
        </w:rPr>
      </w:pPr>
      <w:r>
        <w:rPr>
          <w:color w:val="auto"/>
          <w:highlight w:val="none"/>
        </w:rPr>
        <w:t>在合同订立及履行过程中形成的与合同有关的文件均构成合同文件组成部分。</w:t>
      </w:r>
      <w:r>
        <w:rPr>
          <w:rFonts w:hint="eastAsia"/>
          <w:color w:val="auto"/>
          <w:highlight w:val="none"/>
        </w:rPr>
        <w:t>组成合同的各个文件应该是一个整体，彼此相互解释，互为说明。本合同组成文件及优先解释顺序如下：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⑴本合同签订后双方新签订的补充协议；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⑵合同协议书；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⑶中标通知书；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⑷合同补充条款及其附件；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⑸合同专用条款；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⑹合同通用条款；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⑺本工程招标文件中的技术要求和投标报价规定；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⑻投标文件(包括承包人在评标期间和合同谈判过程中递交和确认并经发包人同意的对有关问题的补充资料和澄清文件等)；</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⑼现行的标准、规范、规定及有关技术文件；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⑽图纸和技术规格书；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⑾已标价工程量清单；</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⑿发包人和承包人双方有关本工程的变更、签证、洽商、索赔、询价采购凭证等书面文件及组成合同的其他文件。</w:t>
      </w:r>
    </w:p>
    <w:p>
      <w:pPr>
        <w:tabs>
          <w:tab w:val="left" w:pos="1620"/>
          <w:tab w:val="left" w:pos="2340"/>
        </w:tabs>
        <w:adjustRightInd w:val="0"/>
        <w:snapToGrid w:val="0"/>
        <w:spacing w:line="360" w:lineRule="auto"/>
        <w:ind w:left="899"/>
        <w:rPr>
          <w:color w:val="auto"/>
          <w:highlight w:val="none"/>
        </w:rPr>
      </w:pPr>
      <w:r>
        <w:rPr>
          <w:color w:val="auto"/>
          <w:highlight w:val="none"/>
        </w:rPr>
        <w:t>上述各项合同文件包括承发包双方就该项合同文件所作出的补充和修改，属于同一类内容的文件，应以最新签署的为准。</w:t>
      </w:r>
    </w:p>
    <w:p>
      <w:pPr>
        <w:adjustRightInd w:val="0"/>
        <w:snapToGrid w:val="0"/>
        <w:spacing w:line="360" w:lineRule="auto"/>
        <w:ind w:left="359"/>
        <w:rPr>
          <w:color w:val="auto"/>
          <w:highlight w:val="none"/>
        </w:rPr>
      </w:pPr>
      <w:r>
        <w:rPr>
          <w:b/>
          <w:color w:val="auto"/>
          <w:highlight w:val="none"/>
        </w:rPr>
        <w:t>2.2</w:t>
      </w:r>
      <w:r>
        <w:rPr>
          <w:rFonts w:hint="eastAsia"/>
          <w:b/>
          <w:color w:val="auto"/>
          <w:highlight w:val="none"/>
        </w:rPr>
        <w:t>合同文件内容争议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当合同文件内容含糊不清或相互矛盾时，由发包人与承包人在不影响本工程正常实施的情况下协商解决，并达成补充协议予以明确约定。双方协商不成的，按通用条款第30条［争议解决］的约定处理。</w:t>
      </w:r>
    </w:p>
    <w:p>
      <w:pPr>
        <w:adjustRightInd w:val="0"/>
        <w:snapToGrid w:val="0"/>
        <w:spacing w:line="360" w:lineRule="auto"/>
        <w:ind w:left="359"/>
        <w:rPr>
          <w:color w:val="auto"/>
          <w:highlight w:val="none"/>
        </w:rPr>
      </w:pPr>
      <w:r>
        <w:rPr>
          <w:b/>
          <w:color w:val="auto"/>
          <w:highlight w:val="none"/>
        </w:rPr>
        <w:t>2.3</w:t>
      </w:r>
      <w:r>
        <w:rPr>
          <w:rFonts w:hint="eastAsia"/>
          <w:b/>
          <w:color w:val="auto"/>
          <w:highlight w:val="none"/>
        </w:rPr>
        <w:t>语言文字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本合同文件使用汉语语言文字书写、解释和说明。</w:t>
      </w:r>
    </w:p>
    <w:p>
      <w:pPr>
        <w:adjustRightInd w:val="0"/>
        <w:snapToGrid w:val="0"/>
        <w:spacing w:line="360" w:lineRule="auto"/>
        <w:ind w:left="359"/>
        <w:rPr>
          <w:color w:val="auto"/>
          <w:highlight w:val="none"/>
        </w:rPr>
      </w:pPr>
      <w:r>
        <w:rPr>
          <w:b/>
          <w:color w:val="auto"/>
          <w:highlight w:val="none"/>
        </w:rPr>
        <w:t>2.4</w:t>
      </w:r>
      <w:r>
        <w:rPr>
          <w:rFonts w:hint="eastAsia"/>
          <w:b/>
          <w:color w:val="auto"/>
          <w:highlight w:val="none"/>
        </w:rPr>
        <w:t>法律、法规和规章</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本合同适用中华人民共和国法律、法规和规章，以及本工程所在地的地方性法规和规章。需要明示的法律、法规和规章，由发包人和承包人在</w:t>
      </w:r>
      <w:r>
        <w:rPr>
          <w:rFonts w:hint="eastAsia"/>
          <w:b/>
          <w:i/>
          <w:color w:val="auto"/>
          <w:highlight w:val="none"/>
        </w:rPr>
        <w:t>专用条款</w:t>
      </w:r>
      <w:r>
        <w:rPr>
          <w:rFonts w:hint="eastAsia"/>
          <w:color w:val="auto"/>
          <w:highlight w:val="none"/>
        </w:rPr>
        <w:t>中约定。</w:t>
      </w:r>
    </w:p>
    <w:p>
      <w:pPr>
        <w:adjustRightInd w:val="0"/>
        <w:snapToGrid w:val="0"/>
        <w:spacing w:line="360" w:lineRule="auto"/>
        <w:ind w:left="359"/>
        <w:rPr>
          <w:color w:val="auto"/>
          <w:highlight w:val="none"/>
        </w:rPr>
      </w:pPr>
      <w:r>
        <w:rPr>
          <w:b/>
          <w:color w:val="auto"/>
          <w:highlight w:val="none"/>
        </w:rPr>
        <w:t>2.5</w:t>
      </w:r>
      <w:r>
        <w:rPr>
          <w:rFonts w:hint="eastAsia"/>
          <w:b/>
          <w:color w:val="auto"/>
          <w:highlight w:val="none"/>
        </w:rPr>
        <w:t>标准、规范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⑵发包人对工程的技术标准、功能要求高于或严于现行国家、行业或地方标准的，应当在</w:t>
      </w:r>
      <w:r>
        <w:rPr>
          <w:rFonts w:hint="eastAsia"/>
          <w:b/>
          <w:i/>
          <w:color w:val="auto"/>
          <w:highlight w:val="none"/>
        </w:rPr>
        <w:t>专用条款</w:t>
      </w:r>
      <w:r>
        <w:rPr>
          <w:rFonts w:hint="eastAsia"/>
          <w:color w:val="auto"/>
          <w:highlight w:val="none"/>
        </w:rPr>
        <w:t>中予以明确。除</w:t>
      </w:r>
      <w:r>
        <w:rPr>
          <w:b/>
          <w:i/>
          <w:color w:val="auto"/>
          <w:highlight w:val="none"/>
        </w:rPr>
        <w:t>专用条款</w:t>
      </w:r>
      <w:r>
        <w:rPr>
          <w:rFonts w:hint="eastAsia"/>
          <w:color w:val="auto"/>
          <w:highlight w:val="none"/>
        </w:rPr>
        <w:t>中另有约定外，应视为承包人在签订合同前已充分预见前述技术标准和功能要求的复杂程度，签约合同价中已包含由此产生的费用。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⑶国内没有相应标准、规范的，以设计文件、产品说明书或承包人提交的且由发包人和</w:t>
      </w:r>
      <w:r>
        <w:rPr>
          <w:color w:val="auto"/>
          <w:highlight w:val="none"/>
        </w:rPr>
        <w:t>监理人</w:t>
      </w:r>
      <w:r>
        <w:rPr>
          <w:rFonts w:hint="eastAsia"/>
          <w:color w:val="auto"/>
          <w:highlight w:val="none"/>
        </w:rPr>
        <w:t>批准的技术方案为准。发包人要求使用国外标准、规范的，发包人负责提供原文版本和中文译本。</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⑷用于本工程的标准、规范按</w:t>
      </w:r>
      <w:r>
        <w:rPr>
          <w:rFonts w:hint="eastAsia"/>
          <w:b/>
          <w:i/>
          <w:color w:val="auto"/>
          <w:highlight w:val="none"/>
        </w:rPr>
        <w:t>专用条款</w:t>
      </w:r>
      <w:r>
        <w:rPr>
          <w:rFonts w:hint="eastAsia"/>
          <w:color w:val="auto"/>
          <w:highlight w:val="none"/>
        </w:rPr>
        <w:t>中约定的方式提供。</w:t>
      </w:r>
    </w:p>
    <w:p>
      <w:pPr>
        <w:adjustRightInd w:val="0"/>
        <w:snapToGrid w:val="0"/>
        <w:spacing w:line="360" w:lineRule="auto"/>
        <w:ind w:left="359"/>
        <w:rPr>
          <w:color w:val="auto"/>
          <w:highlight w:val="none"/>
        </w:rPr>
      </w:pPr>
      <w:r>
        <w:rPr>
          <w:b/>
          <w:color w:val="auto"/>
          <w:highlight w:val="none"/>
        </w:rPr>
        <w:t>2.6</w:t>
      </w:r>
      <w:r>
        <w:rPr>
          <w:rFonts w:hint="eastAsia"/>
          <w:b/>
          <w:color w:val="auto"/>
          <w:highlight w:val="none"/>
        </w:rPr>
        <w:t>图纸和技术资料的提供</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⑴发包人应按</w:t>
      </w:r>
      <w:r>
        <w:rPr>
          <w:rFonts w:hint="eastAsia"/>
          <w:b/>
          <w:i/>
          <w:color w:val="auto"/>
          <w:highlight w:val="none"/>
        </w:rPr>
        <w:t>专用条款</w:t>
      </w:r>
      <w:r>
        <w:rPr>
          <w:rFonts w:hint="eastAsia"/>
          <w:color w:val="auto"/>
          <w:highlight w:val="none"/>
        </w:rPr>
        <w:t>约定的时间和数量向承包人提供由发包人委托的</w:t>
      </w:r>
      <w:r>
        <w:rPr>
          <w:color w:val="auto"/>
          <w:highlight w:val="none"/>
        </w:rPr>
        <w:t>设计人</w:t>
      </w:r>
      <w:r>
        <w:rPr>
          <w:rFonts w:hint="eastAsia"/>
          <w:color w:val="auto"/>
          <w:highlight w:val="none"/>
        </w:rPr>
        <w:t>设计的全部施工图纸和其他技术资料，并组织向承包人进行技术交底。承包人需要增加图纸和资料套数的，应自费复制。发包人至迟不得晚于第11.1款［开工］中开工通知书载明的开工日期前14天向承包人提供图纸。</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⑵承包人应在施工现场保留一套完整的图纸，供</w:t>
      </w:r>
      <w:r>
        <w:rPr>
          <w:color w:val="auto"/>
          <w:highlight w:val="none"/>
        </w:rPr>
        <w:t>监理人</w:t>
      </w:r>
      <w:r>
        <w:rPr>
          <w:rFonts w:hint="eastAsia"/>
          <w:color w:val="auto"/>
          <w:highlight w:val="none"/>
        </w:rPr>
        <w:t>及有关人员进行工程检查时使用。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如发包人提供的图纸</w:t>
      </w:r>
      <w:r>
        <w:rPr>
          <w:rFonts w:hint="eastAsia"/>
          <w:color w:val="auto"/>
          <w:highlight w:val="none"/>
        </w:rPr>
        <w:t>和</w:t>
      </w:r>
      <w:r>
        <w:rPr>
          <w:color w:val="auto"/>
          <w:highlight w:val="none"/>
        </w:rPr>
        <w:t>资料不完整，承包人应在</w:t>
      </w:r>
      <w:r>
        <w:rPr>
          <w:rFonts w:hint="eastAsia"/>
          <w:color w:val="auto"/>
          <w:highlight w:val="none"/>
        </w:rPr>
        <w:t>本</w:t>
      </w:r>
      <w:r>
        <w:rPr>
          <w:color w:val="auto"/>
          <w:highlight w:val="none"/>
        </w:rPr>
        <w:t>工程开工</w:t>
      </w:r>
      <w:r>
        <w:rPr>
          <w:rFonts w:hint="eastAsia"/>
          <w:color w:val="auto"/>
          <w:highlight w:val="none"/>
        </w:rPr>
        <w:t>前</w:t>
      </w:r>
      <w:r>
        <w:rPr>
          <w:color w:val="auto"/>
          <w:highlight w:val="none"/>
        </w:rPr>
        <w:t>7日向发包人提交</w:t>
      </w:r>
      <w:r>
        <w:rPr>
          <w:rFonts w:hint="eastAsia"/>
          <w:color w:val="auto"/>
          <w:highlight w:val="none"/>
        </w:rPr>
        <w:t>书面报告</w:t>
      </w:r>
      <w:r>
        <w:rPr>
          <w:color w:val="auto"/>
          <w:highlight w:val="none"/>
        </w:rPr>
        <w:t>，列明在不影响进度的条件下，发包人在整个</w:t>
      </w:r>
      <w:r>
        <w:rPr>
          <w:rFonts w:hint="eastAsia"/>
          <w:color w:val="auto"/>
          <w:highlight w:val="none"/>
        </w:rPr>
        <w:t>施</w:t>
      </w:r>
      <w:r>
        <w:rPr>
          <w:color w:val="auto"/>
          <w:highlight w:val="none"/>
        </w:rPr>
        <w:t>工期内应向承包人提供补充的图纸及资料的种类及最后期限。</w:t>
      </w:r>
      <w:r>
        <w:rPr>
          <w:rFonts w:hint="eastAsia"/>
          <w:color w:val="auto"/>
          <w:highlight w:val="none"/>
        </w:rPr>
        <w:t>发包人收到书面报告后应及时通知</w:t>
      </w:r>
      <w:r>
        <w:rPr>
          <w:color w:val="auto"/>
          <w:highlight w:val="none"/>
        </w:rPr>
        <w:t>设计人</w:t>
      </w:r>
      <w:r>
        <w:rPr>
          <w:rFonts w:hint="eastAsia"/>
          <w:color w:val="auto"/>
          <w:highlight w:val="none"/>
        </w:rPr>
        <w:t>予以补充，并按照2.6(1)款约定的时间和数量提供给承包人。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⑷承包人在收到发包人提供的图纸后，发现图纸存在差错、遗漏或缺陷的，应在</w:t>
      </w:r>
      <w:r>
        <w:rPr>
          <w:rFonts w:hint="eastAsia"/>
          <w:b/>
          <w:i/>
          <w:color w:val="auto"/>
          <w:highlight w:val="none"/>
        </w:rPr>
        <w:t>专用条款</w:t>
      </w:r>
      <w:r>
        <w:rPr>
          <w:rFonts w:hint="eastAsia"/>
          <w:color w:val="auto"/>
          <w:highlight w:val="none"/>
        </w:rPr>
        <w:t>约定的时限内通知</w:t>
      </w:r>
      <w:r>
        <w:rPr>
          <w:color w:val="auto"/>
          <w:highlight w:val="none"/>
        </w:rPr>
        <w:t>监理人</w:t>
      </w:r>
      <w:r>
        <w:rPr>
          <w:rFonts w:hint="eastAsia"/>
          <w:color w:val="auto"/>
          <w:highlight w:val="none"/>
        </w:rPr>
        <w:t>。</w:t>
      </w:r>
      <w:r>
        <w:rPr>
          <w:color w:val="auto"/>
          <w:highlight w:val="none"/>
        </w:rPr>
        <w:t>监理人</w:t>
      </w:r>
      <w:r>
        <w:rPr>
          <w:rFonts w:hint="eastAsia"/>
          <w:color w:val="auto"/>
          <w:highlight w:val="none"/>
        </w:rPr>
        <w:t>接到该通知后，应附具相关意见并在</w:t>
      </w:r>
      <w:r>
        <w:rPr>
          <w:rFonts w:hint="eastAsia"/>
          <w:b/>
          <w:i/>
          <w:color w:val="auto"/>
          <w:highlight w:val="none"/>
        </w:rPr>
        <w:t>专用条款</w:t>
      </w:r>
      <w:r>
        <w:rPr>
          <w:rFonts w:hint="eastAsia"/>
          <w:color w:val="auto"/>
          <w:highlight w:val="none"/>
        </w:rPr>
        <w:t>约定的时限内报送发包人，发包人应在收到</w:t>
      </w:r>
      <w:r>
        <w:rPr>
          <w:color w:val="auto"/>
          <w:highlight w:val="none"/>
        </w:rPr>
        <w:t>监理人</w:t>
      </w:r>
      <w:r>
        <w:rPr>
          <w:rFonts w:hint="eastAsia"/>
          <w:color w:val="auto"/>
          <w:highlight w:val="none"/>
        </w:rPr>
        <w:t>报送的通知后在</w:t>
      </w:r>
      <w:r>
        <w:rPr>
          <w:rFonts w:hint="eastAsia"/>
          <w:b/>
          <w:i/>
          <w:color w:val="auto"/>
          <w:highlight w:val="none"/>
        </w:rPr>
        <w:t>专用条款</w:t>
      </w:r>
      <w:r>
        <w:rPr>
          <w:rFonts w:hint="eastAsia"/>
          <w:color w:val="auto"/>
          <w:highlight w:val="none"/>
        </w:rPr>
        <w:t>约定的时限内作出决定。</w:t>
      </w:r>
    </w:p>
    <w:p>
      <w:pPr>
        <w:adjustRightInd w:val="0"/>
        <w:snapToGrid w:val="0"/>
        <w:spacing w:line="360" w:lineRule="auto"/>
        <w:ind w:left="359"/>
        <w:rPr>
          <w:color w:val="auto"/>
          <w:highlight w:val="none"/>
        </w:rPr>
      </w:pPr>
      <w:r>
        <w:rPr>
          <w:b/>
          <w:color w:val="auto"/>
          <w:highlight w:val="none"/>
        </w:rPr>
        <w:t>2.7</w:t>
      </w:r>
      <w:r>
        <w:rPr>
          <w:rFonts w:hint="eastAsia"/>
          <w:b/>
          <w:color w:val="auto"/>
          <w:highlight w:val="none"/>
        </w:rPr>
        <w:t>图纸和资料提供的延误</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⑴因发包人未能按约定提供图纸和资料，打乱工程施工进度计划，给承包人造成损失和(或)导致工期延误的，发包人应赔偿承包人损失和(或)顺延延误的工期。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⑵发包人之所以不能按约定提供图纸和资料，是因为承包人未能提交本合同约定应由其提交的资料或提交的资料有误所致，则承包人无权要求发包人赔偿损失、顺延工期。</w:t>
      </w:r>
    </w:p>
    <w:p>
      <w:pPr>
        <w:adjustRightInd w:val="0"/>
        <w:snapToGrid w:val="0"/>
        <w:spacing w:line="360" w:lineRule="auto"/>
        <w:ind w:left="359"/>
        <w:rPr>
          <w:color w:val="auto"/>
          <w:highlight w:val="none"/>
        </w:rPr>
      </w:pPr>
      <w:r>
        <w:rPr>
          <w:b/>
          <w:color w:val="auto"/>
          <w:highlight w:val="none"/>
        </w:rPr>
        <w:t>2.8</w:t>
      </w:r>
      <w:r>
        <w:rPr>
          <w:rFonts w:hint="eastAsia"/>
          <w:b/>
          <w:color w:val="auto"/>
          <w:highlight w:val="none"/>
        </w:rPr>
        <w:t>补充图纸和资料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发包人为满足本工程的正确实施和完成及其缺陷修复所需，可委托</w:t>
      </w:r>
      <w:r>
        <w:rPr>
          <w:color w:val="auto"/>
          <w:highlight w:val="none"/>
        </w:rPr>
        <w:t>设计人</w:t>
      </w:r>
      <w:r>
        <w:rPr>
          <w:rFonts w:hint="eastAsia"/>
          <w:color w:val="auto"/>
          <w:highlight w:val="none"/>
        </w:rPr>
        <w:t>设计补充图纸(含深化设计图纸)和技术资料，并按</w:t>
      </w:r>
      <w:r>
        <w:rPr>
          <w:rFonts w:hint="eastAsia"/>
          <w:b/>
          <w:i/>
          <w:color w:val="auto"/>
          <w:highlight w:val="none"/>
        </w:rPr>
        <w:t>专用条款</w:t>
      </w:r>
      <w:r>
        <w:rPr>
          <w:rFonts w:hint="eastAsia"/>
          <w:color w:val="auto"/>
          <w:highlight w:val="none"/>
        </w:rPr>
        <w:t>约定的时间和数量向承包人发出，承包人应予执行。</w:t>
      </w:r>
    </w:p>
    <w:p>
      <w:pPr>
        <w:adjustRightInd w:val="0"/>
        <w:snapToGrid w:val="0"/>
        <w:spacing w:line="360" w:lineRule="auto"/>
        <w:ind w:left="359"/>
        <w:rPr>
          <w:color w:val="auto"/>
          <w:highlight w:val="none"/>
        </w:rPr>
      </w:pPr>
      <w:r>
        <w:rPr>
          <w:b/>
          <w:color w:val="auto"/>
          <w:highlight w:val="none"/>
        </w:rPr>
        <w:t>2.9</w:t>
      </w:r>
      <w:r>
        <w:rPr>
          <w:rFonts w:hint="eastAsia"/>
          <w:b/>
          <w:color w:val="auto"/>
          <w:highlight w:val="none"/>
        </w:rPr>
        <w:t>临时工程图纸</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当</w:t>
      </w:r>
      <w:r>
        <w:rPr>
          <w:color w:val="auto"/>
          <w:highlight w:val="none"/>
        </w:rPr>
        <w:t>监理人</w:t>
      </w:r>
      <w:r>
        <w:rPr>
          <w:rFonts w:hint="eastAsia"/>
          <w:color w:val="auto"/>
          <w:highlight w:val="none"/>
        </w:rPr>
        <w:t>认为需要时，承包人应提交本工程临时工程的设计图纸一式3份，供</w:t>
      </w:r>
      <w:r>
        <w:rPr>
          <w:color w:val="auto"/>
          <w:highlight w:val="none"/>
        </w:rPr>
        <w:t>监理人</w:t>
      </w:r>
      <w:r>
        <w:rPr>
          <w:rFonts w:hint="eastAsia"/>
          <w:color w:val="auto"/>
          <w:highlight w:val="none"/>
        </w:rPr>
        <w:t>批准或备查。</w:t>
      </w:r>
    </w:p>
    <w:p>
      <w:pPr>
        <w:adjustRightInd w:val="0"/>
        <w:snapToGrid w:val="0"/>
        <w:spacing w:line="360" w:lineRule="auto"/>
        <w:ind w:left="359"/>
        <w:rPr>
          <w:color w:val="auto"/>
          <w:highlight w:val="none"/>
        </w:rPr>
      </w:pPr>
      <w:r>
        <w:rPr>
          <w:b/>
          <w:color w:val="auto"/>
          <w:highlight w:val="none"/>
        </w:rPr>
        <w:t>2.10</w:t>
      </w:r>
      <w:r>
        <w:rPr>
          <w:rFonts w:hint="eastAsia"/>
          <w:b/>
          <w:color w:val="auto"/>
          <w:highlight w:val="none"/>
        </w:rPr>
        <w:t>竣工图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⑴除</w:t>
      </w:r>
      <w:r>
        <w:rPr>
          <w:rFonts w:hint="eastAsia"/>
          <w:b/>
          <w:i/>
          <w:color w:val="auto"/>
          <w:highlight w:val="none"/>
        </w:rPr>
        <w:t>专用条款</w:t>
      </w:r>
      <w:r>
        <w:rPr>
          <w:rFonts w:hint="eastAsia"/>
          <w:color w:val="auto"/>
          <w:highlight w:val="none"/>
        </w:rPr>
        <w:t>另有约定外，</w:t>
      </w:r>
      <w:r>
        <w:rPr>
          <w:color w:val="auto"/>
          <w:highlight w:val="none"/>
        </w:rPr>
        <w:t>在本工程</w:t>
      </w:r>
      <w:r>
        <w:rPr>
          <w:rFonts w:hint="eastAsia"/>
          <w:color w:val="auto"/>
          <w:highlight w:val="none"/>
        </w:rPr>
        <w:t>竣工</w:t>
      </w:r>
      <w:r>
        <w:rPr>
          <w:color w:val="auto"/>
          <w:highlight w:val="none"/>
        </w:rPr>
        <w:t>验收之前，承包人须按</w:t>
      </w:r>
      <w:r>
        <w:rPr>
          <w:rFonts w:hint="eastAsia"/>
          <w:color w:val="auto"/>
          <w:highlight w:val="none"/>
        </w:rPr>
        <w:t>政府</w:t>
      </w:r>
      <w:r>
        <w:rPr>
          <w:color w:val="auto"/>
          <w:highlight w:val="none"/>
        </w:rPr>
        <w:t>建设行政</w:t>
      </w:r>
      <w:r>
        <w:rPr>
          <w:rFonts w:hint="eastAsia"/>
          <w:color w:val="auto"/>
          <w:highlight w:val="none"/>
        </w:rPr>
        <w:t>主管</w:t>
      </w:r>
      <w:r>
        <w:rPr>
          <w:color w:val="auto"/>
          <w:highlight w:val="none"/>
        </w:rPr>
        <w:t>部门</w:t>
      </w:r>
      <w:r>
        <w:rPr>
          <w:rFonts w:hint="eastAsia"/>
          <w:color w:val="auto"/>
          <w:highlight w:val="none"/>
        </w:rPr>
        <w:t>及政府</w:t>
      </w:r>
      <w:r>
        <w:rPr>
          <w:color w:val="auto"/>
          <w:highlight w:val="none"/>
        </w:rPr>
        <w:t>档案</w:t>
      </w:r>
      <w:r>
        <w:rPr>
          <w:rFonts w:hint="eastAsia"/>
          <w:color w:val="auto"/>
          <w:highlight w:val="none"/>
        </w:rPr>
        <w:t>主管部门有关</w:t>
      </w:r>
      <w:r>
        <w:rPr>
          <w:color w:val="auto"/>
          <w:highlight w:val="none"/>
        </w:rPr>
        <w:t>技术档案管理</w:t>
      </w:r>
      <w:r>
        <w:rPr>
          <w:rFonts w:hint="eastAsia"/>
          <w:color w:val="auto"/>
          <w:highlight w:val="none"/>
        </w:rPr>
        <w:t>要求</w:t>
      </w:r>
      <w:r>
        <w:rPr>
          <w:color w:val="auto"/>
          <w:highlight w:val="none"/>
        </w:rPr>
        <w:t>编制整理竣工图</w:t>
      </w:r>
      <w:r>
        <w:rPr>
          <w:rFonts w:hint="eastAsia"/>
          <w:color w:val="auto"/>
          <w:highlight w:val="none"/>
        </w:rPr>
        <w:t>，报</w:t>
      </w:r>
      <w:r>
        <w:rPr>
          <w:color w:val="auto"/>
          <w:highlight w:val="none"/>
        </w:rPr>
        <w:t>监理人</w:t>
      </w:r>
      <w:r>
        <w:rPr>
          <w:rFonts w:hint="eastAsia"/>
          <w:color w:val="auto"/>
          <w:highlight w:val="none"/>
        </w:rPr>
        <w:t>审核</w:t>
      </w:r>
      <w:r>
        <w:rPr>
          <w:color w:val="auto"/>
          <w:highlight w:val="none"/>
        </w:rPr>
        <w:t>后移交给发包人</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竣工图</w:t>
      </w:r>
      <w:r>
        <w:rPr>
          <w:rFonts w:hint="eastAsia"/>
          <w:color w:val="auto"/>
          <w:highlight w:val="none"/>
        </w:rPr>
        <w:t>内容应</w:t>
      </w:r>
      <w:r>
        <w:rPr>
          <w:color w:val="auto"/>
          <w:highlight w:val="none"/>
        </w:rPr>
        <w:t>与工程实物相符，加盖竣工图章，</w:t>
      </w:r>
      <w:r>
        <w:rPr>
          <w:rFonts w:hint="eastAsia"/>
          <w:color w:val="auto"/>
          <w:highlight w:val="none"/>
        </w:rPr>
        <w:t>由承包人</w:t>
      </w:r>
      <w:r>
        <w:rPr>
          <w:color w:val="auto"/>
          <w:highlight w:val="none"/>
        </w:rPr>
        <w:t>本工程技术负责人签名</w:t>
      </w:r>
      <w:r>
        <w:rPr>
          <w:rFonts w:hint="eastAsia"/>
          <w:color w:val="auto"/>
          <w:highlight w:val="none"/>
        </w:rPr>
        <w:t>，并</w:t>
      </w:r>
      <w:r>
        <w:rPr>
          <w:color w:val="auto"/>
          <w:highlight w:val="none"/>
        </w:rPr>
        <w:t>按规定要求叠折、装订和组卷。承包人</w:t>
      </w:r>
      <w:r>
        <w:rPr>
          <w:rFonts w:hint="eastAsia"/>
          <w:color w:val="auto"/>
          <w:highlight w:val="none"/>
        </w:rPr>
        <w:t>应向政府</w:t>
      </w:r>
      <w:r>
        <w:rPr>
          <w:color w:val="auto"/>
          <w:highlight w:val="none"/>
        </w:rPr>
        <w:t>档案</w:t>
      </w:r>
      <w:r>
        <w:rPr>
          <w:rFonts w:hint="eastAsia"/>
          <w:color w:val="auto"/>
          <w:highlight w:val="none"/>
        </w:rPr>
        <w:t>主管部门</w:t>
      </w:r>
      <w:r>
        <w:rPr>
          <w:color w:val="auto"/>
          <w:highlight w:val="none"/>
        </w:rPr>
        <w:t>和发包人各</w:t>
      </w:r>
      <w:r>
        <w:rPr>
          <w:rFonts w:hint="eastAsia"/>
          <w:color w:val="auto"/>
          <w:highlight w:val="none"/>
        </w:rPr>
        <w:t>提交</w:t>
      </w:r>
      <w:r>
        <w:rPr>
          <w:color w:val="auto"/>
          <w:highlight w:val="none"/>
        </w:rPr>
        <w:t>一份竣工图</w:t>
      </w:r>
      <w:r>
        <w:rPr>
          <w:rFonts w:hint="eastAsia"/>
          <w:color w:val="auto"/>
          <w:highlight w:val="none"/>
        </w:rPr>
        <w:t>及</w:t>
      </w:r>
      <w:r>
        <w:rPr>
          <w:color w:val="auto"/>
          <w:highlight w:val="none"/>
        </w:rPr>
        <w:t>电子</w:t>
      </w:r>
      <w:r>
        <w:rPr>
          <w:rFonts w:hint="eastAsia"/>
          <w:color w:val="auto"/>
          <w:highlight w:val="none"/>
        </w:rPr>
        <w:t>文档，</w:t>
      </w:r>
      <w:r>
        <w:rPr>
          <w:color w:val="auto"/>
          <w:highlight w:val="none"/>
        </w:rPr>
        <w:t>交</w:t>
      </w:r>
      <w:r>
        <w:rPr>
          <w:rFonts w:hint="eastAsia"/>
          <w:color w:val="auto"/>
          <w:highlight w:val="none"/>
        </w:rPr>
        <w:t>政府</w:t>
      </w:r>
      <w:r>
        <w:rPr>
          <w:color w:val="auto"/>
          <w:highlight w:val="none"/>
        </w:rPr>
        <w:t>档案</w:t>
      </w:r>
      <w:r>
        <w:rPr>
          <w:rFonts w:hint="eastAsia"/>
          <w:color w:val="auto"/>
          <w:highlight w:val="none"/>
        </w:rPr>
        <w:t>主管部门</w:t>
      </w:r>
      <w:r>
        <w:rPr>
          <w:color w:val="auto"/>
          <w:highlight w:val="none"/>
        </w:rPr>
        <w:t>的竣工图需要由设计人加盖设计人公章。</w:t>
      </w:r>
    </w:p>
    <w:p>
      <w:pPr>
        <w:adjustRightInd w:val="0"/>
        <w:snapToGrid w:val="0"/>
        <w:spacing w:line="360" w:lineRule="auto"/>
        <w:ind w:left="359"/>
        <w:rPr>
          <w:color w:val="auto"/>
          <w:highlight w:val="none"/>
        </w:rPr>
      </w:pPr>
      <w:r>
        <w:rPr>
          <w:b/>
          <w:color w:val="auto"/>
          <w:highlight w:val="none"/>
        </w:rPr>
        <w:t>2.11</w:t>
      </w:r>
      <w:r>
        <w:rPr>
          <w:rFonts w:hint="eastAsia"/>
          <w:b/>
          <w:color w:val="auto"/>
          <w:highlight w:val="none"/>
        </w:rPr>
        <w:t>通知</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⑴根据本合同条款由发包人或</w:t>
      </w:r>
      <w:r>
        <w:rPr>
          <w:color w:val="auto"/>
          <w:highlight w:val="none"/>
        </w:rPr>
        <w:t>监理人</w:t>
      </w:r>
      <w:r>
        <w:rPr>
          <w:rFonts w:hint="eastAsia"/>
          <w:color w:val="auto"/>
          <w:highlight w:val="none"/>
        </w:rPr>
        <w:t>发给承包人的一切证书、通知或指令均应发送或派专人送达承包人在</w:t>
      </w:r>
      <w:r>
        <w:rPr>
          <w:rFonts w:hint="eastAsia"/>
          <w:b/>
          <w:i/>
          <w:color w:val="auto"/>
          <w:highlight w:val="none"/>
        </w:rPr>
        <w:t>专用条款</w:t>
      </w:r>
      <w:r>
        <w:rPr>
          <w:rFonts w:hint="eastAsia"/>
          <w:color w:val="auto"/>
          <w:highlight w:val="none"/>
        </w:rPr>
        <w:t>中指定的地址。</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⑵根据本合同条款由承包人发给发包人或</w:t>
      </w:r>
      <w:r>
        <w:rPr>
          <w:color w:val="auto"/>
          <w:highlight w:val="none"/>
        </w:rPr>
        <w:t>监理人</w:t>
      </w:r>
      <w:r>
        <w:rPr>
          <w:rFonts w:hint="eastAsia"/>
          <w:color w:val="auto"/>
          <w:highlight w:val="none"/>
        </w:rPr>
        <w:t>的一切通知均应发送或派专人送达发包人或</w:t>
      </w:r>
      <w:r>
        <w:rPr>
          <w:color w:val="auto"/>
          <w:highlight w:val="none"/>
        </w:rPr>
        <w:t>监理人</w:t>
      </w:r>
      <w:r>
        <w:rPr>
          <w:rFonts w:hint="eastAsia"/>
          <w:color w:val="auto"/>
          <w:highlight w:val="none"/>
        </w:rPr>
        <w:t>在</w:t>
      </w:r>
      <w:r>
        <w:rPr>
          <w:rFonts w:hint="eastAsia"/>
          <w:b/>
          <w:i/>
          <w:color w:val="auto"/>
          <w:highlight w:val="none"/>
        </w:rPr>
        <w:t>专用条款</w:t>
      </w:r>
      <w:r>
        <w:rPr>
          <w:rFonts w:hint="eastAsia"/>
          <w:color w:val="auto"/>
          <w:highlight w:val="none"/>
        </w:rPr>
        <w:t>中指定的地址。</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⑶若一方的通信地址发生改变，应提前3天书面通知另一方，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⑷如一方拒绝签收另一方通知，另一方以特快专递方式将通知送至2.11⑴、⑵款指定的地址，视为送达。</w:t>
      </w:r>
    </w:p>
    <w:p>
      <w:pPr>
        <w:adjustRightInd w:val="0"/>
        <w:snapToGrid w:val="0"/>
        <w:spacing w:line="360" w:lineRule="auto"/>
        <w:ind w:left="359"/>
        <w:rPr>
          <w:color w:val="auto"/>
          <w:highlight w:val="none"/>
        </w:rPr>
      </w:pPr>
      <w:r>
        <w:rPr>
          <w:b/>
          <w:color w:val="auto"/>
          <w:highlight w:val="none"/>
        </w:rPr>
        <w:t>2.12</w:t>
      </w:r>
      <w:r>
        <w:rPr>
          <w:rFonts w:hint="eastAsia"/>
          <w:b/>
          <w:color w:val="auto"/>
          <w:highlight w:val="none"/>
        </w:rPr>
        <w:t>严禁贿赂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⑴承发包双方不得以贿赂或变相贿赂的方式，谋取非法利益或损害对方权益。因一方的贿赂造成对方损失的，应赔偿损失，并承担相应的法律责任。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⑵承包人不得与</w:t>
      </w:r>
      <w:r>
        <w:rPr>
          <w:color w:val="auto"/>
          <w:highlight w:val="none"/>
        </w:rPr>
        <w:t>监理人</w:t>
      </w:r>
      <w:r>
        <w:rPr>
          <w:rFonts w:hint="eastAsia"/>
          <w:color w:val="auto"/>
          <w:highlight w:val="none"/>
        </w:rPr>
        <w:t>或发包人聘请的第三方串通损害发包人利益。未经发包人书面同意，承包人不得为</w:t>
      </w:r>
      <w:r>
        <w:rPr>
          <w:color w:val="auto"/>
          <w:highlight w:val="none"/>
        </w:rPr>
        <w:t>监理人</w:t>
      </w:r>
      <w:r>
        <w:rPr>
          <w:rFonts w:hint="eastAsia"/>
          <w:color w:val="auto"/>
          <w:highlight w:val="none"/>
        </w:rPr>
        <w:t>提供合同约定以外的通讯设备、交通工具及其他任何形式的利益，不得向</w:t>
      </w:r>
      <w:r>
        <w:rPr>
          <w:color w:val="auto"/>
          <w:highlight w:val="none"/>
        </w:rPr>
        <w:t>监理人</w:t>
      </w:r>
      <w:r>
        <w:rPr>
          <w:rFonts w:hint="eastAsia"/>
          <w:color w:val="auto"/>
          <w:highlight w:val="none"/>
        </w:rPr>
        <w:t>支付报酬。</w:t>
      </w:r>
    </w:p>
    <w:p>
      <w:pPr>
        <w:adjustRightInd w:val="0"/>
        <w:snapToGrid w:val="0"/>
        <w:spacing w:line="360" w:lineRule="auto"/>
        <w:ind w:left="359"/>
        <w:rPr>
          <w:color w:val="auto"/>
          <w:highlight w:val="none"/>
        </w:rPr>
      </w:pPr>
      <w:r>
        <w:rPr>
          <w:b/>
          <w:color w:val="auto"/>
          <w:highlight w:val="none"/>
        </w:rPr>
        <w:t>2.13</w:t>
      </w:r>
      <w:r>
        <w:rPr>
          <w:rFonts w:hint="eastAsia"/>
          <w:b/>
          <w:color w:val="auto"/>
          <w:highlight w:val="none"/>
        </w:rPr>
        <w:t>交通运输</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⑴出入现场的权利</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除</w:t>
      </w:r>
      <w:r>
        <w:rPr>
          <w:rFonts w:hint="eastAsia"/>
          <w:b/>
          <w:i/>
          <w:color w:val="auto"/>
          <w:highlight w:val="none"/>
        </w:rPr>
        <w:t>专用条款</w:t>
      </w:r>
      <w:r>
        <w:rPr>
          <w:rFonts w:hint="eastAsia"/>
          <w:color w:val="auto"/>
          <w:highlight w:val="none"/>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⑵场外交通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余泥渣土运输车辆要求详见第18条［余泥渣土运输车辆要求］。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⑶场内交通</w:t>
      </w:r>
    </w:p>
    <w:p>
      <w:pPr>
        <w:tabs>
          <w:tab w:val="left" w:pos="1620"/>
          <w:tab w:val="left" w:pos="2340"/>
        </w:tabs>
        <w:adjustRightInd w:val="0"/>
        <w:snapToGrid w:val="0"/>
        <w:spacing w:line="360" w:lineRule="auto"/>
        <w:ind w:left="899"/>
        <w:rPr>
          <w:color w:val="auto"/>
          <w:highlight w:val="none"/>
        </w:rPr>
      </w:pPr>
      <w:r>
        <w:rPr>
          <w:color w:val="auto"/>
          <w:highlight w:val="none"/>
        </w:rPr>
        <w:t>发包人应提供场内交通设施的技术参数和具体条件，并应按照</w:t>
      </w:r>
      <w:r>
        <w:rPr>
          <w:b/>
          <w:i/>
          <w:color w:val="auto"/>
          <w:highlight w:val="none"/>
        </w:rPr>
        <w:t>专用条款</w:t>
      </w:r>
      <w:r>
        <w:rPr>
          <w:color w:val="auto"/>
          <w:highlight w:val="none"/>
        </w:rPr>
        <w:t>的约定向承包人免费提供满足工程施工所需的场内道路和交通设施。因承包人原因造成上述道路或交通设施损坏的，承包人负责修复并承担由此增加的费用。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除</w:t>
      </w:r>
      <w:r>
        <w:rPr>
          <w:rFonts w:hint="eastAsia"/>
          <w:b/>
          <w:i/>
          <w:color w:val="auto"/>
          <w:highlight w:val="none"/>
        </w:rPr>
        <w:t>专用条款</w:t>
      </w:r>
      <w:r>
        <w:rPr>
          <w:rFonts w:hint="eastAsia"/>
          <w:color w:val="auto"/>
          <w:highlight w:val="none"/>
        </w:rPr>
        <w:t>另有约定外，为保证正常的公共交通秩序而修建的社会便道或便桥及交通疏解费用由发包人承担。</w:t>
      </w:r>
    </w:p>
    <w:p>
      <w:pPr>
        <w:tabs>
          <w:tab w:val="left" w:pos="1620"/>
          <w:tab w:val="left" w:pos="2340"/>
        </w:tabs>
        <w:adjustRightInd w:val="0"/>
        <w:snapToGrid w:val="0"/>
        <w:spacing w:line="360" w:lineRule="auto"/>
        <w:ind w:left="899"/>
        <w:rPr>
          <w:color w:val="auto"/>
          <w:highlight w:val="none"/>
        </w:rPr>
      </w:pPr>
      <w:r>
        <w:rPr>
          <w:color w:val="auto"/>
          <w:highlight w:val="none"/>
        </w:rPr>
        <w:t>除发包人按照合同约定提供的场内道路和交通设施外，承包人负责修建、维修、养护和管理施工所需的其他场内临时道路和交通设施。</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⑷超大件和超重件的运输</w:t>
      </w:r>
    </w:p>
    <w:p>
      <w:pPr>
        <w:tabs>
          <w:tab w:val="left" w:pos="1620"/>
          <w:tab w:val="left" w:pos="2340"/>
        </w:tabs>
        <w:adjustRightInd w:val="0"/>
        <w:snapToGrid w:val="0"/>
        <w:spacing w:line="360" w:lineRule="auto"/>
        <w:ind w:left="899"/>
        <w:rPr>
          <w:color w:val="auto"/>
          <w:highlight w:val="none"/>
        </w:rPr>
      </w:pPr>
      <w:r>
        <w:rPr>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w:t>
      </w:r>
      <w:r>
        <w:rPr>
          <w:b/>
          <w:i/>
          <w:color w:val="auto"/>
          <w:highlight w:val="none"/>
        </w:rPr>
        <w:t>专用条款</w:t>
      </w:r>
      <w:r>
        <w:rPr>
          <w:color w:val="auto"/>
          <w:highlight w:val="none"/>
        </w:rPr>
        <w:t>另有约定除外</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⑸道路和桥梁的损坏责任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因承包人运输造成施工场地内外公共道路和桥梁损坏的，由承包人承担修复损坏的全部费用和可能引起的赔偿。</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⑹水路和航空运输</w:t>
      </w:r>
    </w:p>
    <w:p>
      <w:pPr>
        <w:tabs>
          <w:tab w:val="left" w:pos="1620"/>
          <w:tab w:val="left" w:pos="2340"/>
        </w:tabs>
        <w:adjustRightInd w:val="0"/>
        <w:snapToGrid w:val="0"/>
        <w:spacing w:line="360" w:lineRule="auto"/>
        <w:ind w:left="899"/>
        <w:rPr>
          <w:color w:val="auto"/>
          <w:highlight w:val="none"/>
        </w:rPr>
      </w:pPr>
      <w:r>
        <w:rPr>
          <w:color w:val="auto"/>
          <w:highlight w:val="none"/>
        </w:rPr>
        <w:t>本款前述各项的内容适用于水路运输和航空运输，其中“道路”一词的涵义包括河道、航线、船闸、机场、码头、堤防以及水路或航空运输中其他相似结构物；“车辆”一词的涵义包括船舶和</w:t>
      </w:r>
      <w:r>
        <w:rPr>
          <w:rFonts w:hint="eastAsia"/>
          <w:color w:val="auto"/>
          <w:highlight w:val="none"/>
        </w:rPr>
        <w:t>飞机等。</w:t>
      </w:r>
    </w:p>
    <w:p>
      <w:pPr>
        <w:adjustRightInd w:val="0"/>
        <w:snapToGrid w:val="0"/>
        <w:spacing w:line="360" w:lineRule="auto"/>
        <w:ind w:left="359"/>
        <w:rPr>
          <w:b/>
          <w:color w:val="auto"/>
          <w:highlight w:val="none"/>
        </w:rPr>
      </w:pPr>
      <w:bookmarkStart w:id="29" w:name="_Toc67418498"/>
      <w:bookmarkStart w:id="30" w:name="_Toc4156"/>
      <w:r>
        <w:rPr>
          <w:rFonts w:hint="eastAsia"/>
          <w:b/>
          <w:color w:val="auto"/>
          <w:highlight w:val="none"/>
        </w:rPr>
        <w:t>2.14水土保持</w:t>
      </w:r>
      <w:bookmarkEnd w:id="29"/>
      <w:bookmarkEnd w:id="30"/>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⑴发包人应及时向承包人提供本工程已通过市区水务行政主管部门审批（备案）的水土保持方案（报告书或报告表）及准予行政许可决定书。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⑷承包人的施工组织设计应满足《生产建设项目水土保持技术标准》、《生产建设项目水土流失防治标准》、《深圳市生产建设项目水土保持技术规范》等技术标准和要求。</w:t>
      </w:r>
    </w:p>
    <w:p>
      <w:pPr>
        <w:adjustRightInd w:val="0"/>
        <w:snapToGrid w:val="0"/>
        <w:spacing w:line="360" w:lineRule="auto"/>
        <w:ind w:left="359"/>
        <w:rPr>
          <w:b/>
          <w:color w:val="auto"/>
          <w:highlight w:val="none"/>
        </w:rPr>
      </w:pPr>
      <w:bookmarkStart w:id="31" w:name="_Toc28890"/>
      <w:r>
        <w:rPr>
          <w:b/>
          <w:color w:val="auto"/>
          <w:highlight w:val="none"/>
        </w:rPr>
        <w:t xml:space="preserve">2.15 </w:t>
      </w:r>
      <w:r>
        <w:rPr>
          <w:rFonts w:hint="eastAsia"/>
          <w:b/>
          <w:color w:val="auto"/>
          <w:highlight w:val="none"/>
        </w:rPr>
        <w:t>BIM实施应用</w:t>
      </w:r>
      <w:bookmarkEnd w:id="31"/>
    </w:p>
    <w:p>
      <w:pPr>
        <w:tabs>
          <w:tab w:val="left" w:pos="1620"/>
          <w:tab w:val="left" w:pos="2340"/>
        </w:tabs>
        <w:adjustRightInd w:val="0"/>
        <w:snapToGrid w:val="0"/>
        <w:spacing w:line="360" w:lineRule="auto"/>
        <w:ind w:left="899"/>
        <w:rPr>
          <w:rFonts w:cs="Times New Roman"/>
          <w:color w:val="auto"/>
          <w:highlight w:val="none"/>
        </w:rPr>
      </w:pPr>
      <w:r>
        <w:rPr>
          <w:rFonts w:hint="eastAsia" w:cs="Times New Roman"/>
          <w:color w:val="auto"/>
          <w:highlight w:val="none"/>
        </w:rPr>
        <w:t>⑴BIM实施范围</w:t>
      </w:r>
    </w:p>
    <w:p>
      <w:pPr>
        <w:tabs>
          <w:tab w:val="left" w:pos="1620"/>
          <w:tab w:val="left" w:pos="2340"/>
        </w:tabs>
        <w:adjustRightInd w:val="0"/>
        <w:snapToGrid w:val="0"/>
        <w:spacing w:line="360" w:lineRule="auto"/>
        <w:ind w:left="899"/>
        <w:rPr>
          <w:rFonts w:cs="Times New Roman"/>
          <w:color w:val="auto"/>
          <w:highlight w:val="none"/>
        </w:rPr>
      </w:pPr>
      <w:r>
        <w:rPr>
          <w:rFonts w:hint="eastAsia" w:cs="Times New Roman"/>
          <w:color w:val="auto"/>
          <w:highlight w:val="none"/>
        </w:rPr>
        <w:t>本工程需实施BIM技术应用的，BIM实施内容应包含“施工BIM实施准备”、“设计BIM成果接收”、“施工BIM应用内容和要求”、“施工BIM成果归档和移交”、“竣工数字化资产验收和运维移交”、“施工BIM考核评价”及</w:t>
      </w:r>
      <w:r>
        <w:rPr>
          <w:rFonts w:hint="eastAsia" w:cs="Times New Roman"/>
          <w:b/>
          <w:i/>
          <w:color w:val="auto"/>
          <w:highlight w:val="none"/>
        </w:rPr>
        <w:t>专用条款</w:t>
      </w:r>
      <w:r>
        <w:rPr>
          <w:rFonts w:hint="eastAsia" w:cs="Times New Roman"/>
          <w:color w:val="auto"/>
          <w:highlight w:val="none"/>
        </w:rPr>
        <w:t>约定的内容。</w:t>
      </w:r>
    </w:p>
    <w:p>
      <w:pPr>
        <w:tabs>
          <w:tab w:val="left" w:pos="1620"/>
          <w:tab w:val="left" w:pos="2340"/>
        </w:tabs>
        <w:adjustRightInd w:val="0"/>
        <w:snapToGrid w:val="0"/>
        <w:spacing w:line="360" w:lineRule="auto"/>
        <w:ind w:left="899"/>
        <w:rPr>
          <w:rFonts w:cs="Times New Roman"/>
          <w:color w:val="auto"/>
          <w:highlight w:val="none"/>
        </w:rPr>
      </w:pPr>
      <w:r>
        <w:rPr>
          <w:rFonts w:hint="eastAsia" w:cs="Times New Roman"/>
          <w:color w:val="auto"/>
          <w:highlight w:val="none"/>
        </w:rPr>
        <w:t>BIM实施应继承和延用设计阶段BIM成果，并考虑运维阶段的BIM技术应用需求。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⑵BIM实施内容和要求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承包人应在BIM实施前编制《施工BIM实施方案》，经发包人确认后，作为承包人BIM实施以及发包人BIM审查验收的依据。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本工程BIM模型的创建和管理应分为深化设计、施工过程和竣工验收3个阶段，承包人应用BIM技术进行深化设计、施工过程可视化模拟、施工方案优化、施工进度和成本的管控等。各阶段的BIM技术和管理应用应满足</w:t>
      </w:r>
      <w:r>
        <w:rPr>
          <w:rFonts w:hint="eastAsia" w:cs="Times New Roman"/>
          <w:b/>
          <w:i/>
          <w:color w:val="auto"/>
          <w:highlight w:val="none"/>
        </w:rPr>
        <w:t>专用条款</w:t>
      </w:r>
      <w:r>
        <w:rPr>
          <w:rFonts w:hint="eastAsia"/>
          <w:color w:val="auto"/>
          <w:highlight w:val="none"/>
        </w:rPr>
        <w:t>中约定的要求。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承包人创建的BIM模型应保证信息要素全面完备，模型精细度应符合</w:t>
      </w:r>
      <w:r>
        <w:rPr>
          <w:rFonts w:hint="eastAsia" w:cs="Times New Roman"/>
          <w:b/>
          <w:i/>
          <w:color w:val="auto"/>
          <w:highlight w:val="none"/>
        </w:rPr>
        <w:t>专用条款</w:t>
      </w:r>
      <w:r>
        <w:rPr>
          <w:rFonts w:hint="eastAsia"/>
          <w:color w:val="auto"/>
          <w:highlight w:val="none"/>
        </w:rPr>
        <w:t>中的标准要求。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发包人应在办理规划许可、施工许可、竣工验收审批报建环节提交BIM模型。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⑶BIM成果的归档和移交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发包人应在工程竣工后，组织对本工程BIM实施成果进行归档和移交。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本工程BIM成果包括BIM模型和与之对应的图纸、文档、统计表格，以及综合协调、模拟分析、统计计算等形成的数字化成果文件。BIM模型必须与竣工图纸一致。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承包人应按</w:t>
      </w:r>
      <w:r>
        <w:rPr>
          <w:rFonts w:hint="eastAsia" w:cs="Times New Roman"/>
          <w:b/>
          <w:i/>
          <w:color w:val="auto"/>
          <w:highlight w:val="none"/>
        </w:rPr>
        <w:t>专用条款</w:t>
      </w:r>
      <w:r>
        <w:rPr>
          <w:rFonts w:hint="eastAsia"/>
          <w:color w:val="auto"/>
          <w:highlight w:val="none"/>
        </w:rPr>
        <w:t>约定的交付标准移交BIM成果。发包人审核后，按照政府有关部门的要求进行归档，并在工程交付使用时，应将BIM模型提交给运维单位。</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⑷BIM信息安全责任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承包双方应按照《深圳经济特区数据条例》的有关规定，加强对BIM数据的安全管理，建立健全数据管理制度，及时排查BIM数据在存储、使用、加工、传递、交付过程中可能出现的信息安全隐患，做好安全防护和处理。</w:t>
      </w:r>
    </w:p>
    <w:p>
      <w:pPr>
        <w:adjustRightInd w:val="0"/>
        <w:snapToGrid w:val="0"/>
        <w:spacing w:line="360" w:lineRule="auto"/>
        <w:ind w:left="359"/>
        <w:rPr>
          <w:color w:val="auto"/>
          <w:highlight w:val="none"/>
        </w:rPr>
      </w:pPr>
      <w:r>
        <w:rPr>
          <w:b/>
          <w:color w:val="auto"/>
          <w:highlight w:val="none"/>
        </w:rPr>
        <w:t>2.16</w:t>
      </w:r>
      <w:r>
        <w:rPr>
          <w:rFonts w:hint="eastAsia"/>
          <w:b/>
          <w:color w:val="auto"/>
          <w:highlight w:val="none"/>
        </w:rPr>
        <w:t>知识产权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⑴除</w:t>
      </w:r>
      <w:r>
        <w:rPr>
          <w:b/>
          <w:i/>
          <w:color w:val="auto"/>
          <w:highlight w:val="none"/>
        </w:rPr>
        <w:t>专用条款</w:t>
      </w:r>
      <w:r>
        <w:rPr>
          <w:rFonts w:hint="eastAsia"/>
          <w:color w:val="auto"/>
          <w:highlight w:val="none"/>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⑵除</w:t>
      </w:r>
      <w:r>
        <w:rPr>
          <w:b/>
          <w:i/>
          <w:color w:val="auto"/>
          <w:highlight w:val="none"/>
        </w:rPr>
        <w:t>专用条款</w:t>
      </w:r>
      <w:r>
        <w:rPr>
          <w:rFonts w:hint="eastAsia"/>
          <w:color w:val="auto"/>
          <w:highlight w:val="none"/>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⑷除</w:t>
      </w:r>
      <w:r>
        <w:rPr>
          <w:b/>
          <w:i/>
          <w:color w:val="auto"/>
          <w:highlight w:val="none"/>
        </w:rPr>
        <w:t>专用条款</w:t>
      </w:r>
      <w:r>
        <w:rPr>
          <w:rFonts w:hint="eastAsia"/>
          <w:color w:val="auto"/>
          <w:highlight w:val="none"/>
        </w:rPr>
        <w:t>另有约定外，承包人在合同签订前和签订时已确定采用的专利、专有技术、技术秘密的使用费已包含在签约合同价中。</w:t>
      </w:r>
    </w:p>
    <w:p>
      <w:pPr>
        <w:adjustRightInd w:val="0"/>
        <w:snapToGrid w:val="0"/>
        <w:spacing w:line="360" w:lineRule="auto"/>
        <w:ind w:left="359"/>
        <w:rPr>
          <w:color w:val="auto"/>
          <w:highlight w:val="none"/>
        </w:rPr>
      </w:pPr>
      <w:r>
        <w:rPr>
          <w:b/>
          <w:color w:val="auto"/>
          <w:highlight w:val="none"/>
        </w:rPr>
        <w:t>2.17</w:t>
      </w:r>
      <w:r>
        <w:rPr>
          <w:rFonts w:hint="eastAsia"/>
          <w:b/>
          <w:color w:val="auto"/>
          <w:highlight w:val="none"/>
        </w:rPr>
        <w:t>保密</w:t>
      </w:r>
    </w:p>
    <w:p>
      <w:pPr>
        <w:tabs>
          <w:tab w:val="left" w:pos="1620"/>
          <w:tab w:val="left" w:pos="2340"/>
        </w:tabs>
        <w:adjustRightInd w:val="0"/>
        <w:snapToGrid w:val="0"/>
        <w:spacing w:line="360" w:lineRule="auto"/>
        <w:ind w:left="899"/>
        <w:rPr>
          <w:color w:val="auto"/>
          <w:highlight w:val="none"/>
        </w:rPr>
      </w:pPr>
      <w:r>
        <w:rPr>
          <w:color w:val="auto"/>
          <w:highlight w:val="none"/>
        </w:rPr>
        <w:t>除法律规定或合同另有约定外，未经发包人同意，承包人不得将发包人提供的图纸、文件以及声明需要保密的资料信息等商业秘密泄露给第三方。</w:t>
      </w:r>
    </w:p>
    <w:p>
      <w:pPr>
        <w:tabs>
          <w:tab w:val="left" w:pos="1620"/>
          <w:tab w:val="left" w:pos="2340"/>
        </w:tabs>
        <w:adjustRightInd w:val="0"/>
        <w:snapToGrid w:val="0"/>
        <w:spacing w:line="360" w:lineRule="auto"/>
        <w:ind w:left="899"/>
        <w:rPr>
          <w:color w:val="auto"/>
          <w:highlight w:val="none"/>
        </w:rPr>
      </w:pPr>
      <w:r>
        <w:rPr>
          <w:color w:val="auto"/>
          <w:highlight w:val="none"/>
        </w:rPr>
        <w:t>除法律规定或合同另有约定外，未经承包人同意，发包人不得将承包人提供的技术秘密及声明需要保密的资料信息等商业秘密泄露给第三方。</w:t>
      </w:r>
    </w:p>
    <w:p>
      <w:pPr>
        <w:adjustRightInd w:val="0"/>
        <w:snapToGrid w:val="0"/>
        <w:spacing w:line="360" w:lineRule="auto"/>
        <w:ind w:left="359"/>
        <w:rPr>
          <w:color w:val="auto"/>
          <w:highlight w:val="none"/>
        </w:rPr>
      </w:pPr>
      <w:r>
        <w:rPr>
          <w:b/>
          <w:color w:val="auto"/>
          <w:highlight w:val="none"/>
        </w:rPr>
        <w:t>2.18</w:t>
      </w:r>
      <w:r>
        <w:rPr>
          <w:rFonts w:hint="eastAsia"/>
          <w:b/>
          <w:color w:val="auto"/>
          <w:highlight w:val="none"/>
        </w:rPr>
        <w:t>化石、文物的保护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在现场发现的所有化石、文物，以及有地质或考古意义的结构物和其他遗迹或物品时，承包人应立即保护好现场并于4小时内通知</w:t>
      </w:r>
      <w:r>
        <w:rPr>
          <w:color w:val="auto"/>
          <w:highlight w:val="none"/>
        </w:rPr>
        <w:t>监理人</w:t>
      </w:r>
      <w:r>
        <w:rPr>
          <w:rFonts w:hint="eastAsia"/>
          <w:color w:val="auto"/>
          <w:highlight w:val="none"/>
        </w:rPr>
        <w:t>，</w:t>
      </w:r>
      <w:r>
        <w:rPr>
          <w:color w:val="auto"/>
          <w:highlight w:val="none"/>
        </w:rPr>
        <w:t>监理人</w:t>
      </w:r>
      <w:r>
        <w:rPr>
          <w:rFonts w:hint="eastAsia"/>
          <w:color w:val="auto"/>
          <w:highlight w:val="none"/>
        </w:rPr>
        <w:t>应于收到通知后24小时内报告当地文物管理部门，发包人和承包人应按文物管理部门的要求采取妥善保护措施。发包人承担由此发生的费用，顺延延误的工期。如发现后隐瞒不报或报告不及时，致使上述化石、文物遭受破坏，责任人依法承担相应责任。</w:t>
      </w:r>
    </w:p>
    <w:p>
      <w:pPr>
        <w:adjustRightInd w:val="0"/>
        <w:snapToGrid w:val="0"/>
        <w:spacing w:line="360" w:lineRule="auto"/>
        <w:ind w:left="178"/>
        <w:rPr>
          <w:color w:val="auto"/>
          <w:sz w:val="28"/>
          <w:highlight w:val="none"/>
        </w:rPr>
      </w:pPr>
      <w:r>
        <w:rPr>
          <w:b/>
          <w:color w:val="auto"/>
          <w:sz w:val="28"/>
          <w:highlight w:val="none"/>
        </w:rPr>
        <w:t>3</w:t>
      </w:r>
      <w:r>
        <w:rPr>
          <w:rFonts w:hint="eastAsia"/>
          <w:b/>
          <w:color w:val="auto"/>
          <w:sz w:val="28"/>
          <w:highlight w:val="none"/>
        </w:rPr>
        <w:t>发包人</w:t>
      </w:r>
    </w:p>
    <w:p>
      <w:pPr>
        <w:adjustRightInd w:val="0"/>
        <w:snapToGrid w:val="0"/>
        <w:spacing w:line="360" w:lineRule="auto"/>
        <w:ind w:left="359"/>
        <w:rPr>
          <w:color w:val="auto"/>
          <w:highlight w:val="none"/>
        </w:rPr>
      </w:pPr>
      <w:r>
        <w:rPr>
          <w:b/>
          <w:color w:val="auto"/>
          <w:highlight w:val="none"/>
        </w:rPr>
        <w:t>3.1</w:t>
      </w:r>
      <w:r>
        <w:rPr>
          <w:rFonts w:hint="eastAsia"/>
          <w:b/>
          <w:color w:val="auto"/>
          <w:highlight w:val="none"/>
        </w:rPr>
        <w:t>发包人代表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发包人应任命发包人代表，发包人代表的姓名在</w:t>
      </w:r>
      <w:r>
        <w:rPr>
          <w:rFonts w:hint="eastAsia"/>
          <w:b/>
          <w:i/>
          <w:color w:val="auto"/>
          <w:highlight w:val="none"/>
        </w:rPr>
        <w:t>专用条款</w:t>
      </w:r>
      <w:r>
        <w:rPr>
          <w:rFonts w:hint="eastAsia"/>
          <w:color w:val="auto"/>
          <w:highlight w:val="none"/>
        </w:rPr>
        <w:t>中明确。本合同中约定由发包人确认、批准、同意、审批等事项均应以发包人盖章或发包人代表签字为准。发包人如需更换发包人代表，应至少提前7天以书面形式通知</w:t>
      </w:r>
      <w:r>
        <w:rPr>
          <w:color w:val="auto"/>
          <w:highlight w:val="none"/>
        </w:rPr>
        <w:t>监理人</w:t>
      </w:r>
      <w:r>
        <w:rPr>
          <w:rFonts w:hint="eastAsia"/>
          <w:color w:val="auto"/>
          <w:highlight w:val="none"/>
        </w:rPr>
        <w:t>和承包人。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发包人代表不能按照合同约定履行其职责及义务，并导致合同无法继续正常履行的，承包人可以要求发包人撤换发包人代表。</w:t>
      </w:r>
    </w:p>
    <w:p>
      <w:pPr>
        <w:adjustRightInd w:val="0"/>
        <w:snapToGrid w:val="0"/>
        <w:spacing w:line="360" w:lineRule="auto"/>
        <w:ind w:left="359"/>
        <w:rPr>
          <w:color w:val="auto"/>
          <w:highlight w:val="none"/>
        </w:rPr>
      </w:pPr>
      <w:r>
        <w:rPr>
          <w:b/>
          <w:color w:val="auto"/>
          <w:highlight w:val="none"/>
        </w:rPr>
        <w:t>3.2</w:t>
      </w:r>
      <w:r>
        <w:rPr>
          <w:rFonts w:hint="eastAsia"/>
          <w:b/>
          <w:color w:val="auto"/>
          <w:highlight w:val="none"/>
        </w:rPr>
        <w:t>发包人的义务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p>
    <w:p>
      <w:pPr>
        <w:adjustRightInd w:val="0"/>
        <w:snapToGrid w:val="0"/>
        <w:spacing w:line="360" w:lineRule="auto"/>
        <w:ind w:left="359"/>
        <w:rPr>
          <w:color w:val="auto"/>
          <w:highlight w:val="none"/>
        </w:rPr>
      </w:pPr>
      <w:r>
        <w:rPr>
          <w:b/>
          <w:color w:val="auto"/>
          <w:highlight w:val="none"/>
        </w:rPr>
        <w:t>3.3</w:t>
      </w:r>
      <w:r>
        <w:rPr>
          <w:rFonts w:hint="eastAsia"/>
          <w:b/>
          <w:color w:val="auto"/>
          <w:highlight w:val="none"/>
        </w:rPr>
        <w:t>发包人人员</w:t>
      </w:r>
    </w:p>
    <w:p>
      <w:pPr>
        <w:tabs>
          <w:tab w:val="left" w:pos="1620"/>
          <w:tab w:val="left" w:pos="2340"/>
        </w:tabs>
        <w:adjustRightInd w:val="0"/>
        <w:snapToGrid w:val="0"/>
        <w:spacing w:line="360" w:lineRule="auto"/>
        <w:ind w:left="899"/>
        <w:rPr>
          <w:color w:val="auto"/>
          <w:highlight w:val="none"/>
        </w:rPr>
      </w:pPr>
      <w:r>
        <w:rPr>
          <w:color w:val="auto"/>
          <w:highlight w:val="none"/>
        </w:rPr>
        <w:t>发包人人员包括发包人代表及其他由发包人派驻施工现场的人员。</w:t>
      </w:r>
      <w:r>
        <w:rPr>
          <w:rFonts w:hint="eastAsia"/>
          <w:color w:val="auto"/>
          <w:highlight w:val="none"/>
        </w:rPr>
        <w:t>发包人应要求在施工现场的发包人人员配合承包人的工作并遵守关于工程安全、质量、环境保护与文明施工的规定，并保障承包人免于承受因发包人人员未遵守上述要求给承包人造成的损失和责任。</w:t>
      </w:r>
    </w:p>
    <w:p>
      <w:pPr>
        <w:adjustRightInd w:val="0"/>
        <w:snapToGrid w:val="0"/>
        <w:spacing w:line="360" w:lineRule="auto"/>
        <w:ind w:left="359"/>
        <w:rPr>
          <w:color w:val="auto"/>
          <w:highlight w:val="none"/>
        </w:rPr>
      </w:pPr>
      <w:r>
        <w:rPr>
          <w:b/>
          <w:color w:val="auto"/>
          <w:highlight w:val="none"/>
        </w:rPr>
        <w:t>3.4</w:t>
      </w:r>
      <w:r>
        <w:rPr>
          <w:rFonts w:hint="eastAsia"/>
          <w:b/>
          <w:color w:val="auto"/>
          <w:highlight w:val="none"/>
        </w:rPr>
        <w:t>发包人的工作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⑴发包人应按照</w:t>
      </w:r>
      <w:r>
        <w:rPr>
          <w:rFonts w:hint="eastAsia"/>
          <w:b/>
          <w:i/>
          <w:color w:val="auto"/>
          <w:highlight w:val="none"/>
        </w:rPr>
        <w:t>专用条款</w:t>
      </w:r>
      <w:r>
        <w:rPr>
          <w:rFonts w:hint="eastAsia"/>
          <w:color w:val="auto"/>
          <w:highlight w:val="none"/>
        </w:rPr>
        <w:t>的约定在本工程开工前完成以下工作，并承担相关费用：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①办理土地征用、搬迁补偿、平整施工场地等工作，使施工场地具备施工条件，并在开工后继续负责解决上述工作遗留的问题；</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②根据</w:t>
      </w:r>
      <w:r>
        <w:rPr>
          <w:rFonts w:hint="eastAsia"/>
          <w:b/>
          <w:i/>
          <w:color w:val="auto"/>
          <w:highlight w:val="none"/>
        </w:rPr>
        <w:t>专用条款</w:t>
      </w:r>
      <w:r>
        <w:rPr>
          <w:rFonts w:hint="eastAsia"/>
          <w:color w:val="auto"/>
          <w:highlight w:val="none"/>
        </w:rPr>
        <w:t>约定的接驳地点，将施工所需水、电、通讯线路从施工场地外部接驳到施工场地内，保证施工期间的需要；</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③开通施工场地与城乡公共道路间的通道，满足施工运输的需要；</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④向承包人提供施工场地的工程地质和地下管线资料，对资料的真实性、准确性负责；</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⑤办理规划、施工许可证以及停水、停电、中断道路交通、爆破作业等的批件；</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⑥确定水准点与坐标控制点，组织现场交验并移交给承包人；</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⑦根据</w:t>
      </w:r>
      <w:r>
        <w:rPr>
          <w:rFonts w:hint="eastAsia"/>
          <w:b/>
          <w:i/>
          <w:color w:val="auto"/>
          <w:highlight w:val="none"/>
        </w:rPr>
        <w:t>专用条款</w:t>
      </w:r>
      <w:r>
        <w:rPr>
          <w:rFonts w:hint="eastAsia"/>
          <w:color w:val="auto"/>
          <w:highlight w:val="none"/>
        </w:rPr>
        <w:t>约定的时间，组织承包人和</w:t>
      </w:r>
      <w:r>
        <w:rPr>
          <w:color w:val="auto"/>
          <w:highlight w:val="none"/>
        </w:rPr>
        <w:t>设计人</w:t>
      </w:r>
      <w:r>
        <w:rPr>
          <w:rFonts w:hint="eastAsia"/>
          <w:color w:val="auto"/>
          <w:highlight w:val="none"/>
        </w:rPr>
        <w:t>进行图纸会审和设计交底；</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⑧协调处理施工场地周围地下管线和邻近建筑物、构筑物(包括文物保护建筑)、古树名木等的保护工作；</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⑨在</w:t>
      </w:r>
      <w:r>
        <w:rPr>
          <w:rFonts w:hint="eastAsia"/>
          <w:b/>
          <w:i/>
          <w:color w:val="auto"/>
          <w:highlight w:val="none"/>
        </w:rPr>
        <w:t>专用条款</w:t>
      </w:r>
      <w:r>
        <w:rPr>
          <w:rFonts w:hint="eastAsia"/>
          <w:color w:val="auto"/>
          <w:highlight w:val="none"/>
        </w:rPr>
        <w:t>内约定发包人应做的其他工作。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⑵发包人未完成前款约定的各项工作，且未委托承包人办理，给承包人造成损失和(或)导致工期延误的，发包人应赔偿承包人损失和(或)顺延延误的工期。</w:t>
      </w:r>
    </w:p>
    <w:p>
      <w:pPr>
        <w:adjustRightInd w:val="0"/>
        <w:snapToGrid w:val="0"/>
        <w:spacing w:line="360" w:lineRule="auto"/>
        <w:ind w:left="359"/>
        <w:rPr>
          <w:color w:val="auto"/>
          <w:highlight w:val="none"/>
        </w:rPr>
      </w:pPr>
      <w:r>
        <w:rPr>
          <w:b/>
          <w:color w:val="auto"/>
          <w:highlight w:val="none"/>
        </w:rPr>
        <w:t>3.5</w:t>
      </w:r>
      <w:r>
        <w:rPr>
          <w:rFonts w:hint="eastAsia"/>
          <w:b/>
          <w:color w:val="auto"/>
          <w:highlight w:val="none"/>
        </w:rPr>
        <w:t>发包人委托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发包人可将3.4款部分工作委托承包人办理，具体委托内容由双方在</w:t>
      </w:r>
      <w:r>
        <w:rPr>
          <w:rFonts w:hint="eastAsia"/>
          <w:b/>
          <w:i/>
          <w:color w:val="auto"/>
          <w:highlight w:val="none"/>
        </w:rPr>
        <w:t>专用条款</w:t>
      </w:r>
      <w:r>
        <w:rPr>
          <w:rFonts w:hint="eastAsia"/>
          <w:color w:val="auto"/>
          <w:highlight w:val="none"/>
        </w:rPr>
        <w:t>中约定，费用由发包人承担。</w:t>
      </w:r>
    </w:p>
    <w:p>
      <w:pPr>
        <w:adjustRightInd w:val="0"/>
        <w:snapToGrid w:val="0"/>
        <w:spacing w:line="360" w:lineRule="auto"/>
        <w:ind w:left="178"/>
        <w:rPr>
          <w:color w:val="auto"/>
          <w:sz w:val="28"/>
          <w:highlight w:val="none"/>
        </w:rPr>
      </w:pPr>
      <w:r>
        <w:rPr>
          <w:b/>
          <w:color w:val="auto"/>
          <w:sz w:val="28"/>
          <w:highlight w:val="none"/>
        </w:rPr>
        <w:t>4</w:t>
      </w:r>
      <w:r>
        <w:rPr>
          <w:rFonts w:hint="eastAsia"/>
          <w:b/>
          <w:color w:val="auto"/>
          <w:sz w:val="28"/>
          <w:highlight w:val="none"/>
        </w:rPr>
        <w:t>承包人</w:t>
      </w:r>
    </w:p>
    <w:p>
      <w:pPr>
        <w:adjustRightInd w:val="0"/>
        <w:snapToGrid w:val="0"/>
        <w:spacing w:line="360" w:lineRule="auto"/>
        <w:ind w:left="359"/>
        <w:rPr>
          <w:color w:val="auto"/>
          <w:highlight w:val="none"/>
        </w:rPr>
      </w:pPr>
      <w:r>
        <w:rPr>
          <w:b/>
          <w:color w:val="auto"/>
          <w:highlight w:val="none"/>
        </w:rPr>
        <w:t>4.1</w:t>
      </w:r>
      <w:r>
        <w:rPr>
          <w:rFonts w:hint="eastAsia"/>
          <w:b/>
          <w:color w:val="auto"/>
          <w:highlight w:val="none"/>
        </w:rPr>
        <w:t>承包人的义务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p>
    <w:p>
      <w:pPr>
        <w:adjustRightInd w:val="0"/>
        <w:snapToGrid w:val="0"/>
        <w:spacing w:line="360" w:lineRule="auto"/>
        <w:ind w:left="359"/>
        <w:rPr>
          <w:color w:val="auto"/>
          <w:highlight w:val="none"/>
        </w:rPr>
      </w:pPr>
      <w:r>
        <w:rPr>
          <w:b/>
          <w:color w:val="auto"/>
          <w:highlight w:val="none"/>
        </w:rPr>
        <w:t>4.2</w:t>
      </w:r>
      <w:r>
        <w:rPr>
          <w:rFonts w:hint="eastAsia"/>
          <w:b/>
          <w:color w:val="auto"/>
          <w:highlight w:val="none"/>
        </w:rPr>
        <w:t>承包人的工作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⑴承包人应按照</w:t>
      </w:r>
      <w:r>
        <w:rPr>
          <w:rFonts w:hint="eastAsia"/>
          <w:b/>
          <w:i/>
          <w:color w:val="auto"/>
          <w:highlight w:val="none"/>
        </w:rPr>
        <w:t>专用条款</w:t>
      </w:r>
      <w:r>
        <w:rPr>
          <w:rFonts w:hint="eastAsia"/>
          <w:color w:val="auto"/>
          <w:highlight w:val="none"/>
        </w:rPr>
        <w:t>约定完成以下工作：</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①办理法律规定应由承包人办理的许可和批准，并将办理结果书面报送发包人留存；</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③除</w:t>
      </w:r>
      <w:r>
        <w:rPr>
          <w:rFonts w:hint="eastAsia"/>
          <w:b/>
          <w:i/>
          <w:color w:val="auto"/>
          <w:highlight w:val="none"/>
        </w:rPr>
        <w:t>专用条款</w:t>
      </w:r>
      <w:r>
        <w:rPr>
          <w:rFonts w:hint="eastAsia"/>
          <w:color w:val="auto"/>
          <w:highlight w:val="none"/>
        </w:rPr>
        <w:t>另有约定外，向发包人提供施工场地办公和生活的房屋及设施，发包人承担由此发生的费用；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w:t>
      </w:r>
      <w:r>
        <w:rPr>
          <w:color w:val="auto"/>
          <w:highlight w:val="none"/>
        </w:rPr>
        <w:t>按法律规定和合同约定采取施工安全措施，确保工程及其人员、材料、设备和设施的安全，防止因工程施工造成的人身伤害和财产损失；采取环境保护措施，负责施工场地及其周边环境与生态的保护工作；</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w:t>
      </w:r>
      <w:r>
        <w:rPr>
          <w:color w:val="auto"/>
          <w:highlight w:val="none"/>
        </w:rPr>
        <w:t>按合同约定的工作内容和施工进度要求，编制施工组织设计和施工措施计划，并对所有施工作业和施工方法的完备性和安全可靠性负责；</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⑥</w:t>
      </w:r>
      <w:r>
        <w:rPr>
          <w:color w:val="auto"/>
          <w:highlight w:val="none"/>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⑦将</w:t>
      </w:r>
      <w:r>
        <w:rPr>
          <w:color w:val="auto"/>
          <w:highlight w:val="none"/>
        </w:rPr>
        <w:t>发包人按合同约定支付的各项价款专用于合同工程，且应及时支付其雇用人员工资，并及时向分包人支付合同价款；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⑧</w:t>
      </w:r>
      <w:r>
        <w:rPr>
          <w:color w:val="auto"/>
          <w:highlight w:val="none"/>
        </w:rPr>
        <w:t>按照法律规定和合同约定编制竣工资料，完成竣工资料立卷及归档，并按</w:t>
      </w:r>
      <w:r>
        <w:rPr>
          <w:b/>
          <w:i/>
          <w:color w:val="auto"/>
          <w:highlight w:val="none"/>
        </w:rPr>
        <w:t>专用条款</w:t>
      </w:r>
      <w:r>
        <w:rPr>
          <w:color w:val="auto"/>
          <w:highlight w:val="none"/>
        </w:rPr>
        <w:t>约定的竣工资料的套数、时间等要求移交发包人；</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⑨在</w:t>
      </w:r>
      <w:r>
        <w:rPr>
          <w:rFonts w:hint="eastAsia"/>
          <w:b/>
          <w:i/>
          <w:color w:val="auto"/>
          <w:highlight w:val="none"/>
        </w:rPr>
        <w:t>专用条款</w:t>
      </w:r>
      <w:r>
        <w:rPr>
          <w:rFonts w:hint="eastAsia"/>
          <w:color w:val="auto"/>
          <w:highlight w:val="none"/>
        </w:rPr>
        <w:t>内约定承包人应做的其他工作。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⑵承包人未完成3.5款及4.2款约定的各项工作，应视为承包人违约，承包人按28.2款的约定承担违约责任，给发包人造成损失和(或)导致工期延误的，承包人应赔偿发包人的损失和(或)工期不予顺延。</w:t>
      </w:r>
    </w:p>
    <w:p>
      <w:pPr>
        <w:adjustRightInd w:val="0"/>
        <w:snapToGrid w:val="0"/>
        <w:spacing w:line="360" w:lineRule="auto"/>
        <w:ind w:left="359"/>
        <w:rPr>
          <w:color w:val="auto"/>
          <w:highlight w:val="none"/>
        </w:rPr>
      </w:pPr>
      <w:r>
        <w:rPr>
          <w:b/>
          <w:color w:val="auto"/>
          <w:highlight w:val="none"/>
        </w:rPr>
        <w:t>4.3</w:t>
      </w:r>
      <w:r>
        <w:rPr>
          <w:rFonts w:hint="eastAsia"/>
          <w:b/>
          <w:color w:val="auto"/>
          <w:highlight w:val="none"/>
        </w:rPr>
        <w:t>项目经理的任命和职责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⑴承包人应任命项目经理，授权其代表承包人履行本合同约定的权利和义务，承包人根据合同发出的一切文件(包括致发包人或</w:t>
      </w:r>
      <w:r>
        <w:rPr>
          <w:color w:val="auto"/>
          <w:highlight w:val="none"/>
        </w:rPr>
        <w:t>监理人</w:t>
      </w:r>
      <w:r>
        <w:rPr>
          <w:rFonts w:hint="eastAsia"/>
          <w:color w:val="auto"/>
          <w:highlight w:val="none"/>
        </w:rPr>
        <w:t>的通知)，均应以书面形式由项目经理签字后发出。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⑵承包人任命的项目经理，应取得符合本工程要求的建造师资格，应在承包人单位注册，应与投标文件所载明的人选一致，并经发包人确认后在</w:t>
      </w:r>
      <w:r>
        <w:rPr>
          <w:rFonts w:hint="eastAsia"/>
          <w:b/>
          <w:i/>
          <w:color w:val="auto"/>
          <w:highlight w:val="none"/>
        </w:rPr>
        <w:t>专用条款</w:t>
      </w:r>
      <w:r>
        <w:rPr>
          <w:rFonts w:hint="eastAsia"/>
          <w:color w:val="auto"/>
          <w:highlight w:val="none"/>
        </w:rPr>
        <w:t>中明确。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⑶若承包人派驻现场的项目经理与投标文件的承诺不一致，或项目经理未及时到位或未常驻现场，或同时兼任承包人</w:t>
      </w:r>
      <w:r>
        <w:rPr>
          <w:color w:val="auto"/>
          <w:highlight w:val="none"/>
        </w:rPr>
        <w:t>其它</w:t>
      </w:r>
      <w:r>
        <w:rPr>
          <w:rFonts w:hint="eastAsia"/>
          <w:color w:val="auto"/>
          <w:highlight w:val="none"/>
        </w:rPr>
        <w:t>工程</w:t>
      </w:r>
      <w:r>
        <w:rPr>
          <w:color w:val="auto"/>
          <w:highlight w:val="none"/>
        </w:rPr>
        <w:t>项目的</w:t>
      </w:r>
      <w:r>
        <w:rPr>
          <w:rFonts w:hint="eastAsia"/>
          <w:color w:val="auto"/>
          <w:highlight w:val="none"/>
        </w:rPr>
        <w:t>项目经理，发包人可按照</w:t>
      </w:r>
      <w:r>
        <w:rPr>
          <w:rFonts w:hint="eastAsia"/>
          <w:b/>
          <w:i/>
          <w:color w:val="auto"/>
          <w:highlight w:val="none"/>
        </w:rPr>
        <w:t>专用条款</w:t>
      </w:r>
      <w:r>
        <w:rPr>
          <w:rFonts w:hint="eastAsia"/>
          <w:color w:val="auto"/>
          <w:highlight w:val="none"/>
        </w:rPr>
        <w:t>中的约定对承包人进行相应处罚。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项目经理按合同约定组织工程实施。在紧急情况下</w:t>
      </w:r>
      <w:r>
        <w:rPr>
          <w:rFonts w:hint="eastAsia"/>
          <w:color w:val="auto"/>
          <w:highlight w:val="none"/>
        </w:rPr>
        <w:t>为确保施工安全和人员安全</w:t>
      </w:r>
      <w:r>
        <w:rPr>
          <w:color w:val="auto"/>
          <w:highlight w:val="none"/>
        </w:rPr>
        <w:t>，</w:t>
      </w:r>
      <w:r>
        <w:rPr>
          <w:rFonts w:hint="eastAsia"/>
          <w:color w:val="auto"/>
          <w:highlight w:val="none"/>
        </w:rPr>
        <w:t>在</w:t>
      </w:r>
      <w:r>
        <w:rPr>
          <w:color w:val="auto"/>
          <w:highlight w:val="none"/>
        </w:rPr>
        <w:t>无法与发包人代表和总监理工程师</w:t>
      </w:r>
      <w:r>
        <w:rPr>
          <w:rFonts w:hint="eastAsia"/>
          <w:color w:val="auto"/>
          <w:highlight w:val="none"/>
        </w:rPr>
        <w:t>及时</w:t>
      </w:r>
      <w:r>
        <w:rPr>
          <w:color w:val="auto"/>
          <w:highlight w:val="none"/>
        </w:rPr>
        <w:t>取得联系时，项目经理有权采取必要的措施保证与工程有关的人身、财产和工程的安全，但应在48小时内向发包人代表和总监理工程师提交书面报告。</w:t>
      </w:r>
    </w:p>
    <w:p>
      <w:pPr>
        <w:adjustRightInd w:val="0"/>
        <w:snapToGrid w:val="0"/>
        <w:spacing w:line="360" w:lineRule="auto"/>
        <w:ind w:left="359"/>
        <w:rPr>
          <w:color w:val="auto"/>
          <w:highlight w:val="none"/>
        </w:rPr>
      </w:pPr>
      <w:r>
        <w:rPr>
          <w:b/>
          <w:color w:val="auto"/>
          <w:highlight w:val="none"/>
        </w:rPr>
        <w:t>4.4</w:t>
      </w:r>
      <w:r>
        <w:rPr>
          <w:rFonts w:hint="eastAsia"/>
          <w:b/>
          <w:color w:val="auto"/>
          <w:highlight w:val="none"/>
        </w:rPr>
        <w:t>项目经理的更换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⑴承包人的项目经理除以下情形之一外，不得更换：</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①因重病或重伤(持有县、区以上医院证明)两个月以上不能履行职责的；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②主动辞职或调离原工作单位的；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③因管理原因发生重大工程质量、安全事故，承包人认为该项目经理不称职需要更换的；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④无能力履行合同的责任和义务，造成严重后果，发包人要求更换的；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⑤因违法被责令停止执业的；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⑥因</w:t>
      </w:r>
      <w:r>
        <w:rPr>
          <w:color w:val="auto"/>
          <w:highlight w:val="none"/>
        </w:rPr>
        <w:t>涉嫌</w:t>
      </w:r>
      <w:r>
        <w:rPr>
          <w:rFonts w:hint="eastAsia"/>
          <w:color w:val="auto"/>
          <w:highlight w:val="none"/>
        </w:rPr>
        <w:t>犯罪被羁押或判刑的；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⑦死亡。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⑵承包人如确需更换项目经理，应至少提前7天以书面形式通知</w:t>
      </w:r>
      <w:r>
        <w:rPr>
          <w:color w:val="auto"/>
          <w:highlight w:val="none"/>
        </w:rPr>
        <w:t>监理人</w:t>
      </w:r>
      <w:r>
        <w:rPr>
          <w:rFonts w:hint="eastAsia"/>
          <w:color w:val="auto"/>
          <w:highlight w:val="none"/>
        </w:rPr>
        <w:t>，并报发包人同意，并按市建设行政主管部门的规定办理变更手续，否则更换无效。发包人应在收到通知后7天内予以答复，否则视为同意。续任项目经理应继续行使合同约定的项目经理的职权和履行相应的义务。承包人未经</w:t>
      </w:r>
      <w:r>
        <w:rPr>
          <w:color w:val="auto"/>
          <w:highlight w:val="none"/>
        </w:rPr>
        <w:t>监理人</w:t>
      </w:r>
      <w:r>
        <w:rPr>
          <w:rFonts w:hint="eastAsia"/>
          <w:color w:val="auto"/>
          <w:highlight w:val="none"/>
        </w:rPr>
        <w:t>及发包人同意更换项目经理的，发包人可按照</w:t>
      </w:r>
      <w:r>
        <w:rPr>
          <w:rFonts w:hint="eastAsia"/>
          <w:b/>
          <w:i/>
          <w:color w:val="auto"/>
          <w:highlight w:val="none"/>
        </w:rPr>
        <w:t>专用条款</w:t>
      </w:r>
      <w:r>
        <w:rPr>
          <w:rFonts w:hint="eastAsia"/>
          <w:color w:val="auto"/>
          <w:highlight w:val="none"/>
        </w:rPr>
        <w:t>中的约定对承包人进行相应处罚。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b/>
          <w:i/>
          <w:color w:val="auto"/>
          <w:highlight w:val="none"/>
        </w:rPr>
        <w:t>专用条款</w:t>
      </w:r>
      <w:r>
        <w:rPr>
          <w:color w:val="auto"/>
          <w:highlight w:val="none"/>
        </w:rPr>
        <w:t>的约定承担违约责任。</w:t>
      </w:r>
    </w:p>
    <w:p>
      <w:pPr>
        <w:adjustRightInd w:val="0"/>
        <w:snapToGrid w:val="0"/>
        <w:spacing w:line="360" w:lineRule="auto"/>
        <w:ind w:left="359"/>
        <w:rPr>
          <w:color w:val="auto"/>
          <w:highlight w:val="none"/>
        </w:rPr>
      </w:pPr>
      <w:r>
        <w:rPr>
          <w:b/>
          <w:color w:val="auto"/>
          <w:highlight w:val="none"/>
        </w:rPr>
        <w:t>4.5</w:t>
      </w:r>
      <w:r>
        <w:rPr>
          <w:rFonts w:hint="eastAsia"/>
          <w:b/>
          <w:color w:val="auto"/>
          <w:highlight w:val="none"/>
        </w:rPr>
        <w:t>项目经理的临时授权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项目经理因特殊情况授权其下属人员履行其某项工作职责的，该下属人员应具备履行相应职责的能力，并应提前7天将上述人员的姓名和授权范围书面通知监理人，并征得发包人书面同意。</w:t>
      </w:r>
      <w:r>
        <w:rPr>
          <w:rFonts w:hint="eastAsia"/>
          <w:color w:val="auto"/>
          <w:highlight w:val="none"/>
        </w:rPr>
        <w:t>未经发包人批准，任何此类任命和撤回均为无效。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⑵项目经理临时任命人在项目经理暂离现场期间行使项目经理授予的职权，对承包人负责。临时任命人在项目经理授予职权范围和期限内的工作，项目经理应予认可。</w:t>
      </w:r>
    </w:p>
    <w:p>
      <w:pPr>
        <w:adjustRightInd w:val="0"/>
        <w:snapToGrid w:val="0"/>
        <w:spacing w:line="360" w:lineRule="auto"/>
        <w:ind w:left="359"/>
        <w:rPr>
          <w:color w:val="auto"/>
          <w:highlight w:val="none"/>
        </w:rPr>
      </w:pPr>
      <w:r>
        <w:rPr>
          <w:b/>
          <w:color w:val="auto"/>
          <w:highlight w:val="none"/>
        </w:rPr>
        <w:t>4.6</w:t>
      </w:r>
      <w:r>
        <w:rPr>
          <w:rFonts w:hint="eastAsia"/>
          <w:b/>
          <w:color w:val="auto"/>
          <w:highlight w:val="none"/>
        </w:rPr>
        <w:t>施工管理人员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⑴承包人应按照投标文件的承诺，为本工程配备施工、技术、合同、材料、质量、安全、财务和劳资等施工管理人员。承包人应在合同签订后</w:t>
      </w:r>
      <w:r>
        <w:rPr>
          <w:color w:val="auto"/>
          <w:highlight w:val="none"/>
        </w:rPr>
        <w:t>7天内提交施工管理人员的名单及其岗位、注册执业资格等，以及与承包人之间的劳动关系证明和缴纳社会保险的有效证明供监理人和发包人审核，承包人项目管理机构的设置应与投标文件一致。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⑵承包人的主要施工管理人员</w:t>
      </w:r>
      <w:r>
        <w:rPr>
          <w:color w:val="auto"/>
          <w:highlight w:val="none"/>
        </w:rPr>
        <w:t>(技术负责人、质量负责人、安全负责人、安全员、劳资专管员及专用条款约定的其他人员)应与投标文件所载明的人选一致且相对稳定。承包人如确需更换主要施工管理人员，应至少提前7天以书面形式通知监理人，并报发包人同意。发包人应在收到通知后7天内予以答复，否则视为同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⑶承包人的主要施工管理人员应保证常驻现场。除专用条款另有约定外，承包人的主要施工管理人员离开施工现场每月累计不超过</w:t>
      </w:r>
      <w:r>
        <w:rPr>
          <w:color w:val="auto"/>
          <w:highlight w:val="none"/>
        </w:rPr>
        <w:t>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⑷承包人的劳资专管员应掌握施工现场用工、考勤、工资发放等情况，对分包人劳动用工实施监督管理，审核分包人编制的工人工资支付表。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⑸承包人的管理人员在施工期间出现以下情况，应承担专用条款的约定的违约责任：</w:t>
      </w:r>
    </w:p>
    <w:p>
      <w:pPr>
        <w:pStyle w:val="21"/>
        <w:numPr>
          <w:ilvl w:val="0"/>
          <w:numId w:val="2"/>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承包人的项目管理机构设置与投标文件的承诺不一致；</w:t>
      </w:r>
      <w:r>
        <w:rPr>
          <w:color w:val="auto"/>
          <w:highlight w:val="none"/>
        </w:rPr>
        <w:t xml:space="preserve"> </w:t>
      </w:r>
    </w:p>
    <w:p>
      <w:pPr>
        <w:pStyle w:val="21"/>
        <w:numPr>
          <w:ilvl w:val="0"/>
          <w:numId w:val="2"/>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承包人的主要施工管理人员不到位；</w:t>
      </w:r>
    </w:p>
    <w:p>
      <w:pPr>
        <w:pStyle w:val="21"/>
        <w:numPr>
          <w:ilvl w:val="0"/>
          <w:numId w:val="2"/>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未经发包人同意，承包人擅自更换主要施工管理人员；</w:t>
      </w:r>
    </w:p>
    <w:p>
      <w:pPr>
        <w:pStyle w:val="21"/>
        <w:numPr>
          <w:ilvl w:val="0"/>
          <w:numId w:val="2"/>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承包人的主要施工管理人员未经监理人或发包人同意擅自离开施工现场的；</w:t>
      </w:r>
    </w:p>
    <w:p>
      <w:pPr>
        <w:pStyle w:val="21"/>
        <w:tabs>
          <w:tab w:val="left" w:pos="1620"/>
          <w:tab w:val="left" w:pos="2340"/>
        </w:tabs>
        <w:adjustRightInd w:val="0"/>
        <w:snapToGrid w:val="0"/>
        <w:spacing w:line="360" w:lineRule="auto"/>
        <w:ind w:left="1139" w:firstLine="240" w:firstLineChars="100"/>
        <w:rPr>
          <w:color w:val="auto"/>
          <w:highlight w:val="none"/>
        </w:rPr>
      </w:pPr>
      <w:r>
        <w:rPr>
          <w:rFonts w:hint="eastAsia"/>
          <w:color w:val="auto"/>
          <w:highlight w:val="none"/>
        </w:rPr>
        <w:t>⑤承包人的主要施工管理人员同时兼任承包人其它工程项目的任何职务。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w:t>
      </w:r>
      <w:r>
        <w:rPr>
          <w:color w:val="auto"/>
          <w:highlight w:val="none"/>
        </w:rPr>
        <w:t>发包人对于承包人主要施工管理人员</w:t>
      </w:r>
      <w:r>
        <w:rPr>
          <w:rFonts w:hint="eastAsia"/>
          <w:color w:val="auto"/>
          <w:highlight w:val="none"/>
        </w:rPr>
        <w:t>的资格或能力</w:t>
      </w:r>
      <w:r>
        <w:rPr>
          <w:color w:val="auto"/>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b/>
          <w:i/>
          <w:color w:val="auto"/>
          <w:highlight w:val="none"/>
        </w:rPr>
        <w:t>专用条款</w:t>
      </w:r>
      <w:r>
        <w:rPr>
          <w:color w:val="auto"/>
          <w:highlight w:val="none"/>
        </w:rPr>
        <w:t>的约定承担违约责任。</w:t>
      </w:r>
    </w:p>
    <w:p>
      <w:pPr>
        <w:adjustRightInd w:val="0"/>
        <w:snapToGrid w:val="0"/>
        <w:spacing w:line="360" w:lineRule="auto"/>
        <w:ind w:left="359"/>
        <w:rPr>
          <w:color w:val="auto"/>
          <w:highlight w:val="none"/>
        </w:rPr>
      </w:pPr>
      <w:r>
        <w:rPr>
          <w:b/>
          <w:color w:val="auto"/>
          <w:highlight w:val="none"/>
        </w:rPr>
        <w:t>4.7</w:t>
      </w:r>
      <w:r>
        <w:rPr>
          <w:rFonts w:hint="eastAsia"/>
          <w:b/>
          <w:color w:val="auto"/>
          <w:highlight w:val="none"/>
        </w:rPr>
        <w:t>联合体承包人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如果承包人是由两个或两个以上的当事人依法组成的联营体、联合体或其他形式的组合：</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①各成员在履行合同上对发包人负有共同的和各自的责任；</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②各成员应将承包人及其各自的负责人通知发包人；</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③未经发包人事先同意，承包人不得改变其组成或法律地位；</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④各成员的责任、权利、义务、合同价款的分配比例及方式在联合体协议中明确。</w:t>
      </w:r>
    </w:p>
    <w:p>
      <w:pPr>
        <w:adjustRightInd w:val="0"/>
        <w:snapToGrid w:val="0"/>
        <w:spacing w:line="360" w:lineRule="auto"/>
        <w:ind w:left="178"/>
        <w:rPr>
          <w:color w:val="auto"/>
          <w:sz w:val="28"/>
          <w:highlight w:val="none"/>
        </w:rPr>
      </w:pPr>
      <w:r>
        <w:rPr>
          <w:b/>
          <w:color w:val="auto"/>
          <w:sz w:val="28"/>
          <w:highlight w:val="none"/>
        </w:rPr>
        <w:t>5监理人</w:t>
      </w:r>
    </w:p>
    <w:p>
      <w:pPr>
        <w:adjustRightInd w:val="0"/>
        <w:snapToGrid w:val="0"/>
        <w:spacing w:line="360" w:lineRule="auto"/>
        <w:ind w:left="359"/>
        <w:rPr>
          <w:color w:val="auto"/>
          <w:highlight w:val="none"/>
        </w:rPr>
      </w:pPr>
      <w:r>
        <w:rPr>
          <w:b/>
          <w:color w:val="auto"/>
          <w:highlight w:val="none"/>
        </w:rPr>
        <w:t>5.1监理人</w:t>
      </w:r>
      <w:r>
        <w:rPr>
          <w:rFonts w:hint="eastAsia"/>
          <w:b/>
          <w:color w:val="auto"/>
          <w:highlight w:val="none"/>
        </w:rPr>
        <w:t>的通知</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发包人应在本合同</w:t>
      </w:r>
      <w:r>
        <w:rPr>
          <w:rFonts w:hint="eastAsia"/>
          <w:b/>
          <w:i/>
          <w:color w:val="auto"/>
          <w:highlight w:val="none"/>
        </w:rPr>
        <w:t>专用条款</w:t>
      </w:r>
      <w:r>
        <w:rPr>
          <w:rFonts w:hint="eastAsia"/>
          <w:color w:val="auto"/>
          <w:highlight w:val="none"/>
        </w:rPr>
        <w:t>中列明</w:t>
      </w:r>
      <w:r>
        <w:rPr>
          <w:color w:val="auto"/>
          <w:highlight w:val="none"/>
        </w:rPr>
        <w:t>监理人</w:t>
      </w:r>
      <w:r>
        <w:rPr>
          <w:rFonts w:hint="eastAsia"/>
          <w:color w:val="auto"/>
          <w:highlight w:val="none"/>
        </w:rPr>
        <w:t>。实施监理的工程，发包人应在开工前将</w:t>
      </w:r>
      <w:r>
        <w:rPr>
          <w:color w:val="auto"/>
          <w:highlight w:val="none"/>
        </w:rPr>
        <w:t>监理人</w:t>
      </w:r>
      <w:r>
        <w:rPr>
          <w:rFonts w:hint="eastAsia"/>
          <w:color w:val="auto"/>
          <w:highlight w:val="none"/>
        </w:rPr>
        <w:t>和总监理工程师的名称、姓名、监理内容书面通知承包人。发包人如需更换</w:t>
      </w:r>
      <w:r>
        <w:rPr>
          <w:color w:val="auto"/>
          <w:highlight w:val="none"/>
        </w:rPr>
        <w:t>监理人</w:t>
      </w:r>
      <w:r>
        <w:rPr>
          <w:rFonts w:hint="eastAsia"/>
          <w:color w:val="auto"/>
          <w:highlight w:val="none"/>
        </w:rPr>
        <w:t>，应至少提前7天以书面形式通知承包人。</w:t>
      </w:r>
    </w:p>
    <w:p>
      <w:pPr>
        <w:adjustRightInd w:val="0"/>
        <w:snapToGrid w:val="0"/>
        <w:spacing w:line="360" w:lineRule="auto"/>
        <w:ind w:left="359"/>
        <w:rPr>
          <w:color w:val="auto"/>
          <w:highlight w:val="none"/>
        </w:rPr>
      </w:pPr>
      <w:r>
        <w:rPr>
          <w:b/>
          <w:color w:val="auto"/>
          <w:highlight w:val="none"/>
        </w:rPr>
        <w:t>5.2监理人</w:t>
      </w:r>
      <w:r>
        <w:rPr>
          <w:rFonts w:hint="eastAsia"/>
          <w:b/>
          <w:color w:val="auto"/>
          <w:highlight w:val="none"/>
        </w:rPr>
        <w:t>的职权</w:t>
      </w:r>
    </w:p>
    <w:p>
      <w:pPr>
        <w:tabs>
          <w:tab w:val="left" w:pos="1620"/>
          <w:tab w:val="left" w:pos="2340"/>
        </w:tabs>
        <w:adjustRightInd w:val="0"/>
        <w:snapToGrid w:val="0"/>
        <w:spacing w:line="360" w:lineRule="auto"/>
        <w:ind w:left="899"/>
        <w:rPr>
          <w:color w:val="auto"/>
          <w:highlight w:val="none"/>
        </w:rPr>
      </w:pPr>
      <w:r>
        <w:rPr>
          <w:color w:val="auto"/>
          <w:highlight w:val="none"/>
        </w:rPr>
        <w:t>监理人</w:t>
      </w:r>
      <w:r>
        <w:rPr>
          <w:rFonts w:hint="eastAsia"/>
          <w:color w:val="auto"/>
          <w:highlight w:val="none"/>
        </w:rPr>
        <w:t>应履行本合同条款约定的职责，行使本合同订明或必然隐含的权力。除合同明确说明外，</w:t>
      </w:r>
      <w:r>
        <w:rPr>
          <w:color w:val="auto"/>
          <w:highlight w:val="none"/>
        </w:rPr>
        <w:t>监理人</w:t>
      </w:r>
      <w:r>
        <w:rPr>
          <w:rFonts w:hint="eastAsia"/>
          <w:color w:val="auto"/>
          <w:highlight w:val="none"/>
        </w:rPr>
        <w:t>无权修改合同，亦无权免除承包人在合同内的任何职责和义务。</w:t>
      </w:r>
      <w:r>
        <w:rPr>
          <w:color w:val="auto"/>
          <w:highlight w:val="none"/>
        </w:rPr>
        <w:t>监理人</w:t>
      </w:r>
      <w:r>
        <w:rPr>
          <w:rFonts w:hint="eastAsia"/>
          <w:color w:val="auto"/>
          <w:highlight w:val="none"/>
        </w:rPr>
        <w:t>在履行和行使其职权时，其任何行为或遗漏，不免除承包人履行合同约定的任何职责和义务。</w:t>
      </w:r>
    </w:p>
    <w:p>
      <w:pPr>
        <w:adjustRightInd w:val="0"/>
        <w:snapToGrid w:val="0"/>
        <w:spacing w:line="360" w:lineRule="auto"/>
        <w:ind w:left="359"/>
        <w:rPr>
          <w:color w:val="auto"/>
          <w:highlight w:val="none"/>
        </w:rPr>
      </w:pPr>
      <w:r>
        <w:rPr>
          <w:b/>
          <w:color w:val="auto"/>
          <w:highlight w:val="none"/>
        </w:rPr>
        <w:t>5.3监理人</w:t>
      </w:r>
      <w:r>
        <w:rPr>
          <w:rFonts w:hint="eastAsia"/>
          <w:b/>
          <w:color w:val="auto"/>
          <w:highlight w:val="none"/>
        </w:rPr>
        <w:t>权力的限制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监理人</w:t>
      </w:r>
      <w:r>
        <w:rPr>
          <w:rFonts w:hint="eastAsia"/>
          <w:color w:val="auto"/>
          <w:highlight w:val="none"/>
        </w:rPr>
        <w:t>行使下列权力时，应先取得发包人的批准。但是，当</w:t>
      </w:r>
      <w:r>
        <w:rPr>
          <w:color w:val="auto"/>
          <w:highlight w:val="none"/>
        </w:rPr>
        <w:t>监理人</w:t>
      </w:r>
      <w:r>
        <w:rPr>
          <w:rFonts w:hint="eastAsia"/>
          <w:color w:val="auto"/>
          <w:highlight w:val="none"/>
        </w:rPr>
        <w:t>行使下列需经发包人批准的权力时，应视为发包人已予批准：</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①发布开工令、停工令、复工令；</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②向</w:t>
      </w:r>
      <w:r>
        <w:rPr>
          <w:color w:val="auto"/>
          <w:highlight w:val="none"/>
        </w:rPr>
        <w:t>设计人</w:t>
      </w:r>
      <w:r>
        <w:rPr>
          <w:rFonts w:hint="eastAsia"/>
          <w:color w:val="auto"/>
          <w:highlight w:val="none"/>
        </w:rPr>
        <w:t>或承包人提出建议且提出的建议可能会提高工程造价或延误工期；</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③对本工程任何形式、数量、质量、价款和内容上的变动；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④对合同约定的承包人职责和义务进行变更；</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⑤提出或批准索赔；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⑥签发工程款支付证书；</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⑦合同条款中明确约定应取得发包人批准的其他权力；</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⑧</w:t>
      </w:r>
      <w:r>
        <w:rPr>
          <w:rFonts w:hint="eastAsia"/>
          <w:b/>
          <w:i/>
          <w:color w:val="auto"/>
          <w:highlight w:val="none"/>
        </w:rPr>
        <w:t>专用条款</w:t>
      </w:r>
      <w:r>
        <w:rPr>
          <w:rFonts w:hint="eastAsia"/>
          <w:color w:val="auto"/>
          <w:highlight w:val="none"/>
        </w:rPr>
        <w:t>中明确的其他需经发包人批准的权力。</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⑵当</w:t>
      </w:r>
      <w:r>
        <w:rPr>
          <w:color w:val="auto"/>
          <w:highlight w:val="none"/>
        </w:rPr>
        <w:t>监理人</w:t>
      </w:r>
      <w:r>
        <w:rPr>
          <w:rFonts w:hint="eastAsia"/>
          <w:color w:val="auto"/>
          <w:highlight w:val="none"/>
        </w:rPr>
        <w:t>认为出现了危及人身、财产安全和立即影响工程安危的紧急情况，且不可能在事前把情况报告给发包人时，在不免除合同约定的承包人的任何职责和义务的情况下，</w:t>
      </w:r>
      <w:r>
        <w:rPr>
          <w:color w:val="auto"/>
          <w:highlight w:val="none"/>
        </w:rPr>
        <w:t>监理人</w:t>
      </w:r>
      <w:r>
        <w:rPr>
          <w:rFonts w:hint="eastAsia"/>
          <w:color w:val="auto"/>
          <w:highlight w:val="none"/>
        </w:rPr>
        <w:t>可先行行使5.3款⑴中的权力，并应在事后24小时内向发包人作出书面报告。</w:t>
      </w:r>
    </w:p>
    <w:p>
      <w:pPr>
        <w:adjustRightInd w:val="0"/>
        <w:snapToGrid w:val="0"/>
        <w:spacing w:line="360" w:lineRule="auto"/>
        <w:ind w:left="359"/>
        <w:rPr>
          <w:color w:val="auto"/>
          <w:highlight w:val="none"/>
        </w:rPr>
      </w:pPr>
      <w:r>
        <w:rPr>
          <w:b/>
          <w:color w:val="auto"/>
          <w:highlight w:val="none"/>
        </w:rPr>
        <w:t>5.4</w:t>
      </w:r>
      <w:r>
        <w:rPr>
          <w:rFonts w:hint="eastAsia"/>
          <w:b/>
          <w:color w:val="auto"/>
          <w:highlight w:val="none"/>
        </w:rPr>
        <w:t>总监理工程师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监理人</w:t>
      </w:r>
      <w:r>
        <w:rPr>
          <w:rFonts w:hint="eastAsia"/>
          <w:color w:val="auto"/>
          <w:highlight w:val="none"/>
        </w:rPr>
        <w:t>可随时将其任何职责和权力授予其任命的总监理工程师(按有关规定或发包人指定必须由</w:t>
      </w:r>
      <w:r>
        <w:rPr>
          <w:color w:val="auto"/>
          <w:highlight w:val="none"/>
        </w:rPr>
        <w:t>监理人</w:t>
      </w:r>
      <w:r>
        <w:rPr>
          <w:rFonts w:hint="eastAsia"/>
          <w:color w:val="auto"/>
          <w:highlight w:val="none"/>
        </w:rPr>
        <w:t>亲自履行的职权不得转授)，亦可随时将其授予总监理工程师的任何职权撤回。任何此类授权和撤回应由</w:t>
      </w:r>
      <w:r>
        <w:rPr>
          <w:color w:val="auto"/>
          <w:highlight w:val="none"/>
        </w:rPr>
        <w:t>监理人</w:t>
      </w:r>
      <w:r>
        <w:rPr>
          <w:rFonts w:hint="eastAsia"/>
          <w:color w:val="auto"/>
          <w:highlight w:val="none"/>
        </w:rPr>
        <w:t>提前7天以书面形式通知发包人和承包人，在未将有关文件副本送交承包人之前，该项授权和撤回不能生效。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⑵总监理工程师对</w:t>
      </w:r>
      <w:r>
        <w:rPr>
          <w:color w:val="auto"/>
          <w:highlight w:val="none"/>
        </w:rPr>
        <w:t>监理人</w:t>
      </w:r>
      <w:r>
        <w:rPr>
          <w:rFonts w:hint="eastAsia"/>
          <w:color w:val="auto"/>
          <w:highlight w:val="none"/>
        </w:rPr>
        <w:t>负责，履行和行使</w:t>
      </w:r>
      <w:r>
        <w:rPr>
          <w:color w:val="auto"/>
          <w:highlight w:val="none"/>
        </w:rPr>
        <w:t>监理人</w:t>
      </w:r>
      <w:r>
        <w:rPr>
          <w:rFonts w:hint="eastAsia"/>
          <w:color w:val="auto"/>
          <w:highlight w:val="none"/>
        </w:rPr>
        <w:t>授予的职责和权力。总监理工程师在其授权范围内履行职权时，视同</w:t>
      </w:r>
      <w:r>
        <w:rPr>
          <w:color w:val="auto"/>
          <w:highlight w:val="none"/>
        </w:rPr>
        <w:t>监理人</w:t>
      </w:r>
      <w:r>
        <w:rPr>
          <w:rFonts w:hint="eastAsia"/>
          <w:color w:val="auto"/>
          <w:highlight w:val="none"/>
        </w:rPr>
        <w:t>。</w:t>
      </w:r>
    </w:p>
    <w:p>
      <w:pPr>
        <w:adjustRightInd w:val="0"/>
        <w:snapToGrid w:val="0"/>
        <w:spacing w:line="360" w:lineRule="auto"/>
        <w:ind w:left="359"/>
        <w:rPr>
          <w:color w:val="auto"/>
          <w:highlight w:val="none"/>
        </w:rPr>
      </w:pPr>
      <w:r>
        <w:rPr>
          <w:b/>
          <w:color w:val="auto"/>
          <w:highlight w:val="none"/>
        </w:rPr>
        <w:t>5.5监理人</w:t>
      </w:r>
      <w:r>
        <w:rPr>
          <w:rFonts w:hint="eastAsia"/>
          <w:b/>
          <w:color w:val="auto"/>
          <w:highlight w:val="none"/>
        </w:rPr>
        <w:t>指令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监理人</w:t>
      </w:r>
      <w:r>
        <w:rPr>
          <w:rFonts w:hint="eastAsia"/>
          <w:color w:val="auto"/>
          <w:highlight w:val="none"/>
        </w:rPr>
        <w:t>应按合同约定，及时向承包人提供所需的指令。</w:t>
      </w:r>
      <w:r>
        <w:rPr>
          <w:color w:val="auto"/>
          <w:highlight w:val="none"/>
        </w:rPr>
        <w:t>监理人</w:t>
      </w:r>
      <w:r>
        <w:rPr>
          <w:rFonts w:hint="eastAsia"/>
          <w:color w:val="auto"/>
          <w:highlight w:val="none"/>
        </w:rPr>
        <w:t>的指令以书面形式送达项目经理，项目经理在回执上签署姓名和收到时间后生效。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⑵必要时，</w:t>
      </w:r>
      <w:r>
        <w:rPr>
          <w:color w:val="auto"/>
          <w:highlight w:val="none"/>
        </w:rPr>
        <w:t>监理人</w:t>
      </w:r>
      <w:r>
        <w:rPr>
          <w:rFonts w:hint="eastAsia"/>
          <w:color w:val="auto"/>
          <w:highlight w:val="none"/>
        </w:rPr>
        <w:t>可以发出口头指令，并在48小时内给予书面确认。对</w:t>
      </w:r>
      <w:r>
        <w:rPr>
          <w:color w:val="auto"/>
          <w:highlight w:val="none"/>
        </w:rPr>
        <w:t>监理人</w:t>
      </w:r>
      <w:r>
        <w:rPr>
          <w:rFonts w:hint="eastAsia"/>
          <w:color w:val="auto"/>
          <w:highlight w:val="none"/>
        </w:rPr>
        <w:t>的口头指令，承包人应予执行。如承包人在</w:t>
      </w:r>
      <w:r>
        <w:rPr>
          <w:color w:val="auto"/>
          <w:highlight w:val="none"/>
        </w:rPr>
        <w:t>监理人</w:t>
      </w:r>
      <w:r>
        <w:rPr>
          <w:rFonts w:hint="eastAsia"/>
          <w:color w:val="auto"/>
          <w:highlight w:val="none"/>
        </w:rPr>
        <w:t>发出的口头指令48小时之后，未收到</w:t>
      </w:r>
      <w:r>
        <w:rPr>
          <w:color w:val="auto"/>
          <w:highlight w:val="none"/>
        </w:rPr>
        <w:t>监理人</w:t>
      </w:r>
      <w:r>
        <w:rPr>
          <w:rFonts w:hint="eastAsia"/>
          <w:color w:val="auto"/>
          <w:highlight w:val="none"/>
        </w:rPr>
        <w:t>的书面确认，应在</w:t>
      </w:r>
      <w:r>
        <w:rPr>
          <w:color w:val="auto"/>
          <w:highlight w:val="none"/>
        </w:rPr>
        <w:t>监理人</w:t>
      </w:r>
      <w:r>
        <w:rPr>
          <w:rFonts w:hint="eastAsia"/>
          <w:color w:val="auto"/>
          <w:highlight w:val="none"/>
        </w:rPr>
        <w:t>发出口头指令后7天内提出书面确认要求，</w:t>
      </w:r>
      <w:r>
        <w:rPr>
          <w:color w:val="auto"/>
          <w:highlight w:val="none"/>
        </w:rPr>
        <w:t>监理人</w:t>
      </w:r>
      <w:r>
        <w:rPr>
          <w:rFonts w:hint="eastAsia"/>
          <w:color w:val="auto"/>
          <w:highlight w:val="none"/>
        </w:rPr>
        <w:t>应在承包人提出书面确认要求后48小时内给予答复，逾期不予答复的，视为口头指令已被确认。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⑶承包人认为</w:t>
      </w:r>
      <w:r>
        <w:rPr>
          <w:color w:val="auto"/>
          <w:highlight w:val="none"/>
        </w:rPr>
        <w:t>监理人</w:t>
      </w:r>
      <w:r>
        <w:rPr>
          <w:rFonts w:hint="eastAsia"/>
          <w:color w:val="auto"/>
          <w:highlight w:val="none"/>
        </w:rPr>
        <w:t>的指令不合理，应在收到指令后24小时内向</w:t>
      </w:r>
      <w:r>
        <w:rPr>
          <w:color w:val="auto"/>
          <w:highlight w:val="none"/>
        </w:rPr>
        <w:t>监理人</w:t>
      </w:r>
      <w:r>
        <w:rPr>
          <w:rFonts w:hint="eastAsia"/>
          <w:color w:val="auto"/>
          <w:highlight w:val="none"/>
        </w:rPr>
        <w:t>报告，</w:t>
      </w:r>
      <w:r>
        <w:rPr>
          <w:color w:val="auto"/>
          <w:highlight w:val="none"/>
        </w:rPr>
        <w:t>监理人</w:t>
      </w:r>
      <w:r>
        <w:rPr>
          <w:rFonts w:hint="eastAsia"/>
          <w:color w:val="auto"/>
          <w:highlight w:val="none"/>
        </w:rPr>
        <w:t>应在收到承包人报告后24小时内作出修改指令或继续执行原指令的决定，通知承包人。</w:t>
      </w:r>
      <w:r>
        <w:rPr>
          <w:color w:val="auto"/>
          <w:highlight w:val="none"/>
        </w:rPr>
        <w:t>监理人逾期未回复的，承包人有权拒绝执行上述指示。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adjustRightInd w:val="0"/>
        <w:snapToGrid w:val="0"/>
        <w:spacing w:line="360" w:lineRule="auto"/>
        <w:ind w:left="359"/>
        <w:rPr>
          <w:color w:val="auto"/>
          <w:highlight w:val="none"/>
        </w:rPr>
      </w:pPr>
      <w:r>
        <w:rPr>
          <w:b/>
          <w:color w:val="auto"/>
          <w:highlight w:val="none"/>
        </w:rPr>
        <w:t>5.6监理人</w:t>
      </w:r>
      <w:r>
        <w:rPr>
          <w:rFonts w:hint="eastAsia"/>
          <w:b/>
          <w:color w:val="auto"/>
          <w:highlight w:val="none"/>
        </w:rPr>
        <w:t>未尽义务或失误</w:t>
      </w:r>
    </w:p>
    <w:p>
      <w:pPr>
        <w:tabs>
          <w:tab w:val="left" w:pos="1620"/>
          <w:tab w:val="left" w:pos="2340"/>
        </w:tabs>
        <w:adjustRightInd w:val="0"/>
        <w:snapToGrid w:val="0"/>
        <w:spacing w:line="360" w:lineRule="auto"/>
        <w:ind w:left="899"/>
        <w:rPr>
          <w:color w:val="auto"/>
          <w:highlight w:val="none"/>
        </w:rPr>
      </w:pPr>
      <w:r>
        <w:rPr>
          <w:color w:val="auto"/>
          <w:highlight w:val="none"/>
        </w:rPr>
        <w:t>监理人</w:t>
      </w:r>
      <w:r>
        <w:rPr>
          <w:rFonts w:hint="eastAsia"/>
          <w:color w:val="auto"/>
          <w:highlight w:val="none"/>
        </w:rPr>
        <w:t>应按本合同约定，及时向承包人提供所需的指令、批准并履行约定的其他义务。因</w:t>
      </w:r>
      <w:r>
        <w:rPr>
          <w:color w:val="auto"/>
          <w:highlight w:val="none"/>
        </w:rPr>
        <w:t>监理人</w:t>
      </w:r>
      <w:r>
        <w:rPr>
          <w:rFonts w:hint="eastAsia"/>
          <w:color w:val="auto"/>
          <w:highlight w:val="none"/>
        </w:rPr>
        <w:t>未能按合同约定履行义务或因</w:t>
      </w:r>
      <w:r>
        <w:rPr>
          <w:color w:val="auto"/>
          <w:highlight w:val="none"/>
        </w:rPr>
        <w:t>监理人</w:t>
      </w:r>
      <w:r>
        <w:rPr>
          <w:rFonts w:hint="eastAsia"/>
          <w:color w:val="auto"/>
          <w:highlight w:val="none"/>
        </w:rPr>
        <w:t>的失误，给承包人造成损失和(或)导致工期延误的，发包人应赔偿承包人的损失，顺延延误的工期。</w:t>
      </w:r>
    </w:p>
    <w:p>
      <w:pPr>
        <w:adjustRightInd w:val="0"/>
        <w:snapToGrid w:val="0"/>
        <w:spacing w:line="360" w:lineRule="auto"/>
        <w:ind w:left="178"/>
        <w:rPr>
          <w:color w:val="auto"/>
          <w:sz w:val="28"/>
          <w:highlight w:val="none"/>
        </w:rPr>
      </w:pPr>
      <w:r>
        <w:rPr>
          <w:b/>
          <w:color w:val="auto"/>
          <w:sz w:val="28"/>
          <w:highlight w:val="none"/>
        </w:rPr>
        <w:t>6</w:t>
      </w:r>
      <w:r>
        <w:rPr>
          <w:rFonts w:hint="eastAsia"/>
          <w:b/>
          <w:color w:val="auto"/>
          <w:sz w:val="28"/>
          <w:highlight w:val="none"/>
        </w:rPr>
        <w:t>转让、分包</w:t>
      </w:r>
    </w:p>
    <w:p>
      <w:pPr>
        <w:adjustRightInd w:val="0"/>
        <w:snapToGrid w:val="0"/>
        <w:spacing w:line="360" w:lineRule="auto"/>
        <w:ind w:left="359"/>
        <w:rPr>
          <w:color w:val="auto"/>
          <w:highlight w:val="none"/>
        </w:rPr>
      </w:pPr>
      <w:r>
        <w:rPr>
          <w:b/>
          <w:color w:val="auto"/>
          <w:highlight w:val="none"/>
        </w:rPr>
        <w:t>6.1</w:t>
      </w:r>
      <w:r>
        <w:rPr>
          <w:rFonts w:hint="eastAsia"/>
          <w:b/>
          <w:color w:val="auto"/>
          <w:highlight w:val="none"/>
        </w:rPr>
        <w:t>转让</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承包人不得将本合同的全部工程或其中任何部分转让给其他单位或个人。如承包人有上述转让行为，按照</w:t>
      </w:r>
      <w:r>
        <w:rPr>
          <w:rFonts w:hint="eastAsia"/>
          <w:b/>
          <w:i/>
          <w:color w:val="auto"/>
          <w:highlight w:val="none"/>
        </w:rPr>
        <w:t>专用条款</w:t>
      </w:r>
      <w:r>
        <w:rPr>
          <w:rFonts w:hint="eastAsia"/>
          <w:color w:val="auto"/>
          <w:highlight w:val="none"/>
        </w:rPr>
        <w:t>的约定承担违约责任。</w:t>
      </w:r>
    </w:p>
    <w:p>
      <w:pPr>
        <w:adjustRightInd w:val="0"/>
        <w:snapToGrid w:val="0"/>
        <w:spacing w:line="360" w:lineRule="auto"/>
        <w:ind w:left="359"/>
        <w:rPr>
          <w:color w:val="auto"/>
          <w:highlight w:val="none"/>
        </w:rPr>
      </w:pPr>
      <w:r>
        <w:rPr>
          <w:b/>
          <w:color w:val="auto"/>
          <w:highlight w:val="none"/>
        </w:rPr>
        <w:t>6.2</w:t>
      </w:r>
      <w:r>
        <w:rPr>
          <w:rFonts w:hint="eastAsia"/>
          <w:b/>
          <w:color w:val="auto"/>
          <w:highlight w:val="none"/>
        </w:rPr>
        <w:t>分包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（1）如承包人不具备其本工程承包范围内的某专业工程的专项施工资质时，应对该专业工程实施分包。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（2）</w:t>
      </w:r>
      <w:r>
        <w:rPr>
          <w:color w:val="auto"/>
          <w:highlight w:val="none"/>
        </w:rPr>
        <w:t>承包人不得将工程主体结构、关键性工作及</w:t>
      </w:r>
      <w:r>
        <w:rPr>
          <w:b/>
          <w:i/>
          <w:color w:val="auto"/>
          <w:highlight w:val="none"/>
        </w:rPr>
        <w:t>专用条款</w:t>
      </w:r>
      <w:r>
        <w:rPr>
          <w:color w:val="auto"/>
          <w:highlight w:val="none"/>
        </w:rPr>
        <w:t>中禁止分包的专业工程分包给第三人，主体结构、关键性工作的范围由承发包双方按照法律规定在</w:t>
      </w:r>
      <w:r>
        <w:rPr>
          <w:b/>
          <w:i/>
          <w:color w:val="auto"/>
          <w:highlight w:val="none"/>
        </w:rPr>
        <w:t>专用条款</w:t>
      </w:r>
      <w:r>
        <w:rPr>
          <w:color w:val="auto"/>
          <w:highlight w:val="none"/>
        </w:rPr>
        <w:t>中予以明确。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（3）未报经</w:t>
      </w:r>
      <w:r>
        <w:rPr>
          <w:color w:val="auto"/>
          <w:highlight w:val="none"/>
        </w:rPr>
        <w:t>监理人</w:t>
      </w:r>
      <w:r>
        <w:rPr>
          <w:rFonts w:hint="eastAsia"/>
          <w:color w:val="auto"/>
          <w:highlight w:val="none"/>
        </w:rPr>
        <w:t>审查并取得发包人批准，承包人不得将其本工程承包范围内的任何部分工程分包。如承包人有未经发包人同意的分包行为，按照</w:t>
      </w:r>
      <w:r>
        <w:rPr>
          <w:rFonts w:hint="eastAsia"/>
          <w:b/>
          <w:i/>
          <w:color w:val="auto"/>
          <w:highlight w:val="none"/>
        </w:rPr>
        <w:t>专用条款</w:t>
      </w:r>
      <w:r>
        <w:rPr>
          <w:rFonts w:hint="eastAsia"/>
          <w:color w:val="auto"/>
          <w:highlight w:val="none"/>
        </w:rPr>
        <w:t>的约定承担违约责任。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（4）承包人应禁止分包人将分包工程的任何部分再分包。如出现分包人将分包工程的任何部分再分包的行为，承包人应按照</w:t>
      </w:r>
      <w:r>
        <w:rPr>
          <w:rFonts w:hint="eastAsia"/>
          <w:b/>
          <w:i/>
          <w:color w:val="auto"/>
          <w:highlight w:val="none"/>
        </w:rPr>
        <w:t>专用条款</w:t>
      </w:r>
      <w:r>
        <w:rPr>
          <w:rFonts w:hint="eastAsia"/>
          <w:color w:val="auto"/>
          <w:highlight w:val="none"/>
        </w:rPr>
        <w:t>的约定承担违约责任。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（5）承包人不得将其承包范围内全部工程肢解分包。如承包人有将其承包范围内全部工程肢解分包的行为，按照</w:t>
      </w:r>
      <w:r>
        <w:rPr>
          <w:rFonts w:hint="eastAsia"/>
          <w:b/>
          <w:i/>
          <w:color w:val="auto"/>
          <w:highlight w:val="none"/>
        </w:rPr>
        <w:t>专用条款</w:t>
      </w:r>
      <w:r>
        <w:rPr>
          <w:rFonts w:hint="eastAsia"/>
          <w:color w:val="auto"/>
          <w:highlight w:val="none"/>
        </w:rPr>
        <w:t>的约定承担违约责任。</w:t>
      </w:r>
    </w:p>
    <w:p>
      <w:pPr>
        <w:adjustRightInd w:val="0"/>
        <w:snapToGrid w:val="0"/>
        <w:spacing w:line="360" w:lineRule="auto"/>
        <w:ind w:left="359"/>
        <w:rPr>
          <w:color w:val="auto"/>
          <w:highlight w:val="none"/>
        </w:rPr>
      </w:pPr>
      <w:r>
        <w:rPr>
          <w:b/>
          <w:color w:val="auto"/>
          <w:highlight w:val="none"/>
        </w:rPr>
        <w:t>6.3</w:t>
      </w:r>
      <w:r>
        <w:rPr>
          <w:rFonts w:hint="eastAsia"/>
          <w:b/>
          <w:color w:val="auto"/>
          <w:highlight w:val="none"/>
        </w:rPr>
        <w:t>分包人的确定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⑴承包人按照6.2⑴款对某专业工程实施分包时，分包人必须具备承建该专业工程的施工资质条件，同时满足</w:t>
      </w:r>
      <w:r>
        <w:rPr>
          <w:rFonts w:hint="eastAsia"/>
          <w:b/>
          <w:i/>
          <w:color w:val="auto"/>
          <w:highlight w:val="none"/>
        </w:rPr>
        <w:t>专用条款</w:t>
      </w:r>
      <w:r>
        <w:rPr>
          <w:rFonts w:hint="eastAsia"/>
          <w:color w:val="auto"/>
          <w:highlight w:val="none"/>
        </w:rPr>
        <w:t>约定的条件。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⑵选择分包人时，承包人有义务依据</w:t>
      </w:r>
      <w:r>
        <w:rPr>
          <w:color w:val="auto"/>
          <w:highlight w:val="none"/>
        </w:rPr>
        <w:t>监理人</w:t>
      </w:r>
      <w:r>
        <w:rPr>
          <w:rFonts w:hint="eastAsia"/>
          <w:color w:val="auto"/>
          <w:highlight w:val="none"/>
        </w:rPr>
        <w:t>的要求向</w:t>
      </w:r>
      <w:r>
        <w:rPr>
          <w:color w:val="auto"/>
          <w:highlight w:val="none"/>
        </w:rPr>
        <w:t>监理人</w:t>
      </w:r>
      <w:r>
        <w:rPr>
          <w:rFonts w:hint="eastAsia"/>
          <w:color w:val="auto"/>
          <w:highlight w:val="none"/>
        </w:rPr>
        <w:t>提供拟选分包人的一切资料，经发包人和</w:t>
      </w:r>
      <w:r>
        <w:rPr>
          <w:color w:val="auto"/>
          <w:highlight w:val="none"/>
        </w:rPr>
        <w:t>监理人</w:t>
      </w:r>
      <w:r>
        <w:rPr>
          <w:rFonts w:hint="eastAsia"/>
          <w:color w:val="auto"/>
          <w:highlight w:val="none"/>
        </w:rPr>
        <w:t>批准后作为分包人。</w:t>
      </w:r>
    </w:p>
    <w:p>
      <w:pPr>
        <w:adjustRightInd w:val="0"/>
        <w:snapToGrid w:val="0"/>
        <w:spacing w:line="360" w:lineRule="auto"/>
        <w:ind w:left="359"/>
        <w:rPr>
          <w:color w:val="auto"/>
          <w:highlight w:val="none"/>
        </w:rPr>
      </w:pPr>
      <w:r>
        <w:rPr>
          <w:b/>
          <w:color w:val="auto"/>
          <w:highlight w:val="none"/>
        </w:rPr>
        <w:t>6.4</w:t>
      </w:r>
      <w:r>
        <w:rPr>
          <w:rFonts w:hint="eastAsia"/>
          <w:b/>
          <w:color w:val="auto"/>
          <w:highlight w:val="none"/>
        </w:rPr>
        <w:t>分包合同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⑴承包人与分包人签订分包合同后7天内，应将分包合同送发包人和</w:t>
      </w:r>
      <w:r>
        <w:rPr>
          <w:color w:val="auto"/>
          <w:highlight w:val="none"/>
        </w:rPr>
        <w:t>监理人</w:t>
      </w:r>
      <w:r>
        <w:rPr>
          <w:rFonts w:hint="eastAsia"/>
          <w:color w:val="auto"/>
          <w:highlight w:val="none"/>
        </w:rPr>
        <w:t>各一份存档。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⑶分包工程价款由承包人与分包人结算。除本合同另有约定或取得承包人的同意外，发包人不得以任何形式向分包人支付各种工程价款。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承包人有义务向发包人提供其向分包人支付工程款项的证明。如承包人有拖欠分包人工程款项行为的，视为承包人违约，发包人有权直接向分包人支付承包人未支付的应得款项，并从承包人的应得工程款项中抵扣。</w:t>
      </w:r>
    </w:p>
    <w:p>
      <w:pPr>
        <w:adjustRightInd w:val="0"/>
        <w:snapToGrid w:val="0"/>
        <w:spacing w:line="360" w:lineRule="auto"/>
        <w:ind w:left="178"/>
        <w:rPr>
          <w:color w:val="auto"/>
          <w:sz w:val="28"/>
          <w:highlight w:val="none"/>
        </w:rPr>
      </w:pPr>
      <w:r>
        <w:rPr>
          <w:b/>
          <w:color w:val="auto"/>
          <w:sz w:val="28"/>
          <w:highlight w:val="none"/>
        </w:rPr>
        <w:t>7</w:t>
      </w:r>
      <w:r>
        <w:rPr>
          <w:rFonts w:hint="eastAsia"/>
          <w:b/>
          <w:color w:val="auto"/>
          <w:sz w:val="28"/>
          <w:highlight w:val="none"/>
        </w:rPr>
        <w:t>专业工程发包</w:t>
      </w:r>
    </w:p>
    <w:p>
      <w:pPr>
        <w:adjustRightInd w:val="0"/>
        <w:snapToGrid w:val="0"/>
        <w:spacing w:line="360" w:lineRule="auto"/>
        <w:ind w:left="359"/>
        <w:rPr>
          <w:color w:val="auto"/>
          <w:highlight w:val="none"/>
        </w:rPr>
      </w:pPr>
      <w:r>
        <w:rPr>
          <w:b/>
          <w:color w:val="auto"/>
          <w:highlight w:val="none"/>
        </w:rPr>
        <w:t>7.1</w:t>
      </w:r>
      <w:r>
        <w:rPr>
          <w:rFonts w:hint="eastAsia"/>
          <w:b/>
          <w:color w:val="auto"/>
          <w:highlight w:val="none"/>
        </w:rPr>
        <w:t>专业工程承包人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⑴发包人可将本工程中承包人承包范围以外的专业工程，按照有关法律、法规的规定另行组织招标确定专业工程承包人，并在</w:t>
      </w:r>
      <w:r>
        <w:rPr>
          <w:rFonts w:hint="eastAsia"/>
          <w:b/>
          <w:i/>
          <w:color w:val="auto"/>
          <w:highlight w:val="none"/>
        </w:rPr>
        <w:t>专用条款</w:t>
      </w:r>
      <w:r>
        <w:rPr>
          <w:rFonts w:hint="eastAsia"/>
          <w:color w:val="auto"/>
          <w:highlight w:val="none"/>
        </w:rPr>
        <w:t>中明确另行发包的专业工程以及专业工程承包人。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⑶专业工程承包人应接受承包人的统一协调管理，施工中协作配合。</w:t>
      </w:r>
    </w:p>
    <w:p>
      <w:pPr>
        <w:adjustRightInd w:val="0"/>
        <w:snapToGrid w:val="0"/>
        <w:spacing w:line="360" w:lineRule="auto"/>
        <w:ind w:left="359"/>
        <w:rPr>
          <w:color w:val="auto"/>
          <w:highlight w:val="none"/>
        </w:rPr>
      </w:pPr>
      <w:r>
        <w:rPr>
          <w:b/>
          <w:color w:val="auto"/>
          <w:highlight w:val="none"/>
        </w:rPr>
        <w:t>7.2总承包服务费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总承包服务费是承包人为配合协调发包人进行的专业工程发包、对发包人自行采购的材料与设备等进行保管以及施工现场管理、竣工资料汇总整理等服务所需的费用。包括总包管理服务费和发包人供应材料（设备）保管费</w:t>
      </w:r>
      <w:r>
        <w:rPr>
          <w:rFonts w:hint="eastAsia"/>
          <w:color w:val="auto"/>
          <w:highlight w:val="none"/>
        </w:rPr>
        <w:t>，其对应的工作内容可在</w:t>
      </w:r>
      <w:r>
        <w:rPr>
          <w:rFonts w:hint="eastAsia"/>
          <w:b/>
          <w:i/>
          <w:color w:val="auto"/>
          <w:highlight w:val="none"/>
        </w:rPr>
        <w:t>专用条款</w:t>
      </w:r>
      <w:r>
        <w:rPr>
          <w:rFonts w:hint="eastAsia"/>
          <w:color w:val="auto"/>
          <w:highlight w:val="none"/>
        </w:rPr>
        <w:t>中详细约定</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发包人自行发包的专业工程需要使用承包人设施或其提供的服务，其费用已包含在总包工程费用或该分包工程费用中，可由</w:t>
      </w:r>
      <w:r>
        <w:rPr>
          <w:rFonts w:hint="eastAsia"/>
          <w:color w:val="auto"/>
          <w:highlight w:val="none"/>
        </w:rPr>
        <w:t>专业工程承包人和承包人</w:t>
      </w:r>
      <w:r>
        <w:rPr>
          <w:color w:val="auto"/>
          <w:highlight w:val="none"/>
        </w:rPr>
        <w:t>根据该设施或服务情况协商支付，不得向发包人另行索要。</w:t>
      </w:r>
    </w:p>
    <w:p>
      <w:pPr>
        <w:adjustRightInd w:val="0"/>
        <w:snapToGrid w:val="0"/>
        <w:spacing w:line="360" w:lineRule="auto"/>
        <w:ind w:left="359"/>
        <w:rPr>
          <w:color w:val="auto"/>
          <w:highlight w:val="none"/>
        </w:rPr>
      </w:pPr>
      <w:r>
        <w:rPr>
          <w:b/>
          <w:color w:val="auto"/>
          <w:highlight w:val="none"/>
        </w:rPr>
        <w:t>7.3</w:t>
      </w:r>
      <w:r>
        <w:rPr>
          <w:rFonts w:hint="eastAsia"/>
          <w:b/>
          <w:color w:val="auto"/>
          <w:highlight w:val="none"/>
        </w:rPr>
        <w:t>工作界面协调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w:t>
      </w:r>
      <w:r>
        <w:rPr>
          <w:color w:val="auto"/>
          <w:highlight w:val="none"/>
        </w:rPr>
        <w:t>做好</w:t>
      </w:r>
      <w:r>
        <w:rPr>
          <w:rFonts w:hint="eastAsia"/>
          <w:color w:val="auto"/>
          <w:highlight w:val="none"/>
        </w:rPr>
        <w:t>与本工程相关</w:t>
      </w:r>
      <w:r>
        <w:rPr>
          <w:color w:val="auto"/>
          <w:highlight w:val="none"/>
        </w:rPr>
        <w:t>各专业</w:t>
      </w:r>
      <w:r>
        <w:rPr>
          <w:rFonts w:hint="eastAsia"/>
          <w:color w:val="auto"/>
          <w:highlight w:val="none"/>
        </w:rPr>
        <w:t>工作</w:t>
      </w:r>
      <w:r>
        <w:rPr>
          <w:color w:val="auto"/>
          <w:highlight w:val="none"/>
        </w:rPr>
        <w:t>界面的</w:t>
      </w:r>
      <w:r>
        <w:rPr>
          <w:rFonts w:hint="eastAsia"/>
          <w:color w:val="auto"/>
          <w:highlight w:val="none"/>
        </w:rPr>
        <w:t>协调工作。</w:t>
      </w:r>
      <w:r>
        <w:rPr>
          <w:color w:val="auto"/>
          <w:highlight w:val="none"/>
        </w:rPr>
        <w:t>本工程施工期间，承包人</w:t>
      </w:r>
      <w:r>
        <w:rPr>
          <w:rFonts w:hint="eastAsia"/>
          <w:color w:val="auto"/>
          <w:highlight w:val="none"/>
        </w:rPr>
        <w:t>应</w:t>
      </w:r>
      <w:r>
        <w:rPr>
          <w:color w:val="auto"/>
          <w:highlight w:val="none"/>
        </w:rPr>
        <w:t>无条件服从发包人及</w:t>
      </w:r>
      <w:r>
        <w:rPr>
          <w:rFonts w:hint="eastAsia"/>
          <w:color w:val="auto"/>
          <w:highlight w:val="none"/>
        </w:rPr>
        <w:t>监理人</w:t>
      </w:r>
      <w:r>
        <w:rPr>
          <w:color w:val="auto"/>
          <w:highlight w:val="none"/>
        </w:rPr>
        <w:t>的统一协调指令</w:t>
      </w:r>
      <w:r>
        <w:rPr>
          <w:rFonts w:hint="eastAsia"/>
          <w:color w:val="auto"/>
          <w:highlight w:val="none"/>
        </w:rPr>
        <w:t>，并指定</w:t>
      </w:r>
      <w:r>
        <w:rPr>
          <w:color w:val="auto"/>
          <w:highlight w:val="none"/>
        </w:rPr>
        <w:t>专人负责接口协调工作，确保发包人及</w:t>
      </w:r>
      <w:r>
        <w:rPr>
          <w:rFonts w:hint="eastAsia"/>
          <w:color w:val="auto"/>
          <w:highlight w:val="none"/>
        </w:rPr>
        <w:t>监理人</w:t>
      </w:r>
      <w:r>
        <w:rPr>
          <w:color w:val="auto"/>
          <w:highlight w:val="none"/>
        </w:rPr>
        <w:t>指令的及时实施。</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承包人在编制施工组织设计时，应根据设计文件</w:t>
      </w:r>
      <w:r>
        <w:rPr>
          <w:rFonts w:hint="eastAsia"/>
          <w:color w:val="auto"/>
          <w:highlight w:val="none"/>
        </w:rPr>
        <w:t>和</w:t>
      </w:r>
      <w:r>
        <w:rPr>
          <w:color w:val="auto"/>
          <w:highlight w:val="none"/>
        </w:rPr>
        <w:t>现场调查资料，充分考虑施工接口的部位及内容，制定可能引起接口部位安全质量问题的预防措施；及时向</w:t>
      </w:r>
      <w:r>
        <w:rPr>
          <w:rFonts w:hint="eastAsia"/>
          <w:color w:val="auto"/>
          <w:highlight w:val="none"/>
        </w:rPr>
        <w:t>监理人</w:t>
      </w:r>
      <w:r>
        <w:rPr>
          <w:color w:val="auto"/>
          <w:highlight w:val="none"/>
        </w:rPr>
        <w:t>提交本工程需其它专业工程提供接口的细目清单，交由</w:t>
      </w:r>
      <w:r>
        <w:rPr>
          <w:rFonts w:hint="eastAsia"/>
          <w:color w:val="auto"/>
          <w:highlight w:val="none"/>
        </w:rPr>
        <w:t>监理人</w:t>
      </w:r>
      <w:r>
        <w:rPr>
          <w:color w:val="auto"/>
          <w:highlight w:val="none"/>
        </w:rPr>
        <w:t>统一协调；或接受</w:t>
      </w:r>
      <w:r>
        <w:rPr>
          <w:rFonts w:hint="eastAsia"/>
          <w:color w:val="auto"/>
          <w:highlight w:val="none"/>
        </w:rPr>
        <w:t>监理人</w:t>
      </w:r>
      <w:r>
        <w:rPr>
          <w:color w:val="auto"/>
          <w:highlight w:val="none"/>
        </w:rPr>
        <w:t>的接口指令，及时实施接口指令作业。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承包人与其它工程之间</w:t>
      </w:r>
      <w:r>
        <w:rPr>
          <w:rFonts w:hint="eastAsia"/>
          <w:color w:val="auto"/>
          <w:highlight w:val="none"/>
        </w:rPr>
        <w:t>应当就</w:t>
      </w:r>
      <w:r>
        <w:rPr>
          <w:color w:val="auto"/>
          <w:highlight w:val="none"/>
        </w:rPr>
        <w:t>施工接</w:t>
      </w:r>
      <w:r>
        <w:rPr>
          <w:rFonts w:hint="eastAsia"/>
          <w:color w:val="auto"/>
          <w:highlight w:val="none"/>
        </w:rPr>
        <w:t>口</w:t>
      </w:r>
      <w:r>
        <w:rPr>
          <w:color w:val="auto"/>
          <w:highlight w:val="none"/>
        </w:rPr>
        <w:t>、测量控制网点</w:t>
      </w:r>
      <w:r>
        <w:rPr>
          <w:rFonts w:hint="eastAsia"/>
          <w:color w:val="auto"/>
          <w:highlight w:val="none"/>
        </w:rPr>
        <w:t>、预埋件(预留孔洞)位置和尺寸等资料及时互通信息，中线控制桩点应贯通测定，水准点应相互闭合，以确保施工顺利进行，避免工程质量事故的发生。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由于承包人未能及时对工程接口问题进行协调或未及时实施</w:t>
      </w:r>
      <w:r>
        <w:rPr>
          <w:rFonts w:hint="eastAsia"/>
          <w:color w:val="auto"/>
          <w:highlight w:val="none"/>
        </w:rPr>
        <w:t>监理人</w:t>
      </w:r>
      <w:r>
        <w:rPr>
          <w:color w:val="auto"/>
          <w:highlight w:val="none"/>
        </w:rPr>
        <w:t>接口指令而造成工程延误、返工或其它损失，所有损失和费用由承包人</w:t>
      </w:r>
      <w:r>
        <w:rPr>
          <w:rFonts w:hint="eastAsia"/>
          <w:color w:val="auto"/>
          <w:highlight w:val="none"/>
        </w:rPr>
        <w:t>承</w:t>
      </w:r>
      <w:r>
        <w:rPr>
          <w:color w:val="auto"/>
          <w:highlight w:val="none"/>
        </w:rPr>
        <w:t>担。发包人或监理人均有权根据实际情况，</w:t>
      </w:r>
      <w:r>
        <w:rPr>
          <w:rFonts w:hint="eastAsia"/>
          <w:color w:val="auto"/>
          <w:highlight w:val="none"/>
        </w:rPr>
        <w:t>要求</w:t>
      </w:r>
      <w:r>
        <w:rPr>
          <w:color w:val="auto"/>
          <w:highlight w:val="none"/>
        </w:rPr>
        <w:t>承包人</w:t>
      </w:r>
      <w:r>
        <w:rPr>
          <w:rFonts w:hint="eastAsia"/>
          <w:color w:val="auto"/>
          <w:highlight w:val="none"/>
        </w:rPr>
        <w:t>支付</w:t>
      </w:r>
      <w:r>
        <w:rPr>
          <w:rFonts w:hint="eastAsia"/>
          <w:b/>
          <w:i/>
          <w:color w:val="auto"/>
          <w:highlight w:val="none"/>
        </w:rPr>
        <w:t>专用条款</w:t>
      </w:r>
      <w:r>
        <w:rPr>
          <w:rFonts w:hint="eastAsia"/>
          <w:color w:val="auto"/>
          <w:highlight w:val="none"/>
        </w:rPr>
        <w:t>约定的违约金</w:t>
      </w:r>
      <w:r>
        <w:rPr>
          <w:color w:val="auto"/>
          <w:highlight w:val="none"/>
        </w:rPr>
        <w:t>，包括并不限于采取扣付工程款等方式。</w:t>
      </w:r>
    </w:p>
    <w:p>
      <w:pPr>
        <w:adjustRightInd w:val="0"/>
        <w:snapToGrid w:val="0"/>
        <w:spacing w:line="360" w:lineRule="auto"/>
        <w:ind w:left="178"/>
        <w:rPr>
          <w:color w:val="auto"/>
          <w:sz w:val="28"/>
          <w:highlight w:val="none"/>
        </w:rPr>
      </w:pPr>
      <w:r>
        <w:rPr>
          <w:b/>
          <w:color w:val="auto"/>
          <w:sz w:val="28"/>
          <w:highlight w:val="none"/>
        </w:rPr>
        <w:t>8</w:t>
      </w:r>
      <w:r>
        <w:rPr>
          <w:rFonts w:hint="eastAsia"/>
          <w:b/>
          <w:color w:val="auto"/>
          <w:sz w:val="28"/>
          <w:highlight w:val="none"/>
        </w:rPr>
        <w:t>用工和劳务</w:t>
      </w:r>
    </w:p>
    <w:p>
      <w:pPr>
        <w:adjustRightInd w:val="0"/>
        <w:snapToGrid w:val="0"/>
        <w:spacing w:line="360" w:lineRule="auto"/>
        <w:ind w:left="359"/>
        <w:rPr>
          <w:color w:val="auto"/>
          <w:highlight w:val="none"/>
        </w:rPr>
      </w:pPr>
      <w:r>
        <w:rPr>
          <w:b/>
          <w:color w:val="auto"/>
          <w:highlight w:val="none"/>
        </w:rPr>
        <w:t>8.1</w:t>
      </w:r>
      <w:r>
        <w:rPr>
          <w:rFonts w:hint="eastAsia"/>
          <w:b/>
          <w:color w:val="auto"/>
          <w:highlight w:val="none"/>
        </w:rPr>
        <w:t>劳动合同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⑴除合同另有规定外，承包人应自行聘(雇)用工人。承包人不得从为发包人或</w:t>
      </w:r>
      <w:r>
        <w:rPr>
          <w:color w:val="auto"/>
          <w:highlight w:val="none"/>
        </w:rPr>
        <w:t>监理人</w:t>
      </w:r>
      <w:r>
        <w:rPr>
          <w:rFonts w:hint="eastAsia"/>
          <w:color w:val="auto"/>
          <w:highlight w:val="none"/>
        </w:rPr>
        <w:t>服务的人员中招雇任何人员。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⑵承包人应按照劳动法和劳动合同法的相关规定与聘(雇)用工人签订劳动合同，缴纳社会保险，按国家规定提供劳动保护，明确劳动报酬等内容，及时足额支付工资等劳动报酬。</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⑶若发包人或</w:t>
      </w:r>
      <w:r>
        <w:rPr>
          <w:color w:val="auto"/>
          <w:highlight w:val="none"/>
        </w:rPr>
        <w:t>监理人</w:t>
      </w:r>
      <w:r>
        <w:rPr>
          <w:rFonts w:hint="eastAsia"/>
          <w:color w:val="auto"/>
          <w:highlight w:val="none"/>
        </w:rPr>
        <w:t>发现有未签订劳动合同的工人在现场施工，则视为承包人违约，并承担</w:t>
      </w:r>
      <w:r>
        <w:rPr>
          <w:b/>
          <w:i/>
          <w:color w:val="auto"/>
          <w:highlight w:val="none"/>
        </w:rPr>
        <w:t>专用条款</w:t>
      </w:r>
      <w:r>
        <w:rPr>
          <w:rFonts w:hint="eastAsia"/>
          <w:color w:val="auto"/>
          <w:highlight w:val="none"/>
        </w:rPr>
        <w:t>约定的违约责任。</w:t>
      </w:r>
    </w:p>
    <w:p>
      <w:pPr>
        <w:adjustRightInd w:val="0"/>
        <w:snapToGrid w:val="0"/>
        <w:spacing w:line="360" w:lineRule="auto"/>
        <w:ind w:left="359"/>
        <w:rPr>
          <w:color w:val="auto"/>
          <w:highlight w:val="none"/>
        </w:rPr>
      </w:pPr>
      <w:r>
        <w:rPr>
          <w:b/>
          <w:color w:val="auto"/>
          <w:highlight w:val="none"/>
        </w:rPr>
        <w:t>8.2</w:t>
      </w:r>
      <w:r>
        <w:rPr>
          <w:rFonts w:hint="eastAsia"/>
          <w:b/>
          <w:color w:val="auto"/>
          <w:highlight w:val="none"/>
        </w:rPr>
        <w:t>劳务分包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⑴承包人实施劳务分包的，应将劳务发包给具有相应劳务资质的劳务企业，与劳务分包企业设立工人工资支付专用账户，并按照劳务分包合同约定及时足额向劳务企业支付劳务费用。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⑵承包人应在劳务分包合同中要求劳务分包企业对所有派遣工人购买意外伤害险和工伤保险，保险金额不得低于</w:t>
      </w:r>
      <w:r>
        <w:rPr>
          <w:rFonts w:hint="eastAsia"/>
          <w:b/>
          <w:i/>
          <w:color w:val="auto"/>
          <w:highlight w:val="none"/>
        </w:rPr>
        <w:t>专用条款</w:t>
      </w:r>
      <w:r>
        <w:rPr>
          <w:rFonts w:hint="eastAsia"/>
          <w:color w:val="auto"/>
          <w:highlight w:val="none"/>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pPr>
        <w:adjustRightInd w:val="0"/>
        <w:snapToGrid w:val="0"/>
        <w:spacing w:line="360" w:lineRule="auto"/>
        <w:ind w:left="359"/>
        <w:rPr>
          <w:color w:val="auto"/>
          <w:highlight w:val="none"/>
        </w:rPr>
      </w:pPr>
      <w:r>
        <w:rPr>
          <w:b/>
          <w:color w:val="auto"/>
          <w:highlight w:val="none"/>
        </w:rPr>
        <w:t>8.3</w:t>
      </w:r>
      <w:r>
        <w:rPr>
          <w:rFonts w:hint="eastAsia"/>
          <w:b/>
          <w:color w:val="auto"/>
          <w:highlight w:val="none"/>
        </w:rPr>
        <w:t>劳务分包合同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⑴选择劳务分包企业时，承包人有义务依据</w:t>
      </w:r>
      <w:r>
        <w:rPr>
          <w:color w:val="auto"/>
          <w:highlight w:val="none"/>
        </w:rPr>
        <w:t>监理人</w:t>
      </w:r>
      <w:r>
        <w:rPr>
          <w:rFonts w:hint="eastAsia"/>
          <w:color w:val="auto"/>
          <w:highlight w:val="none"/>
        </w:rPr>
        <w:t>的要求向</w:t>
      </w:r>
      <w:r>
        <w:rPr>
          <w:color w:val="auto"/>
          <w:highlight w:val="none"/>
        </w:rPr>
        <w:t>监理人</w:t>
      </w:r>
      <w:r>
        <w:rPr>
          <w:rFonts w:hint="eastAsia"/>
          <w:color w:val="auto"/>
          <w:highlight w:val="none"/>
        </w:rPr>
        <w:t>提供拟选劳务分包企业的一切资料，经发包人和</w:t>
      </w:r>
      <w:r>
        <w:rPr>
          <w:color w:val="auto"/>
          <w:highlight w:val="none"/>
        </w:rPr>
        <w:t>监理人</w:t>
      </w:r>
      <w:r>
        <w:rPr>
          <w:rFonts w:hint="eastAsia"/>
          <w:color w:val="auto"/>
          <w:highlight w:val="none"/>
        </w:rPr>
        <w:t>批准后作为劳务分包企业。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⑵承包人与劳务分包企业签订劳务分包合同后7天内，应将劳务分包合同送发包人和</w:t>
      </w:r>
      <w:r>
        <w:rPr>
          <w:color w:val="auto"/>
          <w:highlight w:val="none"/>
        </w:rPr>
        <w:t>监理人</w:t>
      </w:r>
      <w:r>
        <w:rPr>
          <w:rFonts w:hint="eastAsia"/>
          <w:color w:val="auto"/>
          <w:highlight w:val="none"/>
        </w:rPr>
        <w:t>各一份存档。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⑶若发包人或</w:t>
      </w:r>
      <w:r>
        <w:rPr>
          <w:color w:val="auto"/>
          <w:highlight w:val="none"/>
        </w:rPr>
        <w:t>监理人</w:t>
      </w:r>
      <w:r>
        <w:rPr>
          <w:rFonts w:hint="eastAsia"/>
          <w:color w:val="auto"/>
          <w:highlight w:val="none"/>
        </w:rPr>
        <w:t>发现工地上有未签订劳务分包合同的劳务企业人员在现场施工，则视为承包人违约，并承担</w:t>
      </w:r>
      <w:r>
        <w:rPr>
          <w:b/>
          <w:i/>
          <w:color w:val="auto"/>
          <w:highlight w:val="none"/>
        </w:rPr>
        <w:t>专用条款</w:t>
      </w:r>
      <w:r>
        <w:rPr>
          <w:rFonts w:hint="eastAsia"/>
          <w:color w:val="auto"/>
          <w:highlight w:val="none"/>
        </w:rPr>
        <w:t>约定的违约责任。</w:t>
      </w:r>
    </w:p>
    <w:p>
      <w:pPr>
        <w:adjustRightInd w:val="0"/>
        <w:snapToGrid w:val="0"/>
        <w:spacing w:line="360" w:lineRule="auto"/>
        <w:ind w:left="359"/>
        <w:rPr>
          <w:color w:val="auto"/>
          <w:highlight w:val="none"/>
        </w:rPr>
      </w:pPr>
      <w:r>
        <w:rPr>
          <w:b/>
          <w:color w:val="auto"/>
          <w:highlight w:val="none"/>
        </w:rPr>
        <w:t>8.4</w:t>
      </w:r>
      <w:r>
        <w:rPr>
          <w:rFonts w:hint="eastAsia"/>
          <w:b/>
          <w:color w:val="auto"/>
          <w:highlight w:val="none"/>
        </w:rPr>
        <w:t>工人工资</w:t>
      </w:r>
    </w:p>
    <w:p>
      <w:pPr>
        <w:adjustRightInd w:val="0"/>
        <w:snapToGrid w:val="0"/>
        <w:spacing w:line="360" w:lineRule="auto"/>
        <w:ind w:left="359"/>
        <w:rPr>
          <w:color w:val="auto"/>
          <w:highlight w:val="none"/>
        </w:rPr>
      </w:pPr>
      <w:r>
        <w:rPr>
          <w:rFonts w:hint="eastAsia"/>
          <w:color w:val="auto"/>
          <w:highlight w:val="none"/>
        </w:rPr>
        <w:t>⑴承包人应按照有关规定开设工人工资专用账户，专项用于发放本工程工人工资。开设、使用工人工资专用账户有关资料应由承包人妥善保存备查。</w:t>
      </w:r>
    </w:p>
    <w:p>
      <w:pPr>
        <w:adjustRightInd w:val="0"/>
        <w:snapToGrid w:val="0"/>
        <w:spacing w:line="360" w:lineRule="auto"/>
        <w:ind w:left="359"/>
        <w:rPr>
          <w:color w:val="auto"/>
          <w:highlight w:val="none"/>
        </w:rPr>
      </w:pPr>
      <w:r>
        <w:rPr>
          <w:rFonts w:hint="eastAsia"/>
          <w:color w:val="auto"/>
          <w:highlight w:val="none"/>
        </w:rPr>
        <w:t>⑵发包人应及时足额地将合同约定的工人工资支付款项支付到工人工资专用账户，并加强对承包人按时足额发放工人工资的监督。</w:t>
      </w:r>
    </w:p>
    <w:p>
      <w:pPr>
        <w:adjustRightInd w:val="0"/>
        <w:snapToGrid w:val="0"/>
        <w:spacing w:line="360" w:lineRule="auto"/>
        <w:ind w:left="359"/>
        <w:rPr>
          <w:color w:val="auto"/>
          <w:highlight w:val="none"/>
        </w:rPr>
      </w:pPr>
      <w:r>
        <w:rPr>
          <w:rFonts w:hint="eastAsia"/>
          <w:color w:val="auto"/>
          <w:highlight w:val="none"/>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adjustRightInd w:val="0"/>
        <w:snapToGrid w:val="0"/>
        <w:spacing w:line="360" w:lineRule="auto"/>
        <w:ind w:left="359"/>
        <w:rPr>
          <w:color w:val="auto"/>
          <w:highlight w:val="none"/>
        </w:rPr>
      </w:pPr>
      <w:r>
        <w:rPr>
          <w:rFonts w:hint="eastAsia"/>
          <w:color w:val="auto"/>
          <w:highlight w:val="none"/>
        </w:rPr>
        <w:t>⑷承包人拖欠工人工资或劳务分包企业劳务费用的，经被拖欠人催付，承包人仍不予支付的，被拖欠人可以向发包人请求代为支付，经发包人和监理人核查情况属实的，视为承包人违约，发包人有权从承包人的工程款</w:t>
      </w:r>
      <w:r>
        <w:rPr>
          <w:color w:val="auto"/>
          <w:highlight w:val="none"/>
        </w:rPr>
        <w:t>(或预付款、保证金等)中扣付拖欠的工人工资或劳务费。</w:t>
      </w:r>
    </w:p>
    <w:p>
      <w:pPr>
        <w:adjustRightInd w:val="0"/>
        <w:snapToGrid w:val="0"/>
        <w:spacing w:line="360" w:lineRule="auto"/>
        <w:ind w:left="359"/>
        <w:rPr>
          <w:color w:val="auto"/>
          <w:highlight w:val="none"/>
        </w:rPr>
      </w:pPr>
      <w:r>
        <w:rPr>
          <w:b/>
          <w:color w:val="auto"/>
          <w:highlight w:val="none"/>
        </w:rPr>
        <w:t>8.5</w:t>
      </w:r>
      <w:r>
        <w:rPr>
          <w:rFonts w:hint="eastAsia"/>
          <w:b/>
          <w:color w:val="auto"/>
          <w:highlight w:val="none"/>
        </w:rPr>
        <w:t>职业健康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承包人应按照法律规定安排现场施工人员的劳动和休息时间，保障</w:t>
      </w:r>
      <w:r>
        <w:rPr>
          <w:rFonts w:hint="eastAsia"/>
          <w:color w:val="auto"/>
          <w:highlight w:val="none"/>
        </w:rPr>
        <w:t>工人</w:t>
      </w:r>
      <w:r>
        <w:rPr>
          <w:color w:val="auto"/>
          <w:highlight w:val="none"/>
        </w:rPr>
        <w:t>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pPr>
        <w:adjustRightInd w:val="0"/>
        <w:snapToGrid w:val="0"/>
        <w:spacing w:line="360" w:lineRule="auto"/>
        <w:ind w:left="359"/>
        <w:rPr>
          <w:b/>
          <w:color w:val="auto"/>
          <w:highlight w:val="none"/>
        </w:rPr>
      </w:pPr>
      <w:bookmarkStart w:id="32" w:name="_Toc67418538"/>
      <w:bookmarkStart w:id="33" w:name="_Toc23893"/>
      <w:r>
        <w:rPr>
          <w:rFonts w:hint="eastAsia"/>
          <w:b/>
          <w:color w:val="auto"/>
          <w:highlight w:val="none"/>
        </w:rPr>
        <w:t>8.6 用工培训</w:t>
      </w:r>
      <w:bookmarkEnd w:id="32"/>
      <w:bookmarkEnd w:id="33"/>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切实履行用工主体责任，按照《深圳市工程建设行业产业工人职业训练管理办法》等有关规定计取和使用产业工人职业训练专项经费及开展产业工人职业训练。承包人应对产业工人职业训练专项经费实行专款专用，并妥善保存经费使用情况相关资料。承包人依法将建设工程分包的，应与分包人就经费使用在分包合同中约定。发包人应对经费使用进行监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⑵承包人应按照《深圳市工程建设行业产业工人职业训练管理办法》制定产业工人训练计划，组织工人参加质量安全基础训练，妥善保存产业工人年度训练计划、职业训练管理和实施情况相关资料。</w:t>
      </w:r>
    </w:p>
    <w:p>
      <w:pPr>
        <w:adjustRightInd w:val="0"/>
        <w:snapToGrid w:val="0"/>
        <w:spacing w:line="360" w:lineRule="auto"/>
        <w:ind w:left="178"/>
        <w:rPr>
          <w:color w:val="auto"/>
          <w:sz w:val="28"/>
          <w:highlight w:val="none"/>
        </w:rPr>
      </w:pPr>
      <w:r>
        <w:rPr>
          <w:b/>
          <w:color w:val="auto"/>
          <w:sz w:val="28"/>
          <w:highlight w:val="none"/>
        </w:rPr>
        <w:t>9</w:t>
      </w:r>
      <w:r>
        <w:rPr>
          <w:rFonts w:hint="eastAsia"/>
          <w:b/>
          <w:color w:val="auto"/>
          <w:sz w:val="28"/>
          <w:highlight w:val="none"/>
        </w:rPr>
        <w:t>施工组织设计和进度计划</w:t>
      </w:r>
    </w:p>
    <w:p>
      <w:pPr>
        <w:adjustRightInd w:val="0"/>
        <w:snapToGrid w:val="0"/>
        <w:spacing w:line="360" w:lineRule="auto"/>
        <w:ind w:left="359"/>
        <w:rPr>
          <w:color w:val="auto"/>
          <w:highlight w:val="none"/>
        </w:rPr>
      </w:pPr>
      <w:r>
        <w:rPr>
          <w:b/>
          <w:color w:val="auto"/>
          <w:highlight w:val="none"/>
        </w:rPr>
        <w:t>9.1</w:t>
      </w:r>
      <w:r>
        <w:rPr>
          <w:rFonts w:hint="eastAsia"/>
          <w:b/>
          <w:color w:val="auto"/>
          <w:highlight w:val="none"/>
        </w:rPr>
        <w:t>施工组织设计和进度计划的编制与提交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⑴承包人应编制本工程和</w:t>
      </w:r>
      <w:r>
        <w:rPr>
          <w:rFonts w:hint="eastAsia"/>
          <w:b/>
          <w:i/>
          <w:color w:val="auto"/>
          <w:highlight w:val="none"/>
        </w:rPr>
        <w:t>专用条款</w:t>
      </w:r>
      <w:r>
        <w:rPr>
          <w:rFonts w:hint="eastAsia"/>
          <w:color w:val="auto"/>
          <w:highlight w:val="none"/>
        </w:rPr>
        <w:t>约定的单项工程的施工组织设计和进度计划，对合同工程的全部施工作业提出总体上的施工方法、施工安排、作业顺序和时间表。施工组织设计应包含以下内容：</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w:t>
      </w:r>
      <w:r>
        <w:rPr>
          <w:color w:val="auto"/>
          <w:highlight w:val="none"/>
        </w:rPr>
        <w:t>施工方案</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w:t>
      </w:r>
      <w:r>
        <w:rPr>
          <w:color w:val="auto"/>
          <w:highlight w:val="none"/>
        </w:rPr>
        <w:t>施工现场平面布置图；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w:t>
      </w:r>
      <w:r>
        <w:rPr>
          <w:color w:val="auto"/>
          <w:highlight w:val="none"/>
        </w:rPr>
        <w:t>施工进度计划和保证措施；</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w:t>
      </w:r>
      <w:r>
        <w:rPr>
          <w:color w:val="auto"/>
          <w:highlight w:val="none"/>
        </w:rPr>
        <w:t>劳动力及材料供应计划；</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w:t>
      </w:r>
      <w:r>
        <w:rPr>
          <w:color w:val="auto"/>
          <w:highlight w:val="none"/>
        </w:rPr>
        <w:t>施工机械设备的选用；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⑥</w:t>
      </w:r>
      <w:r>
        <w:rPr>
          <w:color w:val="auto"/>
          <w:highlight w:val="none"/>
        </w:rPr>
        <w:t>质量保证体系及措施；</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⑦</w:t>
      </w:r>
      <w:r>
        <w:rPr>
          <w:color w:val="auto"/>
          <w:highlight w:val="none"/>
        </w:rPr>
        <w:t>安全生产、文明施工措施；</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⑧</w:t>
      </w:r>
      <w:r>
        <w:rPr>
          <w:color w:val="auto"/>
          <w:highlight w:val="none"/>
        </w:rPr>
        <w:t>环境保护、成本控制措施</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⑨承发包双方约定的其他内容</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⑵承包人应按</w:t>
      </w:r>
      <w:r>
        <w:rPr>
          <w:rFonts w:hint="eastAsia"/>
          <w:b/>
          <w:i/>
          <w:color w:val="auto"/>
          <w:highlight w:val="none"/>
        </w:rPr>
        <w:t>专用条款</w:t>
      </w:r>
      <w:r>
        <w:rPr>
          <w:rFonts w:hint="eastAsia"/>
          <w:color w:val="auto"/>
          <w:highlight w:val="none"/>
        </w:rPr>
        <w:t>中约定的时间和要求向</w:t>
      </w:r>
      <w:r>
        <w:rPr>
          <w:color w:val="auto"/>
          <w:highlight w:val="none"/>
        </w:rPr>
        <w:t>监理人</w:t>
      </w:r>
      <w:r>
        <w:rPr>
          <w:rFonts w:hint="eastAsia"/>
          <w:color w:val="auto"/>
          <w:highlight w:val="none"/>
        </w:rPr>
        <w:t>提交施工组织设计和工程进度计划。</w:t>
      </w:r>
      <w:r>
        <w:rPr>
          <w:color w:val="auto"/>
          <w:highlight w:val="none"/>
        </w:rPr>
        <w:t>监理人</w:t>
      </w:r>
      <w:r>
        <w:rPr>
          <w:rFonts w:hint="eastAsia"/>
          <w:color w:val="auto"/>
          <w:highlight w:val="none"/>
        </w:rPr>
        <w:t>应按</w:t>
      </w:r>
      <w:r>
        <w:rPr>
          <w:rFonts w:hint="eastAsia"/>
          <w:b/>
          <w:i/>
          <w:color w:val="auto"/>
          <w:highlight w:val="none"/>
        </w:rPr>
        <w:t>专用条款</w:t>
      </w:r>
      <w:r>
        <w:rPr>
          <w:rFonts w:hint="eastAsia"/>
          <w:color w:val="auto"/>
          <w:highlight w:val="none"/>
        </w:rPr>
        <w:t>中约定的时间予以确认或提出修改意见，逾期不确认也不提出修改意见的，应视为同意。</w:t>
      </w:r>
      <w:r>
        <w:rPr>
          <w:color w:val="auto"/>
          <w:highlight w:val="none"/>
        </w:rPr>
        <w:t>监理人</w:t>
      </w:r>
      <w:r>
        <w:rPr>
          <w:rFonts w:hint="eastAsia"/>
          <w:color w:val="auto"/>
          <w:highlight w:val="none"/>
        </w:rPr>
        <w:t>如期提出合理修改意见的，承包人应根据该意见按</w:t>
      </w:r>
      <w:r>
        <w:rPr>
          <w:rFonts w:hint="eastAsia"/>
          <w:b/>
          <w:i/>
          <w:color w:val="auto"/>
          <w:highlight w:val="none"/>
        </w:rPr>
        <w:t>专用条款</w:t>
      </w:r>
      <w:r>
        <w:rPr>
          <w:rFonts w:hint="eastAsia"/>
          <w:color w:val="auto"/>
          <w:highlight w:val="none"/>
        </w:rPr>
        <w:t>约定的时间或要求提交修改后的施工组织设计和工程进度计划，待</w:t>
      </w:r>
      <w:r>
        <w:rPr>
          <w:color w:val="auto"/>
          <w:highlight w:val="none"/>
        </w:rPr>
        <w:t>监理人</w:t>
      </w:r>
      <w:r>
        <w:rPr>
          <w:rFonts w:hint="eastAsia"/>
          <w:color w:val="auto"/>
          <w:highlight w:val="none"/>
        </w:rPr>
        <w:t>确认后执行。</w:t>
      </w:r>
      <w:r>
        <w:rPr>
          <w:color w:val="auto"/>
          <w:highlight w:val="none"/>
        </w:rPr>
        <w:t>监理人</w:t>
      </w:r>
      <w:r>
        <w:rPr>
          <w:rFonts w:hint="eastAsia"/>
          <w:color w:val="auto"/>
          <w:highlight w:val="none"/>
        </w:rPr>
        <w:t>对上述计划的同意，不能因此而解除承包人根据本合同约定应负的任何责任或义务。</w:t>
      </w:r>
    </w:p>
    <w:p>
      <w:pPr>
        <w:adjustRightInd w:val="0"/>
        <w:snapToGrid w:val="0"/>
        <w:spacing w:line="360" w:lineRule="auto"/>
        <w:ind w:left="359"/>
        <w:rPr>
          <w:color w:val="auto"/>
          <w:highlight w:val="none"/>
        </w:rPr>
      </w:pPr>
      <w:r>
        <w:rPr>
          <w:b/>
          <w:color w:val="auto"/>
          <w:highlight w:val="none"/>
        </w:rPr>
        <w:t>9.2临时设施的图纸和文件</w:t>
      </w:r>
    </w:p>
    <w:p>
      <w:pPr>
        <w:tabs>
          <w:tab w:val="left" w:pos="1620"/>
          <w:tab w:val="left" w:pos="2340"/>
        </w:tabs>
        <w:adjustRightInd w:val="0"/>
        <w:snapToGrid w:val="0"/>
        <w:spacing w:line="360" w:lineRule="auto"/>
        <w:ind w:left="899"/>
        <w:rPr>
          <w:color w:val="auto"/>
          <w:highlight w:val="none"/>
        </w:rPr>
      </w:pPr>
      <w:r>
        <w:rPr>
          <w:color w:val="auto"/>
          <w:highlight w:val="none"/>
        </w:rPr>
        <w:t>承包人应</w:t>
      </w:r>
      <w:r>
        <w:rPr>
          <w:rFonts w:hint="eastAsia"/>
          <w:color w:val="auto"/>
          <w:highlight w:val="none"/>
        </w:rPr>
        <w:t>在施工组织设计提交的同时，</w:t>
      </w:r>
      <w:r>
        <w:rPr>
          <w:color w:val="auto"/>
          <w:highlight w:val="none"/>
        </w:rPr>
        <w:t>向监理人报送本工程临时设施的图纸和资料文件。其内容包括(但不限于)临时设施总平面布置图及必要的文字说明，如生产、生活设施、</w:t>
      </w:r>
      <w:r>
        <w:rPr>
          <w:rFonts w:hint="eastAsia"/>
          <w:color w:val="auto"/>
          <w:highlight w:val="none"/>
        </w:rPr>
        <w:t>水电供应、</w:t>
      </w:r>
      <w:r>
        <w:rPr>
          <w:color w:val="auto"/>
          <w:highlight w:val="none"/>
        </w:rPr>
        <w:t>道路、排水系统、环保环卫、安全防护措施，相关管理制度(办法)等必要的文字说明和图表资料，经批准后实施。</w:t>
      </w:r>
    </w:p>
    <w:p>
      <w:pPr>
        <w:adjustRightInd w:val="0"/>
        <w:snapToGrid w:val="0"/>
        <w:spacing w:line="360" w:lineRule="auto"/>
        <w:ind w:left="359"/>
        <w:rPr>
          <w:color w:val="auto"/>
          <w:highlight w:val="none"/>
        </w:rPr>
      </w:pPr>
      <w:r>
        <w:rPr>
          <w:b/>
          <w:color w:val="auto"/>
          <w:highlight w:val="none"/>
        </w:rPr>
        <w:t>9.3</w:t>
      </w:r>
      <w:r>
        <w:rPr>
          <w:rFonts w:hint="eastAsia"/>
          <w:b/>
          <w:color w:val="auto"/>
          <w:highlight w:val="none"/>
        </w:rPr>
        <w:t>工程进度计划</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工程进度计划应按照关键线路网络图和主要工作横道图两种形式分别编绘，并应包括每月预计完成的工作量和形象进度，在需要时每个月修正一次。承包人必须按</w:t>
      </w:r>
      <w:r>
        <w:rPr>
          <w:color w:val="auto"/>
          <w:highlight w:val="none"/>
        </w:rPr>
        <w:t>监理人</w:t>
      </w:r>
      <w:r>
        <w:rPr>
          <w:rFonts w:hint="eastAsia"/>
          <w:color w:val="auto"/>
          <w:highlight w:val="none"/>
        </w:rPr>
        <w:t>确认的进度计划组织施工，接受</w:t>
      </w:r>
      <w:r>
        <w:rPr>
          <w:color w:val="auto"/>
          <w:highlight w:val="none"/>
        </w:rPr>
        <w:t>监理人</w:t>
      </w:r>
      <w:r>
        <w:rPr>
          <w:rFonts w:hint="eastAsia"/>
          <w:color w:val="auto"/>
          <w:highlight w:val="none"/>
        </w:rPr>
        <w:t>对进度的检查、监督。工程实际进度对于在竣工时间内完工过于迟缓或与经确认的进度计划不符时，承包人应按</w:t>
      </w:r>
      <w:r>
        <w:rPr>
          <w:color w:val="auto"/>
          <w:highlight w:val="none"/>
        </w:rPr>
        <w:t>监理人</w:t>
      </w:r>
      <w:r>
        <w:rPr>
          <w:rFonts w:hint="eastAsia"/>
          <w:color w:val="auto"/>
          <w:highlight w:val="none"/>
        </w:rPr>
        <w:t>的要求和建议进行整改并提交修订的进度计划，经</w:t>
      </w:r>
      <w:r>
        <w:rPr>
          <w:color w:val="auto"/>
          <w:highlight w:val="none"/>
        </w:rPr>
        <w:t>监理人</w:t>
      </w:r>
      <w:r>
        <w:rPr>
          <w:rFonts w:hint="eastAsia"/>
          <w:color w:val="auto"/>
          <w:highlight w:val="none"/>
        </w:rPr>
        <w:t>确认后执行。因承包人的原因导致实际进度与进度计划不符，承包人无权就改进措施提出追加合同价款。</w:t>
      </w:r>
    </w:p>
    <w:p>
      <w:pPr>
        <w:adjustRightInd w:val="0"/>
        <w:snapToGrid w:val="0"/>
        <w:spacing w:line="360" w:lineRule="auto"/>
        <w:ind w:left="359"/>
        <w:rPr>
          <w:color w:val="auto"/>
          <w:highlight w:val="none"/>
        </w:rPr>
      </w:pPr>
      <w:r>
        <w:rPr>
          <w:b/>
          <w:color w:val="auto"/>
          <w:highlight w:val="none"/>
        </w:rPr>
        <w:t>9.4</w:t>
      </w:r>
      <w:r>
        <w:rPr>
          <w:rFonts w:hint="eastAsia"/>
          <w:b/>
          <w:color w:val="auto"/>
          <w:highlight w:val="none"/>
        </w:rPr>
        <w:t>工程用款计划</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承包人应按</w:t>
      </w:r>
      <w:r>
        <w:rPr>
          <w:rFonts w:hint="eastAsia"/>
          <w:b/>
          <w:i/>
          <w:color w:val="auto"/>
          <w:highlight w:val="none"/>
        </w:rPr>
        <w:t>专用条款</w:t>
      </w:r>
      <w:r>
        <w:rPr>
          <w:rFonts w:hint="eastAsia"/>
          <w:color w:val="auto"/>
          <w:highlight w:val="none"/>
        </w:rPr>
        <w:t>的约定按工程进度计划向</w:t>
      </w:r>
      <w:r>
        <w:rPr>
          <w:color w:val="auto"/>
          <w:highlight w:val="none"/>
        </w:rPr>
        <w:t>监理人</w:t>
      </w:r>
      <w:r>
        <w:rPr>
          <w:rFonts w:hint="eastAsia"/>
          <w:color w:val="auto"/>
          <w:highlight w:val="none"/>
        </w:rPr>
        <w:t>提交按合同约定承包人有权得到支付的工程用款计划，以备</w:t>
      </w:r>
      <w:r>
        <w:rPr>
          <w:color w:val="auto"/>
          <w:highlight w:val="none"/>
        </w:rPr>
        <w:t>监理人</w:t>
      </w:r>
      <w:r>
        <w:rPr>
          <w:rFonts w:hint="eastAsia"/>
          <w:color w:val="auto"/>
          <w:highlight w:val="none"/>
        </w:rPr>
        <w:t>查阅。如</w:t>
      </w:r>
      <w:r>
        <w:rPr>
          <w:color w:val="auto"/>
          <w:highlight w:val="none"/>
        </w:rPr>
        <w:t>监理人</w:t>
      </w:r>
      <w:r>
        <w:rPr>
          <w:rFonts w:hint="eastAsia"/>
          <w:color w:val="auto"/>
          <w:highlight w:val="none"/>
        </w:rPr>
        <w:t>提出要求，承包人还应按要求提交修改的工程用款计划。</w:t>
      </w:r>
    </w:p>
    <w:p>
      <w:pPr>
        <w:adjustRightInd w:val="0"/>
        <w:snapToGrid w:val="0"/>
        <w:spacing w:line="360" w:lineRule="auto"/>
        <w:ind w:left="178"/>
        <w:rPr>
          <w:color w:val="auto"/>
          <w:sz w:val="28"/>
          <w:highlight w:val="none"/>
        </w:rPr>
      </w:pPr>
      <w:r>
        <w:rPr>
          <w:b/>
          <w:color w:val="auto"/>
          <w:sz w:val="28"/>
          <w:highlight w:val="none"/>
        </w:rPr>
        <w:t>10</w:t>
      </w:r>
      <w:r>
        <w:rPr>
          <w:rFonts w:hint="eastAsia"/>
          <w:b/>
          <w:color w:val="auto"/>
          <w:sz w:val="28"/>
          <w:highlight w:val="none"/>
        </w:rPr>
        <w:t>施工准备</w:t>
      </w:r>
    </w:p>
    <w:p>
      <w:pPr>
        <w:adjustRightInd w:val="0"/>
        <w:snapToGrid w:val="0"/>
        <w:spacing w:line="360" w:lineRule="auto"/>
        <w:ind w:left="359"/>
        <w:rPr>
          <w:color w:val="auto"/>
          <w:highlight w:val="none"/>
        </w:rPr>
      </w:pPr>
      <w:r>
        <w:rPr>
          <w:b/>
          <w:color w:val="auto"/>
          <w:highlight w:val="none"/>
        </w:rPr>
        <w:t>10.1</w:t>
      </w:r>
      <w:r>
        <w:rPr>
          <w:rFonts w:hint="eastAsia"/>
          <w:b/>
          <w:color w:val="auto"/>
          <w:highlight w:val="none"/>
        </w:rPr>
        <w:t>现场考察与勘察资料分析</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发包人应对其所提供资料的准确性负责，承包人应对其对该资料的理解、判断和应用负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承包人不得以对上述事项了解不够充分而向发包人索赔，也不得免除根据合同约定须承担的责任。</w:t>
      </w:r>
    </w:p>
    <w:p>
      <w:pPr>
        <w:adjustRightInd w:val="0"/>
        <w:snapToGrid w:val="0"/>
        <w:spacing w:line="360" w:lineRule="auto"/>
        <w:ind w:left="359"/>
        <w:rPr>
          <w:color w:val="auto"/>
          <w:highlight w:val="none"/>
        </w:rPr>
      </w:pPr>
      <w:r>
        <w:rPr>
          <w:b/>
          <w:color w:val="auto"/>
          <w:highlight w:val="none"/>
        </w:rPr>
        <w:t>10.2</w:t>
      </w:r>
      <w:r>
        <w:rPr>
          <w:rFonts w:hint="eastAsia"/>
          <w:b/>
          <w:color w:val="auto"/>
          <w:highlight w:val="none"/>
        </w:rPr>
        <w:t>施工场地提供</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⑴发包人应按</w:t>
      </w:r>
      <w:r>
        <w:rPr>
          <w:rFonts w:hint="eastAsia"/>
          <w:b/>
          <w:i/>
          <w:color w:val="auto"/>
          <w:highlight w:val="none"/>
        </w:rPr>
        <w:t>专用条款</w:t>
      </w:r>
      <w:r>
        <w:rPr>
          <w:rFonts w:hint="eastAsia"/>
          <w:color w:val="auto"/>
          <w:highlight w:val="none"/>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⑵发包人未能按期办妥土地征用和搬迁手续，承包人在接到</w:t>
      </w:r>
      <w:r>
        <w:rPr>
          <w:color w:val="auto"/>
          <w:highlight w:val="none"/>
        </w:rPr>
        <w:t>监理人</w:t>
      </w:r>
      <w:r>
        <w:rPr>
          <w:rFonts w:hint="eastAsia"/>
          <w:color w:val="auto"/>
          <w:highlight w:val="none"/>
        </w:rPr>
        <w:t>通知后，应按</w:t>
      </w:r>
      <w:r>
        <w:rPr>
          <w:color w:val="auto"/>
          <w:highlight w:val="none"/>
        </w:rPr>
        <w:t>监理人</w:t>
      </w:r>
      <w:r>
        <w:rPr>
          <w:rFonts w:hint="eastAsia"/>
          <w:color w:val="auto"/>
          <w:highlight w:val="none"/>
        </w:rPr>
        <w:t>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b/>
          <w:i/>
          <w:color w:val="auto"/>
          <w:highlight w:val="none"/>
        </w:rPr>
        <w:t>专用条款</w:t>
      </w:r>
      <w:r>
        <w:rPr>
          <w:rFonts w:hint="eastAsia"/>
          <w:color w:val="auto"/>
          <w:highlight w:val="none"/>
        </w:rPr>
        <w:t>另有约定除外)。临时用地使用完毕后，承包人应自费将临时用地恢复原状。</w:t>
      </w:r>
    </w:p>
    <w:p>
      <w:pPr>
        <w:adjustRightInd w:val="0"/>
        <w:snapToGrid w:val="0"/>
        <w:spacing w:line="360" w:lineRule="auto"/>
        <w:ind w:left="359"/>
        <w:rPr>
          <w:color w:val="auto"/>
          <w:highlight w:val="none"/>
        </w:rPr>
      </w:pPr>
      <w:r>
        <w:rPr>
          <w:b/>
          <w:color w:val="auto"/>
          <w:highlight w:val="none"/>
        </w:rPr>
        <w:t>10.3</w:t>
      </w:r>
      <w:r>
        <w:rPr>
          <w:rFonts w:hint="eastAsia"/>
          <w:b/>
          <w:color w:val="auto"/>
          <w:highlight w:val="none"/>
        </w:rPr>
        <w:t>施工放线</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⑴发包人应</w:t>
      </w:r>
      <w:r>
        <w:rPr>
          <w:color w:val="auto"/>
          <w:highlight w:val="none"/>
        </w:rPr>
        <w:t>在至迟不得晚于</w:t>
      </w:r>
      <w:r>
        <w:rPr>
          <w:rFonts w:hint="eastAsia"/>
          <w:color w:val="auto"/>
          <w:highlight w:val="none"/>
        </w:rPr>
        <w:t>通用条款</w:t>
      </w:r>
      <w:r>
        <w:rPr>
          <w:color w:val="auto"/>
          <w:highlight w:val="none"/>
        </w:rPr>
        <w:t>第</w:t>
      </w:r>
      <w:r>
        <w:rPr>
          <w:rFonts w:hint="eastAsia"/>
          <w:color w:val="auto"/>
          <w:highlight w:val="none"/>
        </w:rPr>
        <w:t>11.1款〔</w:t>
      </w:r>
      <w:r>
        <w:rPr>
          <w:color w:val="auto"/>
          <w:highlight w:val="none"/>
        </w:rPr>
        <w:t>开工</w:t>
      </w:r>
      <w:r>
        <w:rPr>
          <w:rFonts w:hint="eastAsia"/>
          <w:color w:val="auto"/>
          <w:highlight w:val="none"/>
        </w:rPr>
        <w:t>〕中开工通知书</w:t>
      </w:r>
      <w:r>
        <w:rPr>
          <w:color w:val="auto"/>
          <w:highlight w:val="none"/>
        </w:rPr>
        <w:t>载明的开工日期前7天通过监理人</w:t>
      </w:r>
      <w:r>
        <w:rPr>
          <w:rFonts w:hint="eastAsia"/>
          <w:color w:val="auto"/>
          <w:highlight w:val="none"/>
        </w:rPr>
        <w:t>向承包人提供工程施工所需的原始基准点、基准线和基准标高，以及工程项目范围内城市轨道交通隧道、给水管道、燃气管道分布情况，并对其真实准确性负责，同时承担由于其错误而引起的承包人的费用损失和工期延误的补偿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⑵承包人按上述基准负责对工程的所有部位正确定位，纠正在工程的位置、标高、尺寸或定线中的任何错误。</w:t>
      </w:r>
      <w:r>
        <w:rPr>
          <w:color w:val="auto"/>
          <w:highlight w:val="none"/>
        </w:rPr>
        <w:t>监理人</w:t>
      </w:r>
      <w:r>
        <w:rPr>
          <w:rFonts w:hint="eastAsia"/>
          <w:color w:val="auto"/>
          <w:highlight w:val="none"/>
        </w:rPr>
        <w:t>对放样、准线或标高的核查，均不应解除承包人对其准确性所负的责任。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施工过程中对施工现场内水准点等测量标志物的保护工作由承包人负责。</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GB2</w:instrText>
      </w:r>
      <w:r>
        <w:rPr>
          <w:color w:val="auto"/>
          <w:highlight w:val="none"/>
        </w:rPr>
        <w:instrText xml:space="preserve"> </w:instrText>
      </w:r>
      <w:r>
        <w:rPr>
          <w:color w:val="auto"/>
          <w:highlight w:val="none"/>
        </w:rPr>
        <w:fldChar w:fldCharType="separate"/>
      </w:r>
      <w:r>
        <w:rPr>
          <w:rFonts w:hint="eastAsia"/>
          <w:color w:val="auto"/>
          <w:highlight w:val="none"/>
        </w:rPr>
        <w:t>⑷</w:t>
      </w:r>
      <w:r>
        <w:rPr>
          <w:color w:val="auto"/>
          <w:highlight w:val="none"/>
        </w:rPr>
        <w:fldChar w:fldCharType="end"/>
      </w:r>
      <w:r>
        <w:rPr>
          <w:rFonts w:hint="eastAsia"/>
          <w:color w:val="auto"/>
          <w:highlight w:val="none"/>
        </w:rPr>
        <w:t>承包人应落实工程项目范围内城市轨道交通隧道、给水管道、燃气管道的安全保护措施。</w:t>
      </w:r>
    </w:p>
    <w:p>
      <w:pPr>
        <w:adjustRightInd w:val="0"/>
        <w:snapToGrid w:val="0"/>
        <w:spacing w:line="360" w:lineRule="auto"/>
        <w:ind w:left="359"/>
        <w:rPr>
          <w:color w:val="auto"/>
          <w:highlight w:val="none"/>
        </w:rPr>
      </w:pPr>
      <w:r>
        <w:rPr>
          <w:b/>
          <w:color w:val="auto"/>
          <w:highlight w:val="none"/>
        </w:rPr>
        <w:t>10.4</w:t>
      </w:r>
      <w:r>
        <w:rPr>
          <w:rFonts w:hint="eastAsia"/>
          <w:b/>
          <w:color w:val="auto"/>
          <w:highlight w:val="none"/>
        </w:rPr>
        <w:t>施工组织准备工作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w:t>
      </w:r>
      <w:r>
        <w:rPr>
          <w:color w:val="auto"/>
          <w:highlight w:val="none"/>
        </w:rPr>
        <w:t>工程开工前，承包人应及时做好</w:t>
      </w:r>
      <w:r>
        <w:rPr>
          <w:rFonts w:hint="eastAsia"/>
          <w:color w:val="auto"/>
          <w:highlight w:val="none"/>
        </w:rPr>
        <w:t>如下</w:t>
      </w:r>
      <w:r>
        <w:rPr>
          <w:color w:val="auto"/>
          <w:highlight w:val="none"/>
        </w:rPr>
        <w:t>施工</w:t>
      </w:r>
      <w:r>
        <w:rPr>
          <w:rFonts w:hint="eastAsia"/>
          <w:color w:val="auto"/>
          <w:highlight w:val="none"/>
        </w:rPr>
        <w:t>组织</w:t>
      </w:r>
      <w:r>
        <w:rPr>
          <w:color w:val="auto"/>
          <w:highlight w:val="none"/>
        </w:rPr>
        <w:t>准备工作</w:t>
      </w:r>
      <w:r>
        <w:rPr>
          <w:rFonts w:hint="eastAsia"/>
          <w:color w:val="auto"/>
          <w:highlight w:val="none"/>
        </w:rPr>
        <w:t>(</w:t>
      </w:r>
      <w:r>
        <w:rPr>
          <w:color w:val="auto"/>
          <w:highlight w:val="none"/>
        </w:rPr>
        <w:t>包括但不限于</w:t>
      </w:r>
      <w:r>
        <w:rPr>
          <w:rFonts w:hint="eastAsia"/>
          <w:color w:val="auto"/>
          <w:highlight w:val="none"/>
        </w:rPr>
        <w:t>)</w:t>
      </w:r>
      <w:r>
        <w:rPr>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GB2</w:instrText>
      </w:r>
      <w:r>
        <w:rPr>
          <w:color w:val="auto"/>
          <w:highlight w:val="none"/>
        </w:rPr>
        <w:instrText xml:space="preserve"> </w:instrText>
      </w:r>
      <w:r>
        <w:rPr>
          <w:color w:val="auto"/>
          <w:highlight w:val="none"/>
        </w:rPr>
        <w:fldChar w:fldCharType="separate"/>
      </w:r>
      <w:r>
        <w:rPr>
          <w:rFonts w:hint="eastAsia"/>
          <w:color w:val="auto"/>
          <w:highlight w:val="none"/>
        </w:rPr>
        <w:t>⑴</w:t>
      </w:r>
      <w:r>
        <w:rPr>
          <w:color w:val="auto"/>
          <w:highlight w:val="none"/>
        </w:rPr>
        <w:fldChar w:fldCharType="end"/>
      </w:r>
      <w:r>
        <w:rPr>
          <w:color w:val="auto"/>
          <w:highlight w:val="none"/>
        </w:rPr>
        <w:t>组建施工管理机构和专业作业队伍，并进行进场前的施工教育培训</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GB2</w:instrText>
      </w:r>
      <w:r>
        <w:rPr>
          <w:color w:val="auto"/>
          <w:highlight w:val="none"/>
        </w:rPr>
        <w:instrText xml:space="preserve"> </w:instrText>
      </w:r>
      <w:r>
        <w:rPr>
          <w:color w:val="auto"/>
          <w:highlight w:val="none"/>
        </w:rPr>
        <w:fldChar w:fldCharType="separate"/>
      </w:r>
      <w:r>
        <w:rPr>
          <w:rFonts w:hint="eastAsia"/>
          <w:color w:val="auto"/>
          <w:highlight w:val="none"/>
        </w:rPr>
        <w:t>⑵</w:t>
      </w:r>
      <w:r>
        <w:rPr>
          <w:color w:val="auto"/>
          <w:highlight w:val="none"/>
        </w:rPr>
        <w:fldChar w:fldCharType="end"/>
      </w:r>
      <w:r>
        <w:rPr>
          <w:color w:val="auto"/>
          <w:highlight w:val="none"/>
        </w:rPr>
        <w:t>编制材料和设备供应计划并做好供应</w:t>
      </w:r>
      <w:r>
        <w:rPr>
          <w:rFonts w:hint="eastAsia"/>
          <w:color w:val="auto"/>
          <w:highlight w:val="none"/>
        </w:rPr>
        <w:t>，</w:t>
      </w:r>
      <w:r>
        <w:rPr>
          <w:color w:val="auto"/>
          <w:highlight w:val="none"/>
        </w:rPr>
        <w:t>安排好预制构件和非标准件加工以及施工机具设备的维修保养工作</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GB2</w:instrText>
      </w:r>
      <w:r>
        <w:rPr>
          <w:color w:val="auto"/>
          <w:highlight w:val="none"/>
        </w:rPr>
        <w:instrText xml:space="preserve"> </w:instrText>
      </w:r>
      <w:r>
        <w:rPr>
          <w:color w:val="auto"/>
          <w:highlight w:val="none"/>
        </w:rPr>
        <w:fldChar w:fldCharType="separate"/>
      </w:r>
      <w:r>
        <w:rPr>
          <w:rFonts w:hint="eastAsia"/>
          <w:color w:val="auto"/>
          <w:highlight w:val="none"/>
        </w:rPr>
        <w:t>⑶</w:t>
      </w:r>
      <w:r>
        <w:rPr>
          <w:color w:val="auto"/>
          <w:highlight w:val="none"/>
        </w:rPr>
        <w:fldChar w:fldCharType="end"/>
      </w:r>
      <w:r>
        <w:rPr>
          <w:color w:val="auto"/>
          <w:highlight w:val="none"/>
        </w:rPr>
        <w:t>核实场内搬迁项目情况，并报监理人交由发包人与有关部门处理</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GB2</w:instrText>
      </w:r>
      <w:r>
        <w:rPr>
          <w:color w:val="auto"/>
          <w:highlight w:val="none"/>
        </w:rPr>
        <w:instrText xml:space="preserve"> </w:instrText>
      </w:r>
      <w:r>
        <w:rPr>
          <w:color w:val="auto"/>
          <w:highlight w:val="none"/>
        </w:rPr>
        <w:fldChar w:fldCharType="separate"/>
      </w:r>
      <w:r>
        <w:rPr>
          <w:rFonts w:hint="eastAsia"/>
          <w:color w:val="auto"/>
          <w:highlight w:val="none"/>
        </w:rPr>
        <w:t>⑷</w:t>
      </w:r>
      <w:r>
        <w:rPr>
          <w:color w:val="auto"/>
          <w:highlight w:val="none"/>
        </w:rPr>
        <w:fldChar w:fldCharType="end"/>
      </w:r>
      <w:r>
        <w:rPr>
          <w:color w:val="auto"/>
          <w:highlight w:val="none"/>
        </w:rPr>
        <w:t>架设供电线路，接通施工用水管路，确定材料、设备等运输线路</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GB2</w:instrText>
      </w:r>
      <w:r>
        <w:rPr>
          <w:color w:val="auto"/>
          <w:highlight w:val="none"/>
        </w:rPr>
        <w:instrText xml:space="preserve"> </w:instrText>
      </w:r>
      <w:r>
        <w:rPr>
          <w:color w:val="auto"/>
          <w:highlight w:val="none"/>
        </w:rPr>
        <w:fldChar w:fldCharType="separate"/>
      </w:r>
      <w:r>
        <w:rPr>
          <w:rFonts w:hint="eastAsia"/>
          <w:color w:val="auto"/>
          <w:highlight w:val="none"/>
        </w:rPr>
        <w:t>⑸</w:t>
      </w:r>
      <w:r>
        <w:rPr>
          <w:color w:val="auto"/>
          <w:highlight w:val="none"/>
        </w:rPr>
        <w:fldChar w:fldCharType="end"/>
      </w:r>
      <w:r>
        <w:rPr>
          <w:rFonts w:hint="eastAsia"/>
          <w:color w:val="auto"/>
          <w:highlight w:val="none"/>
        </w:rPr>
        <w:t>做好场区的临时排水、</w:t>
      </w:r>
      <w:r>
        <w:rPr>
          <w:color w:val="auto"/>
          <w:highlight w:val="none"/>
        </w:rPr>
        <w:t>泄水口</w:t>
      </w:r>
      <w:r>
        <w:rPr>
          <w:rFonts w:hint="eastAsia"/>
          <w:color w:val="auto"/>
          <w:highlight w:val="none"/>
        </w:rPr>
        <w:t>、车辆、车轮冲洗沟槽设施及场地、道路硬化等及其他全部临时工程；</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GB2</w:instrText>
      </w:r>
      <w:r>
        <w:rPr>
          <w:color w:val="auto"/>
          <w:highlight w:val="none"/>
        </w:rPr>
        <w:instrText xml:space="preserve"> </w:instrText>
      </w:r>
      <w:r>
        <w:rPr>
          <w:color w:val="auto"/>
          <w:highlight w:val="none"/>
        </w:rPr>
        <w:fldChar w:fldCharType="separate"/>
      </w:r>
      <w:r>
        <w:rPr>
          <w:rFonts w:hint="eastAsia"/>
          <w:color w:val="auto"/>
          <w:highlight w:val="none"/>
        </w:rPr>
        <w:t>⑹</w:t>
      </w:r>
      <w:r>
        <w:rPr>
          <w:color w:val="auto"/>
          <w:highlight w:val="none"/>
        </w:rPr>
        <w:fldChar w:fldCharType="end"/>
      </w:r>
      <w:r>
        <w:rPr>
          <w:color w:val="auto"/>
          <w:highlight w:val="none"/>
        </w:rPr>
        <w:t>组织施工机械设备和材料进场</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GB2</w:instrText>
      </w:r>
      <w:r>
        <w:rPr>
          <w:color w:val="auto"/>
          <w:highlight w:val="none"/>
        </w:rPr>
        <w:instrText xml:space="preserve"> </w:instrText>
      </w:r>
      <w:r>
        <w:rPr>
          <w:color w:val="auto"/>
          <w:highlight w:val="none"/>
        </w:rPr>
        <w:fldChar w:fldCharType="separate"/>
      </w:r>
      <w:r>
        <w:rPr>
          <w:rFonts w:hint="eastAsia"/>
          <w:color w:val="auto"/>
          <w:highlight w:val="none"/>
        </w:rPr>
        <w:t>⑺</w:t>
      </w:r>
      <w:r>
        <w:rPr>
          <w:color w:val="auto"/>
          <w:highlight w:val="none"/>
        </w:rPr>
        <w:fldChar w:fldCharType="end"/>
      </w:r>
      <w:r>
        <w:rPr>
          <w:color w:val="auto"/>
          <w:highlight w:val="none"/>
        </w:rPr>
        <w:t>落实季节性施工措施</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GB2</w:instrText>
      </w:r>
      <w:r>
        <w:rPr>
          <w:color w:val="auto"/>
          <w:highlight w:val="none"/>
        </w:rPr>
        <w:instrText xml:space="preserve"> </w:instrText>
      </w:r>
      <w:r>
        <w:rPr>
          <w:color w:val="auto"/>
          <w:highlight w:val="none"/>
        </w:rPr>
        <w:fldChar w:fldCharType="separate"/>
      </w:r>
      <w:r>
        <w:rPr>
          <w:rFonts w:hint="eastAsia"/>
          <w:color w:val="auto"/>
          <w:highlight w:val="none"/>
        </w:rPr>
        <w:t>⑻</w:t>
      </w:r>
      <w:r>
        <w:rPr>
          <w:color w:val="auto"/>
          <w:highlight w:val="none"/>
        </w:rPr>
        <w:fldChar w:fldCharType="end"/>
      </w:r>
      <w:r>
        <w:rPr>
          <w:color w:val="auto"/>
          <w:highlight w:val="none"/>
        </w:rPr>
        <w:t>向</w:t>
      </w:r>
      <w:r>
        <w:rPr>
          <w:rFonts w:hint="eastAsia"/>
          <w:color w:val="auto"/>
          <w:highlight w:val="none"/>
        </w:rPr>
        <w:t>监理人</w:t>
      </w:r>
      <w:r>
        <w:rPr>
          <w:color w:val="auto"/>
          <w:highlight w:val="none"/>
        </w:rPr>
        <w:t>提交安全生产</w:t>
      </w:r>
      <w:r>
        <w:rPr>
          <w:rFonts w:hint="eastAsia"/>
          <w:color w:val="auto"/>
          <w:highlight w:val="none"/>
        </w:rPr>
        <w:t>(含消防安全)</w:t>
      </w:r>
      <w:r>
        <w:rPr>
          <w:color w:val="auto"/>
          <w:highlight w:val="none"/>
        </w:rPr>
        <w:t>计划；落实安全、</w:t>
      </w:r>
      <w:r>
        <w:rPr>
          <w:rFonts w:hint="eastAsia"/>
          <w:color w:val="auto"/>
          <w:highlight w:val="none"/>
        </w:rPr>
        <w:t>消防和保安措施，以及</w:t>
      </w:r>
      <w:r>
        <w:rPr>
          <w:color w:val="auto"/>
          <w:highlight w:val="none"/>
        </w:rPr>
        <w:t>文明施工管理措施。</w:t>
      </w:r>
    </w:p>
    <w:p>
      <w:pPr>
        <w:adjustRightInd w:val="0"/>
        <w:snapToGrid w:val="0"/>
        <w:spacing w:line="360" w:lineRule="auto"/>
        <w:ind w:left="359"/>
        <w:rPr>
          <w:color w:val="auto"/>
          <w:highlight w:val="none"/>
        </w:rPr>
      </w:pPr>
      <w:r>
        <w:rPr>
          <w:b/>
          <w:color w:val="auto"/>
          <w:highlight w:val="none"/>
        </w:rPr>
        <w:t>10.5</w:t>
      </w:r>
      <w:r>
        <w:rPr>
          <w:rFonts w:hint="eastAsia"/>
          <w:b/>
          <w:color w:val="auto"/>
          <w:highlight w:val="none"/>
        </w:rPr>
        <w:t>施工技术准备工作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w:t>
      </w:r>
      <w:r>
        <w:rPr>
          <w:color w:val="auto"/>
          <w:highlight w:val="none"/>
        </w:rPr>
        <w:t>工程开工前，承包人应及时做好</w:t>
      </w:r>
      <w:r>
        <w:rPr>
          <w:rFonts w:hint="eastAsia"/>
          <w:color w:val="auto"/>
          <w:highlight w:val="none"/>
        </w:rPr>
        <w:t>如下</w:t>
      </w:r>
      <w:r>
        <w:rPr>
          <w:color w:val="auto"/>
          <w:highlight w:val="none"/>
        </w:rPr>
        <w:t>施工</w:t>
      </w:r>
      <w:r>
        <w:rPr>
          <w:rFonts w:hint="eastAsia"/>
          <w:color w:val="auto"/>
          <w:highlight w:val="none"/>
        </w:rPr>
        <w:t>技术</w:t>
      </w:r>
      <w:r>
        <w:rPr>
          <w:color w:val="auto"/>
          <w:highlight w:val="none"/>
        </w:rPr>
        <w:t>准备工作</w:t>
      </w:r>
      <w:r>
        <w:rPr>
          <w:rFonts w:hint="eastAsia"/>
          <w:color w:val="auto"/>
          <w:highlight w:val="none"/>
        </w:rPr>
        <w:t>(</w:t>
      </w:r>
      <w:r>
        <w:rPr>
          <w:color w:val="auto"/>
          <w:highlight w:val="none"/>
        </w:rPr>
        <w:t>包括但不限于</w:t>
      </w:r>
      <w:r>
        <w:rPr>
          <w:rFonts w:hint="eastAsia"/>
          <w:color w:val="auto"/>
          <w:highlight w:val="none"/>
        </w:rPr>
        <w:t>)</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熟悉、审核设计图，参加监理人</w:t>
      </w:r>
      <w:r>
        <w:rPr>
          <w:rFonts w:hint="eastAsia"/>
          <w:color w:val="auto"/>
          <w:highlight w:val="none"/>
        </w:rPr>
        <w:t>组织的</w:t>
      </w:r>
      <w:r>
        <w:rPr>
          <w:color w:val="auto"/>
          <w:highlight w:val="none"/>
        </w:rPr>
        <w:t>设计交底和图纸会审</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⑵参与</w:t>
      </w:r>
      <w:r>
        <w:rPr>
          <w:color w:val="auto"/>
          <w:highlight w:val="none"/>
        </w:rPr>
        <w:t>监理人</w:t>
      </w:r>
      <w:r>
        <w:rPr>
          <w:rFonts w:hint="eastAsia"/>
          <w:color w:val="auto"/>
          <w:highlight w:val="none"/>
        </w:rPr>
        <w:t>组织的</w:t>
      </w:r>
      <w:r>
        <w:rPr>
          <w:color w:val="auto"/>
          <w:highlight w:val="none"/>
        </w:rPr>
        <w:t>测量交桩</w:t>
      </w:r>
      <w:r>
        <w:rPr>
          <w:rFonts w:hint="eastAsia"/>
          <w:color w:val="auto"/>
          <w:highlight w:val="none"/>
        </w:rPr>
        <w:t>，</w:t>
      </w:r>
      <w:r>
        <w:rPr>
          <w:color w:val="auto"/>
          <w:highlight w:val="none"/>
        </w:rPr>
        <w:t>复测控制桩和水准点，并制定测量方案和监控量测方案</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按监理人要求，优化施工组织设计</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做好技术交底和培训，安排好检验试验工作</w:t>
      </w:r>
      <w:r>
        <w:rPr>
          <w:rFonts w:hint="eastAsia"/>
          <w:color w:val="auto"/>
          <w:highlight w:val="none"/>
        </w:rPr>
        <w:t>。</w:t>
      </w:r>
    </w:p>
    <w:p>
      <w:pPr>
        <w:adjustRightInd w:val="0"/>
        <w:snapToGrid w:val="0"/>
        <w:spacing w:line="360" w:lineRule="auto"/>
        <w:ind w:left="359"/>
        <w:rPr>
          <w:color w:val="auto"/>
          <w:highlight w:val="none"/>
        </w:rPr>
      </w:pPr>
      <w:r>
        <w:rPr>
          <w:b/>
          <w:color w:val="auto"/>
          <w:highlight w:val="none"/>
        </w:rPr>
        <w:t>10.6</w:t>
      </w:r>
      <w:r>
        <w:rPr>
          <w:rFonts w:hint="eastAsia"/>
          <w:b/>
          <w:color w:val="auto"/>
          <w:highlight w:val="none"/>
        </w:rPr>
        <w:t>不利的外界障碍或条件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⑴在施工期间，如遇到承包人无法预见的外界障碍或条件，给承包人造成损失和(或)导致工期延误的，发包人应顺延延误的工期，费用的承担在专用条款中另行约定。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⑵在确定损失和(或)延误的工期时，应该考虑</w:t>
      </w:r>
      <w:r>
        <w:rPr>
          <w:color w:val="auto"/>
          <w:highlight w:val="none"/>
        </w:rPr>
        <w:t>监理人</w:t>
      </w:r>
      <w:r>
        <w:rPr>
          <w:rFonts w:hint="eastAsia"/>
          <w:color w:val="auto"/>
          <w:highlight w:val="none"/>
        </w:rPr>
        <w:t>已经发给承包人与此有关的指令，以及在没有</w:t>
      </w:r>
      <w:r>
        <w:rPr>
          <w:color w:val="auto"/>
          <w:highlight w:val="none"/>
        </w:rPr>
        <w:t>监理人</w:t>
      </w:r>
      <w:r>
        <w:rPr>
          <w:rFonts w:hint="eastAsia"/>
          <w:color w:val="auto"/>
          <w:highlight w:val="none"/>
        </w:rPr>
        <w:t>具体指令情况下，承包人所采取的合理措施。</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⑶对于</w:t>
      </w:r>
      <w:r>
        <w:rPr>
          <w:rFonts w:hint="eastAsia"/>
          <w:b/>
          <w:i/>
          <w:color w:val="auto"/>
          <w:highlight w:val="none"/>
        </w:rPr>
        <w:t>专用条款</w:t>
      </w:r>
      <w:r>
        <w:rPr>
          <w:rFonts w:hint="eastAsia"/>
          <w:color w:val="auto"/>
          <w:highlight w:val="none"/>
        </w:rPr>
        <w:t>已经明确指出的不利的外界障碍或条件，均视为承包人在接受合同时已预见其影响因素并已在投标报价中计入由于其影响而可能发生的一切费用。</w:t>
      </w:r>
    </w:p>
    <w:p>
      <w:pPr>
        <w:adjustRightInd w:val="0"/>
        <w:snapToGrid w:val="0"/>
        <w:spacing w:line="360" w:lineRule="auto"/>
        <w:ind w:left="178"/>
        <w:rPr>
          <w:color w:val="auto"/>
          <w:sz w:val="28"/>
          <w:highlight w:val="none"/>
        </w:rPr>
      </w:pPr>
      <w:r>
        <w:rPr>
          <w:b/>
          <w:color w:val="auto"/>
          <w:sz w:val="28"/>
          <w:highlight w:val="none"/>
        </w:rPr>
        <w:t>11</w:t>
      </w:r>
      <w:r>
        <w:rPr>
          <w:rFonts w:hint="eastAsia"/>
          <w:b/>
          <w:color w:val="auto"/>
          <w:sz w:val="28"/>
          <w:highlight w:val="none"/>
        </w:rPr>
        <w:t>开工及延期</w:t>
      </w:r>
    </w:p>
    <w:p>
      <w:pPr>
        <w:adjustRightInd w:val="0"/>
        <w:snapToGrid w:val="0"/>
        <w:spacing w:line="360" w:lineRule="auto"/>
        <w:ind w:left="359"/>
        <w:rPr>
          <w:color w:val="auto"/>
          <w:highlight w:val="none"/>
        </w:rPr>
      </w:pPr>
      <w:r>
        <w:rPr>
          <w:b/>
          <w:color w:val="auto"/>
          <w:highlight w:val="none"/>
        </w:rPr>
        <w:t>11.1</w:t>
      </w:r>
      <w:r>
        <w:rPr>
          <w:rFonts w:hint="eastAsia"/>
          <w:b/>
          <w:color w:val="auto"/>
          <w:highlight w:val="none"/>
        </w:rPr>
        <w:t>开工</w:t>
      </w:r>
    </w:p>
    <w:p>
      <w:pPr>
        <w:tabs>
          <w:tab w:val="left" w:pos="1620"/>
          <w:tab w:val="left" w:pos="2340"/>
        </w:tabs>
        <w:adjustRightInd w:val="0"/>
        <w:snapToGrid w:val="0"/>
        <w:spacing w:line="360" w:lineRule="auto"/>
        <w:ind w:left="899"/>
        <w:rPr>
          <w:color w:val="auto"/>
          <w:highlight w:val="none"/>
        </w:rPr>
      </w:pPr>
      <w:r>
        <w:rPr>
          <w:color w:val="auto"/>
          <w:highlight w:val="none"/>
        </w:rPr>
        <w:t>监理人</w:t>
      </w:r>
      <w:r>
        <w:rPr>
          <w:rFonts w:hint="eastAsia"/>
          <w:color w:val="auto"/>
          <w:highlight w:val="none"/>
        </w:rPr>
        <w:t>应按合同约定的开工日期在不少于7天前向承包人发出开工通知书，承包人应按合同约定的开工日期开始本工程或按专用条款13.1款约定的单项工程开工日期开始本工程中某单项工程的施工。</w:t>
      </w:r>
    </w:p>
    <w:p>
      <w:pPr>
        <w:adjustRightInd w:val="0"/>
        <w:snapToGrid w:val="0"/>
        <w:spacing w:line="360" w:lineRule="auto"/>
        <w:ind w:left="359"/>
        <w:rPr>
          <w:color w:val="auto"/>
          <w:highlight w:val="none"/>
        </w:rPr>
      </w:pPr>
      <w:r>
        <w:rPr>
          <w:b/>
          <w:color w:val="auto"/>
          <w:highlight w:val="none"/>
        </w:rPr>
        <w:t>11.2</w:t>
      </w:r>
      <w:r>
        <w:rPr>
          <w:rFonts w:hint="eastAsia"/>
          <w:b/>
          <w:color w:val="auto"/>
          <w:highlight w:val="none"/>
        </w:rPr>
        <w:t>开工延期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⑴承包人因自身的原因不能按本合同约定的开工日期开工，应在不少于本合同约定的开工日期前7天，以书面形式向</w:t>
      </w:r>
      <w:r>
        <w:rPr>
          <w:color w:val="auto"/>
          <w:highlight w:val="none"/>
        </w:rPr>
        <w:t>监理人</w:t>
      </w:r>
      <w:r>
        <w:rPr>
          <w:rFonts w:hint="eastAsia"/>
          <w:color w:val="auto"/>
          <w:highlight w:val="none"/>
        </w:rPr>
        <w:t>提出开工延期的要求和理由。</w:t>
      </w:r>
      <w:r>
        <w:rPr>
          <w:color w:val="auto"/>
          <w:highlight w:val="none"/>
        </w:rPr>
        <w:t>监理人</w:t>
      </w:r>
      <w:r>
        <w:rPr>
          <w:rFonts w:hint="eastAsia"/>
          <w:color w:val="auto"/>
          <w:highlight w:val="none"/>
        </w:rPr>
        <w:t>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⑵因发包人的原因造成承包人不能在本合同约定的开工日期开工，</w:t>
      </w:r>
      <w:r>
        <w:rPr>
          <w:color w:val="auto"/>
          <w:highlight w:val="none"/>
        </w:rPr>
        <w:t>监理人</w:t>
      </w:r>
      <w:r>
        <w:rPr>
          <w:rFonts w:hint="eastAsia"/>
          <w:color w:val="auto"/>
          <w:highlight w:val="none"/>
        </w:rPr>
        <w:t>应在不少于本合同约定的开工日期前7天，以书面形式通知承包人，延期开工并相应顺延工期。因发包人的原因延期开工给承包人造成损失的，发包人应赔偿承包人损失。</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⑶按照11.2⑴、⑵款情形确定延期开工后，</w:t>
      </w:r>
      <w:r>
        <w:rPr>
          <w:color w:val="auto"/>
          <w:highlight w:val="none"/>
        </w:rPr>
        <w:t>监理人</w:t>
      </w:r>
      <w:r>
        <w:rPr>
          <w:rFonts w:hint="eastAsia"/>
          <w:color w:val="auto"/>
          <w:highlight w:val="none"/>
        </w:rPr>
        <w:t>应在具备开工条件后至少提前7天向承包人发出开工通知书。</w:t>
      </w:r>
    </w:p>
    <w:p>
      <w:pPr>
        <w:adjustRightInd w:val="0"/>
        <w:snapToGrid w:val="0"/>
        <w:spacing w:line="360" w:lineRule="auto"/>
        <w:ind w:left="178"/>
        <w:rPr>
          <w:color w:val="auto"/>
          <w:sz w:val="28"/>
          <w:highlight w:val="none"/>
        </w:rPr>
      </w:pPr>
      <w:r>
        <w:rPr>
          <w:b/>
          <w:color w:val="auto"/>
          <w:sz w:val="28"/>
          <w:highlight w:val="none"/>
        </w:rPr>
        <w:t>12</w:t>
      </w:r>
      <w:r>
        <w:rPr>
          <w:rFonts w:hint="eastAsia"/>
          <w:b/>
          <w:color w:val="auto"/>
          <w:sz w:val="28"/>
          <w:highlight w:val="none"/>
        </w:rPr>
        <w:t>暂停施工和恢复施工</w:t>
      </w:r>
    </w:p>
    <w:p>
      <w:pPr>
        <w:adjustRightInd w:val="0"/>
        <w:snapToGrid w:val="0"/>
        <w:spacing w:line="360" w:lineRule="auto"/>
        <w:ind w:left="359"/>
        <w:rPr>
          <w:color w:val="auto"/>
          <w:highlight w:val="none"/>
        </w:rPr>
      </w:pPr>
      <w:r>
        <w:rPr>
          <w:b/>
          <w:color w:val="auto"/>
          <w:highlight w:val="none"/>
        </w:rPr>
        <w:t>12.1发包人原因引起的暂停施工</w:t>
      </w:r>
    </w:p>
    <w:p>
      <w:pPr>
        <w:tabs>
          <w:tab w:val="left" w:pos="1620"/>
          <w:tab w:val="left" w:pos="2340"/>
        </w:tabs>
        <w:adjustRightInd w:val="0"/>
        <w:snapToGrid w:val="0"/>
        <w:spacing w:line="360" w:lineRule="auto"/>
        <w:ind w:left="899"/>
        <w:rPr>
          <w:color w:val="auto"/>
          <w:highlight w:val="none"/>
        </w:rPr>
      </w:pPr>
      <w:r>
        <w:rPr>
          <w:color w:val="auto"/>
          <w:highlight w:val="none"/>
        </w:rPr>
        <w:t>因发包人原因引起暂停施工的，监理人经发包人同意后，应及时下达暂停施工指示。情况紧急且监理人未及时下达暂停施工指示的，按照第</w:t>
      </w:r>
      <w:r>
        <w:rPr>
          <w:rFonts w:hint="eastAsia"/>
          <w:color w:val="auto"/>
          <w:highlight w:val="none"/>
        </w:rPr>
        <w:t>12</w:t>
      </w:r>
      <w:r>
        <w:rPr>
          <w:color w:val="auto"/>
          <w:highlight w:val="none"/>
        </w:rPr>
        <w:t>.4</w:t>
      </w:r>
      <w:r>
        <w:rPr>
          <w:rFonts w:hint="eastAsia"/>
          <w:color w:val="auto"/>
          <w:highlight w:val="none"/>
        </w:rPr>
        <w:t>款〔</w:t>
      </w:r>
      <w:r>
        <w:rPr>
          <w:color w:val="auto"/>
          <w:highlight w:val="none"/>
        </w:rPr>
        <w:t>紧急情况下的暂停施工</w:t>
      </w:r>
      <w:r>
        <w:rPr>
          <w:rFonts w:hint="eastAsia"/>
          <w:color w:val="auto"/>
          <w:highlight w:val="none"/>
        </w:rPr>
        <w:t>〕</w:t>
      </w:r>
      <w:r>
        <w:rPr>
          <w:color w:val="auto"/>
          <w:highlight w:val="none"/>
        </w:rPr>
        <w:t>执行。</w:t>
      </w:r>
    </w:p>
    <w:p>
      <w:pPr>
        <w:tabs>
          <w:tab w:val="left" w:pos="1620"/>
          <w:tab w:val="left" w:pos="2340"/>
        </w:tabs>
        <w:adjustRightInd w:val="0"/>
        <w:snapToGrid w:val="0"/>
        <w:spacing w:line="360" w:lineRule="auto"/>
        <w:ind w:left="899"/>
        <w:rPr>
          <w:color w:val="auto"/>
          <w:highlight w:val="none"/>
        </w:rPr>
      </w:pPr>
      <w:r>
        <w:rPr>
          <w:color w:val="auto"/>
          <w:highlight w:val="none"/>
        </w:rPr>
        <w:t>因发包人原因引起的暂停施工，发包人应承担由此增加的费用和（或）延误的工期，并支付承包人合理的利润。</w:t>
      </w:r>
    </w:p>
    <w:p>
      <w:pPr>
        <w:adjustRightInd w:val="0"/>
        <w:snapToGrid w:val="0"/>
        <w:spacing w:line="360" w:lineRule="auto"/>
        <w:ind w:left="359"/>
        <w:rPr>
          <w:color w:val="auto"/>
          <w:highlight w:val="none"/>
        </w:rPr>
      </w:pPr>
      <w:r>
        <w:rPr>
          <w:b/>
          <w:color w:val="auto"/>
          <w:highlight w:val="none"/>
        </w:rPr>
        <w:t>12.2承包人原因引起的暂停施工</w:t>
      </w:r>
    </w:p>
    <w:p>
      <w:pPr>
        <w:tabs>
          <w:tab w:val="left" w:pos="1620"/>
          <w:tab w:val="left" w:pos="2340"/>
        </w:tabs>
        <w:adjustRightInd w:val="0"/>
        <w:snapToGrid w:val="0"/>
        <w:spacing w:line="360" w:lineRule="auto"/>
        <w:ind w:left="899"/>
        <w:rPr>
          <w:color w:val="auto"/>
          <w:highlight w:val="none"/>
        </w:rPr>
      </w:pPr>
      <w:r>
        <w:rPr>
          <w:color w:val="auto"/>
          <w:highlight w:val="none"/>
        </w:rPr>
        <w:t>因承包人原因引起的暂停施工，承包人应承担由此增加的费用和（或）延误的工期，且承包人在收到监理人复工指示后</w:t>
      </w:r>
      <w:r>
        <w:rPr>
          <w:rFonts w:hint="eastAsia"/>
          <w:color w:val="auto"/>
          <w:highlight w:val="none"/>
        </w:rPr>
        <w:t>在</w:t>
      </w:r>
      <w:r>
        <w:rPr>
          <w:rFonts w:hint="eastAsia"/>
          <w:b/>
          <w:i/>
          <w:color w:val="auto"/>
          <w:highlight w:val="none"/>
        </w:rPr>
        <w:t>专用条款</w:t>
      </w:r>
      <w:r>
        <w:rPr>
          <w:rFonts w:hint="eastAsia"/>
          <w:color w:val="auto"/>
          <w:highlight w:val="none"/>
        </w:rPr>
        <w:t>约定的期限</w:t>
      </w:r>
      <w:r>
        <w:rPr>
          <w:color w:val="auto"/>
          <w:highlight w:val="none"/>
        </w:rPr>
        <w:t>内仍未复工的，视为第</w:t>
      </w:r>
      <w:r>
        <w:rPr>
          <w:rFonts w:hint="eastAsia"/>
          <w:color w:val="auto"/>
          <w:highlight w:val="none"/>
        </w:rPr>
        <w:t>28.2款〔</w:t>
      </w:r>
      <w:r>
        <w:rPr>
          <w:color w:val="auto"/>
          <w:highlight w:val="none"/>
        </w:rPr>
        <w:t>承包人违约</w:t>
      </w:r>
      <w:r>
        <w:rPr>
          <w:rFonts w:hint="eastAsia"/>
          <w:color w:val="auto"/>
          <w:highlight w:val="none"/>
        </w:rPr>
        <w:t>〕第⑺</w:t>
      </w:r>
      <w:r>
        <w:rPr>
          <w:color w:val="auto"/>
          <w:highlight w:val="none"/>
        </w:rPr>
        <w:t>项约定的承包人无法继续履行合同的情形。</w:t>
      </w:r>
    </w:p>
    <w:p>
      <w:pPr>
        <w:adjustRightInd w:val="0"/>
        <w:snapToGrid w:val="0"/>
        <w:spacing w:line="360" w:lineRule="auto"/>
        <w:ind w:left="359"/>
        <w:rPr>
          <w:color w:val="auto"/>
          <w:highlight w:val="none"/>
        </w:rPr>
      </w:pPr>
      <w:r>
        <w:rPr>
          <w:b/>
          <w:color w:val="auto"/>
          <w:highlight w:val="none"/>
        </w:rPr>
        <w:t>12.3指示暂停施工</w:t>
      </w:r>
    </w:p>
    <w:p>
      <w:pPr>
        <w:tabs>
          <w:tab w:val="left" w:pos="1620"/>
          <w:tab w:val="left" w:pos="2340"/>
        </w:tabs>
        <w:adjustRightInd w:val="0"/>
        <w:snapToGrid w:val="0"/>
        <w:spacing w:line="360" w:lineRule="auto"/>
        <w:ind w:left="899"/>
        <w:rPr>
          <w:color w:val="auto"/>
          <w:highlight w:val="none"/>
        </w:rPr>
      </w:pPr>
      <w:r>
        <w:rPr>
          <w:color w:val="auto"/>
          <w:highlight w:val="none"/>
        </w:rPr>
        <w:t>监理人认为有必要时，并经发包人批准后，可向承包人作出暂停施工的指示，承包人应按监理人指示暂停施工。</w:t>
      </w:r>
    </w:p>
    <w:p>
      <w:pPr>
        <w:adjustRightInd w:val="0"/>
        <w:snapToGrid w:val="0"/>
        <w:spacing w:line="360" w:lineRule="auto"/>
        <w:ind w:left="359"/>
        <w:rPr>
          <w:color w:val="auto"/>
          <w:highlight w:val="none"/>
        </w:rPr>
      </w:pPr>
      <w:r>
        <w:rPr>
          <w:b/>
          <w:color w:val="auto"/>
          <w:highlight w:val="none"/>
        </w:rPr>
        <w:t>12.4紧急情况下的暂停施工</w:t>
      </w:r>
    </w:p>
    <w:p>
      <w:pPr>
        <w:tabs>
          <w:tab w:val="left" w:pos="1620"/>
          <w:tab w:val="left" w:pos="2340"/>
        </w:tabs>
        <w:adjustRightInd w:val="0"/>
        <w:snapToGrid w:val="0"/>
        <w:spacing w:line="360" w:lineRule="auto"/>
        <w:ind w:left="899"/>
        <w:rPr>
          <w:color w:val="auto"/>
          <w:highlight w:val="none"/>
        </w:rPr>
      </w:pPr>
      <w:r>
        <w:rPr>
          <w:color w:val="auto"/>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w:t>
      </w:r>
      <w:r>
        <w:rPr>
          <w:rFonts w:hint="eastAsia"/>
          <w:color w:val="auto"/>
          <w:highlight w:val="none"/>
        </w:rPr>
        <w:t>30</w:t>
      </w:r>
      <w:r>
        <w:rPr>
          <w:color w:val="auto"/>
          <w:highlight w:val="none"/>
        </w:rPr>
        <w:t>条</w:t>
      </w:r>
      <w:r>
        <w:rPr>
          <w:rFonts w:hint="eastAsia"/>
          <w:color w:val="auto"/>
          <w:highlight w:val="none"/>
        </w:rPr>
        <w:t>〔</w:t>
      </w:r>
      <w:r>
        <w:rPr>
          <w:color w:val="auto"/>
          <w:highlight w:val="none"/>
        </w:rPr>
        <w:t>争议解决</w:t>
      </w:r>
      <w:r>
        <w:rPr>
          <w:rFonts w:hint="eastAsia"/>
          <w:color w:val="auto"/>
          <w:highlight w:val="none"/>
        </w:rPr>
        <w:t>〕</w:t>
      </w:r>
      <w:r>
        <w:rPr>
          <w:color w:val="auto"/>
          <w:highlight w:val="none"/>
        </w:rPr>
        <w:t>约定处理。</w:t>
      </w:r>
    </w:p>
    <w:p>
      <w:pPr>
        <w:adjustRightInd w:val="0"/>
        <w:snapToGrid w:val="0"/>
        <w:spacing w:line="360" w:lineRule="auto"/>
        <w:ind w:left="359"/>
        <w:rPr>
          <w:color w:val="auto"/>
          <w:highlight w:val="none"/>
        </w:rPr>
      </w:pPr>
      <w:r>
        <w:rPr>
          <w:b/>
          <w:color w:val="auto"/>
          <w:highlight w:val="none"/>
        </w:rPr>
        <w:t>12.5暂停施工后的复工</w:t>
      </w:r>
    </w:p>
    <w:p>
      <w:pPr>
        <w:tabs>
          <w:tab w:val="left" w:pos="1620"/>
          <w:tab w:val="left" w:pos="2340"/>
        </w:tabs>
        <w:adjustRightInd w:val="0"/>
        <w:snapToGrid w:val="0"/>
        <w:spacing w:line="360" w:lineRule="auto"/>
        <w:ind w:left="899"/>
        <w:rPr>
          <w:color w:val="auto"/>
          <w:highlight w:val="none"/>
        </w:rPr>
      </w:pPr>
      <w:r>
        <w:rPr>
          <w:color w:val="auto"/>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tabs>
          <w:tab w:val="left" w:pos="1620"/>
          <w:tab w:val="left" w:pos="2340"/>
        </w:tabs>
        <w:adjustRightInd w:val="0"/>
        <w:snapToGrid w:val="0"/>
        <w:spacing w:line="360" w:lineRule="auto"/>
        <w:ind w:left="899"/>
        <w:rPr>
          <w:color w:val="auto"/>
          <w:highlight w:val="none"/>
        </w:rPr>
      </w:pPr>
      <w:r>
        <w:rPr>
          <w:color w:val="auto"/>
          <w:highlight w:val="none"/>
        </w:rPr>
        <w:t>承包人无故拖延和拒绝复工的，承包人承担由此增加的费用和（或）延误的工期；因发包人原因无法按时复工的，按照第</w:t>
      </w:r>
      <w:r>
        <w:rPr>
          <w:rFonts w:hint="eastAsia"/>
          <w:color w:val="auto"/>
          <w:highlight w:val="none"/>
        </w:rPr>
        <w:t>13.2款〔</w:t>
      </w:r>
      <w:r>
        <w:rPr>
          <w:color w:val="auto"/>
          <w:highlight w:val="none"/>
        </w:rPr>
        <w:t>因发包人原因导致工期延误</w:t>
      </w:r>
      <w:r>
        <w:rPr>
          <w:rFonts w:hint="eastAsia"/>
          <w:color w:val="auto"/>
          <w:highlight w:val="none"/>
        </w:rPr>
        <w:t>〕</w:t>
      </w:r>
      <w:r>
        <w:rPr>
          <w:color w:val="auto"/>
          <w:highlight w:val="none"/>
        </w:rPr>
        <w:t>约定办理。</w:t>
      </w:r>
    </w:p>
    <w:p>
      <w:pPr>
        <w:adjustRightInd w:val="0"/>
        <w:snapToGrid w:val="0"/>
        <w:spacing w:line="360" w:lineRule="auto"/>
        <w:ind w:left="359"/>
        <w:rPr>
          <w:color w:val="auto"/>
          <w:highlight w:val="none"/>
        </w:rPr>
      </w:pPr>
      <w:r>
        <w:rPr>
          <w:b/>
          <w:color w:val="auto"/>
          <w:highlight w:val="none"/>
        </w:rPr>
        <w:t>12.6暂停施工期间的工程照管</w:t>
      </w:r>
    </w:p>
    <w:p>
      <w:pPr>
        <w:tabs>
          <w:tab w:val="left" w:pos="1620"/>
          <w:tab w:val="left" w:pos="2340"/>
        </w:tabs>
        <w:adjustRightInd w:val="0"/>
        <w:snapToGrid w:val="0"/>
        <w:spacing w:line="360" w:lineRule="auto"/>
        <w:ind w:left="899"/>
        <w:rPr>
          <w:color w:val="auto"/>
          <w:highlight w:val="none"/>
        </w:rPr>
      </w:pPr>
      <w:r>
        <w:rPr>
          <w:color w:val="auto"/>
          <w:highlight w:val="none"/>
        </w:rPr>
        <w:t>暂停施工期间，承包人应负责妥善照管工程并提供安全保障，由此增加的费用由责任方承担。</w:t>
      </w:r>
    </w:p>
    <w:p>
      <w:pPr>
        <w:adjustRightInd w:val="0"/>
        <w:snapToGrid w:val="0"/>
        <w:spacing w:line="360" w:lineRule="auto"/>
        <w:ind w:left="178"/>
        <w:rPr>
          <w:color w:val="auto"/>
          <w:sz w:val="28"/>
          <w:highlight w:val="none"/>
        </w:rPr>
      </w:pPr>
      <w:r>
        <w:rPr>
          <w:b/>
          <w:color w:val="auto"/>
          <w:sz w:val="28"/>
          <w:highlight w:val="none"/>
        </w:rPr>
        <w:t>13</w:t>
      </w:r>
      <w:r>
        <w:rPr>
          <w:rFonts w:hint="eastAsia"/>
          <w:b/>
          <w:color w:val="auto"/>
          <w:sz w:val="28"/>
          <w:highlight w:val="none"/>
        </w:rPr>
        <w:t>工期及延误</w:t>
      </w:r>
    </w:p>
    <w:p>
      <w:pPr>
        <w:adjustRightInd w:val="0"/>
        <w:snapToGrid w:val="0"/>
        <w:spacing w:line="360" w:lineRule="auto"/>
        <w:ind w:left="359"/>
        <w:rPr>
          <w:color w:val="auto"/>
          <w:highlight w:val="none"/>
        </w:rPr>
      </w:pPr>
      <w:r>
        <w:rPr>
          <w:b/>
          <w:color w:val="auto"/>
          <w:highlight w:val="none"/>
        </w:rPr>
        <w:t>13.1</w:t>
      </w:r>
      <w:r>
        <w:rPr>
          <w:rFonts w:hint="eastAsia"/>
          <w:b/>
          <w:color w:val="auto"/>
          <w:highlight w:val="none"/>
        </w:rPr>
        <w:t>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本工程须在本合同协议书中约定的时间内完成，或在根据第13.2款［因发包人原因导致工期延误］约定的延长期限内完成。本工程的任何单项工程须在</w:t>
      </w:r>
      <w:r>
        <w:rPr>
          <w:rFonts w:hint="eastAsia"/>
          <w:b/>
          <w:i/>
          <w:color w:val="auto"/>
          <w:highlight w:val="none"/>
        </w:rPr>
        <w:t>专用条款</w:t>
      </w:r>
      <w:r>
        <w:rPr>
          <w:rFonts w:hint="eastAsia"/>
          <w:color w:val="auto"/>
          <w:highlight w:val="none"/>
        </w:rPr>
        <w:t>约定的各段时间内完成，或在根据第13.2款［因发包人原因导致工期延误］约定的延长期限内完成。</w:t>
      </w:r>
    </w:p>
    <w:p>
      <w:pPr>
        <w:adjustRightInd w:val="0"/>
        <w:snapToGrid w:val="0"/>
        <w:spacing w:line="360" w:lineRule="auto"/>
        <w:ind w:left="359"/>
        <w:rPr>
          <w:color w:val="auto"/>
          <w:highlight w:val="none"/>
        </w:rPr>
      </w:pPr>
      <w:r>
        <w:rPr>
          <w:b/>
          <w:color w:val="auto"/>
          <w:highlight w:val="none"/>
        </w:rPr>
        <w:t>13.2因发包人原因导致工期延误</w:t>
      </w:r>
    </w:p>
    <w:p>
      <w:pPr>
        <w:tabs>
          <w:tab w:val="left" w:pos="1620"/>
          <w:tab w:val="left" w:pos="2340"/>
        </w:tabs>
        <w:adjustRightInd w:val="0"/>
        <w:snapToGrid w:val="0"/>
        <w:spacing w:line="360" w:lineRule="auto"/>
        <w:ind w:left="899"/>
        <w:rPr>
          <w:color w:val="auto"/>
          <w:highlight w:val="none"/>
        </w:rPr>
      </w:pPr>
      <w:r>
        <w:rPr>
          <w:color w:val="auto"/>
          <w:highlight w:val="none"/>
        </w:rPr>
        <w:t>在合同履行过程中，因下列情况导致工期延误和（或）费用增加的，由发包人承担由此延误的工期和（或）增加的费用，且发包人应支付承包人合理的利润：</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GB2</w:instrText>
      </w:r>
      <w:r>
        <w:rPr>
          <w:color w:val="auto"/>
          <w:highlight w:val="none"/>
        </w:rPr>
        <w:instrText xml:space="preserve"> </w:instrText>
      </w:r>
      <w:r>
        <w:rPr>
          <w:color w:val="auto"/>
          <w:highlight w:val="none"/>
        </w:rPr>
        <w:fldChar w:fldCharType="separate"/>
      </w:r>
      <w:r>
        <w:rPr>
          <w:rFonts w:hint="eastAsia"/>
          <w:color w:val="auto"/>
          <w:highlight w:val="none"/>
        </w:rPr>
        <w:t>⑴</w:t>
      </w:r>
      <w:r>
        <w:rPr>
          <w:color w:val="auto"/>
          <w:highlight w:val="none"/>
        </w:rPr>
        <w:fldChar w:fldCharType="end"/>
      </w:r>
      <w:r>
        <w:rPr>
          <w:color w:val="auto"/>
          <w:highlight w:val="none"/>
        </w:rPr>
        <w:t>发包人未能按合同约定提供图纸或所提供图纸不符合合同约定的；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GB2</w:instrText>
      </w:r>
      <w:r>
        <w:rPr>
          <w:color w:val="auto"/>
          <w:highlight w:val="none"/>
        </w:rPr>
        <w:instrText xml:space="preserve"> </w:instrText>
      </w:r>
      <w:r>
        <w:rPr>
          <w:color w:val="auto"/>
          <w:highlight w:val="none"/>
        </w:rPr>
        <w:fldChar w:fldCharType="separate"/>
      </w:r>
      <w:r>
        <w:rPr>
          <w:rFonts w:hint="eastAsia"/>
          <w:color w:val="auto"/>
          <w:highlight w:val="none"/>
        </w:rPr>
        <w:t>⑵</w:t>
      </w:r>
      <w:r>
        <w:rPr>
          <w:color w:val="auto"/>
          <w:highlight w:val="none"/>
        </w:rPr>
        <w:fldChar w:fldCharType="end"/>
      </w:r>
      <w:r>
        <w:rPr>
          <w:color w:val="auto"/>
          <w:highlight w:val="none"/>
        </w:rPr>
        <w:t>发包人未能按合同约定提供施工现场、施工条件、基础资料、许可、批准等开工条件的；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GB2</w:instrText>
      </w:r>
      <w:r>
        <w:rPr>
          <w:color w:val="auto"/>
          <w:highlight w:val="none"/>
        </w:rPr>
        <w:instrText xml:space="preserve"> </w:instrText>
      </w:r>
      <w:r>
        <w:rPr>
          <w:color w:val="auto"/>
          <w:highlight w:val="none"/>
        </w:rPr>
        <w:fldChar w:fldCharType="separate"/>
      </w:r>
      <w:r>
        <w:rPr>
          <w:rFonts w:hint="eastAsia"/>
          <w:color w:val="auto"/>
          <w:highlight w:val="none"/>
        </w:rPr>
        <w:t>⑶</w:t>
      </w:r>
      <w:r>
        <w:rPr>
          <w:color w:val="auto"/>
          <w:highlight w:val="none"/>
        </w:rPr>
        <w:fldChar w:fldCharType="end"/>
      </w:r>
      <w:r>
        <w:rPr>
          <w:color w:val="auto"/>
          <w:highlight w:val="none"/>
        </w:rPr>
        <w:t>发包人提供的测量基准点、基准线和水准点及其书面资料存在错误或疏漏的；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GB2</w:instrText>
      </w:r>
      <w:r>
        <w:rPr>
          <w:color w:val="auto"/>
          <w:highlight w:val="none"/>
        </w:rPr>
        <w:instrText xml:space="preserve"> </w:instrText>
      </w:r>
      <w:r>
        <w:rPr>
          <w:color w:val="auto"/>
          <w:highlight w:val="none"/>
        </w:rPr>
        <w:fldChar w:fldCharType="separate"/>
      </w:r>
      <w:r>
        <w:rPr>
          <w:rFonts w:hint="eastAsia"/>
          <w:color w:val="auto"/>
          <w:highlight w:val="none"/>
        </w:rPr>
        <w:t>⑷</w:t>
      </w:r>
      <w:r>
        <w:rPr>
          <w:color w:val="auto"/>
          <w:highlight w:val="none"/>
        </w:rPr>
        <w:fldChar w:fldCharType="end"/>
      </w:r>
      <w:r>
        <w:rPr>
          <w:color w:val="auto"/>
          <w:highlight w:val="none"/>
        </w:rPr>
        <w:t>发包人未能在计划开工日期之日起7天内同意下达开工通知的；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GB2</w:instrText>
      </w:r>
      <w:r>
        <w:rPr>
          <w:color w:val="auto"/>
          <w:highlight w:val="none"/>
        </w:rPr>
        <w:instrText xml:space="preserve"> </w:instrText>
      </w:r>
      <w:r>
        <w:rPr>
          <w:color w:val="auto"/>
          <w:highlight w:val="none"/>
        </w:rPr>
        <w:fldChar w:fldCharType="separate"/>
      </w:r>
      <w:r>
        <w:rPr>
          <w:rFonts w:hint="eastAsia"/>
          <w:color w:val="auto"/>
          <w:highlight w:val="none"/>
        </w:rPr>
        <w:t>⑸</w:t>
      </w:r>
      <w:r>
        <w:rPr>
          <w:color w:val="auto"/>
          <w:highlight w:val="none"/>
        </w:rPr>
        <w:fldChar w:fldCharType="end"/>
      </w:r>
      <w:r>
        <w:rPr>
          <w:color w:val="auto"/>
          <w:highlight w:val="none"/>
        </w:rPr>
        <w:t>发包人未能按合同约定日期支付工程预付款、进度款或竣工结算款的；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GB2</w:instrText>
      </w:r>
      <w:r>
        <w:rPr>
          <w:color w:val="auto"/>
          <w:highlight w:val="none"/>
        </w:rPr>
        <w:instrText xml:space="preserve"> </w:instrText>
      </w:r>
      <w:r>
        <w:rPr>
          <w:color w:val="auto"/>
          <w:highlight w:val="none"/>
        </w:rPr>
        <w:fldChar w:fldCharType="separate"/>
      </w:r>
      <w:r>
        <w:rPr>
          <w:rFonts w:hint="eastAsia"/>
          <w:color w:val="auto"/>
          <w:highlight w:val="none"/>
        </w:rPr>
        <w:t>⑹</w:t>
      </w:r>
      <w:r>
        <w:rPr>
          <w:color w:val="auto"/>
          <w:highlight w:val="none"/>
        </w:rPr>
        <w:fldChar w:fldCharType="end"/>
      </w:r>
      <w:r>
        <w:rPr>
          <w:color w:val="auto"/>
          <w:highlight w:val="none"/>
        </w:rPr>
        <w:t>监理人未按合同约定发出指示、批准等文件的；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GB2</w:instrText>
      </w:r>
      <w:r>
        <w:rPr>
          <w:color w:val="auto"/>
          <w:highlight w:val="none"/>
        </w:rPr>
        <w:instrText xml:space="preserve"> </w:instrText>
      </w:r>
      <w:r>
        <w:rPr>
          <w:color w:val="auto"/>
          <w:highlight w:val="none"/>
        </w:rPr>
        <w:fldChar w:fldCharType="separate"/>
      </w:r>
      <w:r>
        <w:rPr>
          <w:rFonts w:hint="eastAsia"/>
          <w:color w:val="auto"/>
          <w:highlight w:val="none"/>
        </w:rPr>
        <w:t>⑺</w:t>
      </w:r>
      <w:r>
        <w:rPr>
          <w:color w:val="auto"/>
          <w:highlight w:val="none"/>
        </w:rPr>
        <w:fldChar w:fldCharType="end"/>
      </w:r>
      <w:r>
        <w:rPr>
          <w:b/>
          <w:i/>
          <w:color w:val="auto"/>
          <w:highlight w:val="none"/>
        </w:rPr>
        <w:t>专用条款</w:t>
      </w:r>
      <w:r>
        <w:rPr>
          <w:color w:val="auto"/>
          <w:highlight w:val="none"/>
        </w:rPr>
        <w:t>中约定的其他情形。</w:t>
      </w:r>
    </w:p>
    <w:p>
      <w:pPr>
        <w:tabs>
          <w:tab w:val="left" w:pos="1620"/>
          <w:tab w:val="left" w:pos="2340"/>
        </w:tabs>
        <w:adjustRightInd w:val="0"/>
        <w:snapToGrid w:val="0"/>
        <w:spacing w:line="360" w:lineRule="auto"/>
        <w:ind w:left="899"/>
        <w:rPr>
          <w:color w:val="auto"/>
          <w:highlight w:val="none"/>
        </w:rPr>
      </w:pPr>
      <w:r>
        <w:rPr>
          <w:color w:val="auto"/>
          <w:highlight w:val="none"/>
        </w:rPr>
        <w:t>因发包人原因未按计划开工日期开工的，发包人应按实际开工日期顺延竣工日期，确保实际工期不低于合同约定的工期总日历天数。因发包人原因导致工期延误需要修订施工进度计划的，按照第9.3</w:t>
      </w:r>
      <w:r>
        <w:rPr>
          <w:rFonts w:hint="eastAsia"/>
          <w:color w:val="auto"/>
          <w:highlight w:val="none"/>
        </w:rPr>
        <w:t>条〔工程</w:t>
      </w:r>
      <w:r>
        <w:rPr>
          <w:color w:val="auto"/>
          <w:highlight w:val="none"/>
        </w:rPr>
        <w:t>进度计划</w:t>
      </w:r>
      <w:r>
        <w:rPr>
          <w:rFonts w:hint="eastAsia"/>
          <w:color w:val="auto"/>
          <w:highlight w:val="none"/>
        </w:rPr>
        <w:t>〕对进度计划进行修订</w:t>
      </w:r>
      <w:r>
        <w:rPr>
          <w:color w:val="auto"/>
          <w:highlight w:val="none"/>
        </w:rPr>
        <w:t>。</w:t>
      </w:r>
    </w:p>
    <w:p>
      <w:pPr>
        <w:adjustRightInd w:val="0"/>
        <w:snapToGrid w:val="0"/>
        <w:spacing w:line="360" w:lineRule="auto"/>
        <w:ind w:left="359"/>
        <w:rPr>
          <w:color w:val="auto"/>
          <w:highlight w:val="none"/>
        </w:rPr>
      </w:pPr>
      <w:r>
        <w:rPr>
          <w:b/>
          <w:color w:val="auto"/>
          <w:highlight w:val="none"/>
        </w:rPr>
        <w:t>13.3因承包人原因导致工期延误</w:t>
      </w:r>
    </w:p>
    <w:p>
      <w:pPr>
        <w:tabs>
          <w:tab w:val="left" w:pos="1620"/>
          <w:tab w:val="left" w:pos="2340"/>
        </w:tabs>
        <w:adjustRightInd w:val="0"/>
        <w:snapToGrid w:val="0"/>
        <w:spacing w:line="360" w:lineRule="auto"/>
        <w:ind w:left="899"/>
        <w:rPr>
          <w:color w:val="auto"/>
          <w:highlight w:val="none"/>
        </w:rPr>
      </w:pPr>
      <w:r>
        <w:rPr>
          <w:color w:val="auto"/>
          <w:highlight w:val="none"/>
        </w:rPr>
        <w:t>因承包人原因造成工期延误的，可在</w:t>
      </w:r>
      <w:r>
        <w:rPr>
          <w:b/>
          <w:i/>
          <w:color w:val="auto"/>
          <w:highlight w:val="none"/>
        </w:rPr>
        <w:t>专用条款</w:t>
      </w:r>
      <w:r>
        <w:rPr>
          <w:color w:val="auto"/>
          <w:highlight w:val="none"/>
        </w:rPr>
        <w:t>中约定逾期竣工违约金的计算方法和逾期竣工违约金的上限。承包人支付逾期竣工违约金后，不免除承包人继续完成工程及修补缺陷的义务。</w:t>
      </w:r>
    </w:p>
    <w:p>
      <w:pPr>
        <w:adjustRightInd w:val="0"/>
        <w:snapToGrid w:val="0"/>
        <w:spacing w:line="360" w:lineRule="auto"/>
        <w:ind w:left="359"/>
        <w:rPr>
          <w:color w:val="auto"/>
          <w:highlight w:val="none"/>
        </w:rPr>
      </w:pPr>
      <w:r>
        <w:rPr>
          <w:b/>
          <w:color w:val="auto"/>
          <w:highlight w:val="none"/>
        </w:rPr>
        <w:t>13.4</w:t>
      </w:r>
      <w:r>
        <w:rPr>
          <w:rFonts w:hint="eastAsia"/>
          <w:b/>
          <w:color w:val="auto"/>
          <w:highlight w:val="none"/>
        </w:rPr>
        <w:t>提前竣工</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color w:val="auto"/>
          <w:highlight w:val="none"/>
        </w:rPr>
        <w:t>承包人认为提前竣工指示无法执行的，应向</w:t>
      </w:r>
      <w:r>
        <w:rPr>
          <w:color w:val="auto"/>
          <w:highlight w:val="none"/>
        </w:rPr>
        <w:t>监理人</w:t>
      </w:r>
      <w:r>
        <w:rPr>
          <w:rFonts w:hint="eastAsia"/>
          <w:color w:val="auto"/>
          <w:highlight w:val="none"/>
        </w:rPr>
        <w:t>和发包人提出书面异议，发包人和</w:t>
      </w:r>
      <w:r>
        <w:rPr>
          <w:color w:val="auto"/>
          <w:highlight w:val="none"/>
        </w:rPr>
        <w:t>监理人</w:t>
      </w:r>
      <w:r>
        <w:rPr>
          <w:rFonts w:hint="eastAsia"/>
          <w:color w:val="auto"/>
          <w:highlight w:val="none"/>
        </w:rPr>
        <w:t>应在收到异议后7天内予以答复。任何情况下，发包人不得压缩合理工期。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⑵承包人提出提前竣工的，应</w:t>
      </w:r>
      <w:r>
        <w:rPr>
          <w:color w:val="auto"/>
          <w:highlight w:val="none"/>
        </w:rPr>
        <w:t>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w:t>
      </w:r>
      <w:r>
        <w:rPr>
          <w:rFonts w:hint="eastAsia"/>
          <w:color w:val="auto"/>
          <w:highlight w:val="none"/>
        </w:rPr>
        <w:t>和承包人协商</w:t>
      </w:r>
      <w:r>
        <w:rPr>
          <w:color w:val="auto"/>
          <w:highlight w:val="none"/>
        </w:rPr>
        <w:t>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发包人要求承包人提前竣工，或承包人提出提前竣工的建议能够给发包人带来效益的，承发包双方可以在</w:t>
      </w:r>
      <w:r>
        <w:rPr>
          <w:b/>
          <w:i/>
          <w:color w:val="auto"/>
          <w:highlight w:val="none"/>
        </w:rPr>
        <w:t>专用条款</w:t>
      </w:r>
      <w:r>
        <w:rPr>
          <w:color w:val="auto"/>
          <w:highlight w:val="none"/>
        </w:rPr>
        <w:t>中约定提前竣工的奖励。</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b/>
          <w:i/>
          <w:color w:val="auto"/>
          <w:highlight w:val="none"/>
        </w:rPr>
        <w:t>专用条款</w:t>
      </w:r>
      <w:r>
        <w:rPr>
          <w:rFonts w:hint="eastAsia"/>
          <w:color w:val="auto"/>
          <w:highlight w:val="none"/>
        </w:rPr>
        <w:t>中约定压缩工期补偿费用计算方法。</w:t>
      </w:r>
    </w:p>
    <w:p>
      <w:pPr>
        <w:adjustRightInd w:val="0"/>
        <w:snapToGrid w:val="0"/>
        <w:spacing w:line="360" w:lineRule="auto"/>
        <w:ind w:left="359"/>
        <w:rPr>
          <w:color w:val="auto"/>
          <w:highlight w:val="none"/>
        </w:rPr>
      </w:pPr>
      <w:r>
        <w:rPr>
          <w:b/>
          <w:color w:val="auto"/>
          <w:highlight w:val="none"/>
        </w:rPr>
        <w:t>13.5</w:t>
      </w:r>
      <w:r>
        <w:rPr>
          <w:rFonts w:hint="eastAsia"/>
          <w:b/>
          <w:color w:val="auto"/>
          <w:highlight w:val="none"/>
        </w:rPr>
        <w:t>工作时间的限制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承包人在夜间或国家规定的节假日进行永久工程的施工应经</w:t>
      </w:r>
      <w:r>
        <w:rPr>
          <w:color w:val="auto"/>
          <w:highlight w:val="none"/>
        </w:rPr>
        <w:t>监理人</w:t>
      </w:r>
      <w:r>
        <w:rPr>
          <w:rFonts w:hint="eastAsia"/>
          <w:color w:val="auto"/>
          <w:highlight w:val="none"/>
        </w:rPr>
        <w:t>的认可，并应遵守当地政府的有关规定或取得有关部门的批准，但是为了抢救生命或保护财产，或为了工程的安全、质量而不可避免的或绝对必要的作业，则不必事先经</w:t>
      </w:r>
      <w:r>
        <w:rPr>
          <w:color w:val="auto"/>
          <w:highlight w:val="none"/>
        </w:rPr>
        <w:t>监理人</w:t>
      </w:r>
      <w:r>
        <w:rPr>
          <w:rFonts w:hint="eastAsia"/>
          <w:color w:val="auto"/>
          <w:highlight w:val="none"/>
        </w:rPr>
        <w:t>的许可，但应在事后立即向</w:t>
      </w:r>
      <w:r>
        <w:rPr>
          <w:color w:val="auto"/>
          <w:highlight w:val="none"/>
        </w:rPr>
        <w:t>监理人</w:t>
      </w:r>
      <w:r>
        <w:rPr>
          <w:rFonts w:hint="eastAsia"/>
          <w:color w:val="auto"/>
          <w:highlight w:val="none"/>
        </w:rPr>
        <w:t>报告。</w:t>
      </w:r>
    </w:p>
    <w:p>
      <w:pPr>
        <w:adjustRightInd w:val="0"/>
        <w:snapToGrid w:val="0"/>
        <w:spacing w:line="360" w:lineRule="auto"/>
        <w:ind w:left="178"/>
        <w:rPr>
          <w:color w:val="auto"/>
          <w:sz w:val="28"/>
          <w:highlight w:val="none"/>
        </w:rPr>
      </w:pPr>
      <w:r>
        <w:rPr>
          <w:b/>
          <w:color w:val="auto"/>
          <w:sz w:val="28"/>
          <w:highlight w:val="none"/>
        </w:rPr>
        <w:t>14</w:t>
      </w:r>
      <w:r>
        <w:rPr>
          <w:rFonts w:hint="eastAsia"/>
          <w:b/>
          <w:color w:val="auto"/>
          <w:sz w:val="28"/>
          <w:highlight w:val="none"/>
        </w:rPr>
        <w:t>材料设备的供应和检验</w:t>
      </w:r>
    </w:p>
    <w:p>
      <w:pPr>
        <w:adjustRightInd w:val="0"/>
        <w:snapToGrid w:val="0"/>
        <w:spacing w:line="360" w:lineRule="auto"/>
        <w:ind w:left="359"/>
        <w:rPr>
          <w:color w:val="auto"/>
          <w:highlight w:val="none"/>
        </w:rPr>
      </w:pPr>
      <w:r>
        <w:rPr>
          <w:b/>
          <w:color w:val="auto"/>
          <w:highlight w:val="none"/>
        </w:rPr>
        <w:t>14.1</w:t>
      </w:r>
      <w:r>
        <w:rPr>
          <w:rFonts w:hint="eastAsia"/>
          <w:b/>
          <w:color w:val="auto"/>
          <w:highlight w:val="none"/>
        </w:rPr>
        <w:t>发包人供应材料设备</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⑴发包人供应材料设备的，应在</w:t>
      </w:r>
      <w:r>
        <w:rPr>
          <w:rFonts w:hint="eastAsia"/>
          <w:b/>
          <w:i/>
          <w:color w:val="auto"/>
          <w:highlight w:val="none"/>
        </w:rPr>
        <w:t>专用条款</w:t>
      </w:r>
      <w:r>
        <w:rPr>
          <w:rFonts w:hint="eastAsia"/>
          <w:color w:val="auto"/>
          <w:highlight w:val="none"/>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w:t>
      </w:r>
      <w:r>
        <w:rPr>
          <w:color w:val="auto"/>
          <w:highlight w:val="none"/>
        </w:rPr>
        <w:t>承包人按照第</w:t>
      </w:r>
      <w:r>
        <w:rPr>
          <w:rFonts w:hint="eastAsia"/>
          <w:color w:val="auto"/>
          <w:highlight w:val="none"/>
        </w:rPr>
        <w:t>9.3条〔工程</w:t>
      </w:r>
      <w:r>
        <w:rPr>
          <w:color w:val="auto"/>
          <w:highlight w:val="none"/>
        </w:rPr>
        <w:t>进度计划</w:t>
      </w:r>
      <w:r>
        <w:rPr>
          <w:rFonts w:hint="eastAsia"/>
          <w:color w:val="auto"/>
          <w:highlight w:val="none"/>
        </w:rPr>
        <w:t>〕</w:t>
      </w:r>
      <w:r>
        <w:rPr>
          <w:color w:val="auto"/>
          <w:highlight w:val="none"/>
        </w:rPr>
        <w:t>约定修订施工进度计划时，需同时提交经修订后的发包人供应材料与工程设备的进场计划。</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承包人应提前30天通过监理人以书面形式通知发包人供应材料与工程设备进场。</w:t>
      </w:r>
      <w:r>
        <w:rPr>
          <w:rFonts w:hint="eastAsia"/>
          <w:color w:val="auto"/>
          <w:highlight w:val="none"/>
        </w:rPr>
        <w:t>发包人在所供材料设备到货前24小时通知承包人，</w:t>
      </w:r>
      <w:r>
        <w:rPr>
          <w:color w:val="auto"/>
          <w:highlight w:val="none"/>
        </w:rPr>
        <w:t>货物运到施工场地后，</w:t>
      </w:r>
      <w:r>
        <w:rPr>
          <w:rFonts w:hint="eastAsia"/>
          <w:color w:val="auto"/>
          <w:highlight w:val="none"/>
        </w:rPr>
        <w:t>发包人和</w:t>
      </w:r>
      <w:r>
        <w:rPr>
          <w:color w:val="auto"/>
          <w:highlight w:val="none"/>
        </w:rPr>
        <w:t>承包人</w:t>
      </w:r>
      <w:r>
        <w:rPr>
          <w:rFonts w:hint="eastAsia"/>
          <w:color w:val="auto"/>
          <w:highlight w:val="none"/>
        </w:rPr>
        <w:t>双方在</w:t>
      </w:r>
      <w:r>
        <w:rPr>
          <w:color w:val="auto"/>
          <w:highlight w:val="none"/>
        </w:rPr>
        <w:t>监理人</w:t>
      </w:r>
      <w:r>
        <w:rPr>
          <w:rFonts w:hint="eastAsia"/>
          <w:color w:val="auto"/>
          <w:highlight w:val="none"/>
        </w:rPr>
        <w:t>的见证下进行验收交接，并按承包人指定的地点和方式堆放。承发包双方完成交验后，发包人仍应对由其提供的材料设备承担有关质量责任。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⑶发包人对其供应的材料设备履行完毕14.1⑵款约定验交程序，且承包人接收后，由承包人负责保管，因承包人原因发生的丢失、盗失、毁损等由承包人负责赔偿。发包人按</w:t>
      </w:r>
      <w:r>
        <w:rPr>
          <w:rFonts w:hint="eastAsia"/>
          <w:b/>
          <w:i/>
          <w:color w:val="auto"/>
          <w:highlight w:val="none"/>
        </w:rPr>
        <w:t>专用条款</w:t>
      </w:r>
      <w:r>
        <w:rPr>
          <w:rFonts w:hint="eastAsia"/>
          <w:color w:val="auto"/>
          <w:highlight w:val="none"/>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⑷如发包人未履行14.1⑵款约定的验交程序，则承包人不负责保管，发生的丢失、盗失、毁损等由发包人负责，但承包人没有提出异议，且已收取发包人支付的相应保管费用的除外。承包人</w:t>
      </w:r>
      <w:r>
        <w:rPr>
          <w:color w:val="auto"/>
          <w:highlight w:val="none"/>
        </w:rPr>
        <w:t>未</w:t>
      </w:r>
      <w:r>
        <w:rPr>
          <w:rFonts w:hint="eastAsia"/>
          <w:color w:val="auto"/>
          <w:highlight w:val="none"/>
        </w:rPr>
        <w:t>按发包人通知要求参加</w:t>
      </w:r>
      <w:r>
        <w:rPr>
          <w:color w:val="auto"/>
          <w:highlight w:val="none"/>
        </w:rPr>
        <w:t>验收的，视为承包人已验收合格，相应的保管责任由承包人承担。</w:t>
      </w:r>
    </w:p>
    <w:p>
      <w:pPr>
        <w:adjustRightInd w:val="0"/>
        <w:snapToGrid w:val="0"/>
        <w:spacing w:line="360" w:lineRule="auto"/>
        <w:ind w:left="359"/>
        <w:rPr>
          <w:color w:val="auto"/>
          <w:highlight w:val="none"/>
        </w:rPr>
      </w:pPr>
      <w:r>
        <w:rPr>
          <w:b/>
          <w:color w:val="auto"/>
          <w:highlight w:val="none"/>
        </w:rPr>
        <w:t>14.2</w:t>
      </w:r>
      <w:r>
        <w:rPr>
          <w:rFonts w:hint="eastAsia"/>
          <w:b/>
          <w:color w:val="auto"/>
          <w:highlight w:val="none"/>
        </w:rPr>
        <w:t>发包人供应材料设备的结算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除非</w:t>
      </w:r>
      <w:r>
        <w:rPr>
          <w:rFonts w:hint="eastAsia"/>
          <w:b/>
          <w:i/>
          <w:color w:val="auto"/>
          <w:highlight w:val="none"/>
        </w:rPr>
        <w:t>专用条款</w:t>
      </w:r>
      <w:r>
        <w:rPr>
          <w:rFonts w:hint="eastAsia"/>
          <w:color w:val="auto"/>
          <w:highlight w:val="none"/>
        </w:rPr>
        <w:t>中另有约定，</w:t>
      </w:r>
      <w:r>
        <w:rPr>
          <w:color w:val="auto"/>
          <w:highlight w:val="none"/>
        </w:rPr>
        <w:t>本工程发包</w:t>
      </w:r>
      <w:r>
        <w:rPr>
          <w:rFonts w:hint="eastAsia"/>
          <w:color w:val="auto"/>
          <w:highlight w:val="none"/>
        </w:rPr>
        <w:t>人供应材料设备</w:t>
      </w:r>
      <w:r>
        <w:rPr>
          <w:color w:val="auto"/>
          <w:highlight w:val="none"/>
        </w:rPr>
        <w:t>按如下方式结算：</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⑴承包人</w:t>
      </w:r>
      <w:r>
        <w:rPr>
          <w:color w:val="auto"/>
          <w:highlight w:val="none"/>
        </w:rPr>
        <w:t>按发包人要求、竣工图纸和工程造价管理机构发布的相关</w:t>
      </w:r>
      <w:r>
        <w:rPr>
          <w:rFonts w:hint="eastAsia"/>
          <w:color w:val="auto"/>
          <w:highlight w:val="none"/>
        </w:rPr>
        <w:t>消耗量</w:t>
      </w:r>
      <w:r>
        <w:rPr>
          <w:color w:val="auto"/>
          <w:highlight w:val="none"/>
        </w:rPr>
        <w:t>定额计算本工程需用的发包</w:t>
      </w:r>
      <w:r>
        <w:rPr>
          <w:rFonts w:hint="eastAsia"/>
          <w:color w:val="auto"/>
          <w:highlight w:val="none"/>
        </w:rPr>
        <w:t>人供应材料设备的</w:t>
      </w:r>
      <w:r>
        <w:rPr>
          <w:color w:val="auto"/>
          <w:highlight w:val="none"/>
        </w:rPr>
        <w:t>合理数量</w:t>
      </w:r>
      <w:r>
        <w:rPr>
          <w:rFonts w:hint="eastAsia"/>
          <w:color w:val="auto"/>
          <w:highlight w:val="none"/>
        </w:rPr>
        <w:t>，经</w:t>
      </w:r>
      <w:r>
        <w:rPr>
          <w:color w:val="auto"/>
          <w:highlight w:val="none"/>
        </w:rPr>
        <w:t>监理人</w:t>
      </w:r>
      <w:r>
        <w:rPr>
          <w:rFonts w:hint="eastAsia"/>
          <w:color w:val="auto"/>
          <w:highlight w:val="none"/>
        </w:rPr>
        <w:t>审核后报发包人确认</w:t>
      </w:r>
      <w:r>
        <w:rPr>
          <w:color w:val="auto"/>
          <w:highlight w:val="none"/>
        </w:rPr>
        <w:t>；</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w:t>
      </w:r>
      <w:r>
        <w:rPr>
          <w:color w:val="auto"/>
          <w:highlight w:val="none"/>
        </w:rPr>
        <w:t>发包</w:t>
      </w:r>
      <w:r>
        <w:rPr>
          <w:rFonts w:hint="eastAsia"/>
          <w:color w:val="auto"/>
          <w:highlight w:val="none"/>
        </w:rPr>
        <w:t>人供应材料设备</w:t>
      </w:r>
      <w:r>
        <w:rPr>
          <w:color w:val="auto"/>
          <w:highlight w:val="none"/>
        </w:rPr>
        <w:t>的结算单价按照发包人通过招标</w:t>
      </w:r>
      <w:r>
        <w:rPr>
          <w:rFonts w:hint="eastAsia"/>
          <w:color w:val="auto"/>
          <w:highlight w:val="none"/>
        </w:rPr>
        <w:t>或询价采购等</w:t>
      </w:r>
      <w:r>
        <w:rPr>
          <w:color w:val="auto"/>
          <w:highlight w:val="none"/>
        </w:rPr>
        <w:t>方式确定的</w:t>
      </w:r>
      <w:r>
        <w:rPr>
          <w:rFonts w:hint="eastAsia"/>
          <w:color w:val="auto"/>
          <w:highlight w:val="none"/>
        </w:rPr>
        <w:t>材料设备</w:t>
      </w:r>
      <w:r>
        <w:rPr>
          <w:color w:val="auto"/>
          <w:highlight w:val="none"/>
        </w:rPr>
        <w:t>单价计算</w:t>
      </w:r>
      <w:r>
        <w:rPr>
          <w:rFonts w:hint="eastAsia"/>
          <w:color w:val="auto"/>
          <w:highlight w:val="none"/>
        </w:rPr>
        <w:t>；</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w:t>
      </w:r>
      <w:r>
        <w:rPr>
          <w:color w:val="auto"/>
          <w:highlight w:val="none"/>
        </w:rPr>
        <w:t>承包人实际</w:t>
      </w:r>
      <w:r>
        <w:rPr>
          <w:rFonts w:hint="eastAsia"/>
          <w:color w:val="auto"/>
          <w:highlight w:val="none"/>
        </w:rPr>
        <w:t>使用</w:t>
      </w:r>
      <w:r>
        <w:rPr>
          <w:color w:val="auto"/>
          <w:highlight w:val="none"/>
        </w:rPr>
        <w:t>发包</w:t>
      </w:r>
      <w:r>
        <w:rPr>
          <w:rFonts w:hint="eastAsia"/>
          <w:color w:val="auto"/>
          <w:highlight w:val="none"/>
        </w:rPr>
        <w:t>人供应材料设备的</w:t>
      </w:r>
      <w:r>
        <w:rPr>
          <w:color w:val="auto"/>
          <w:highlight w:val="none"/>
        </w:rPr>
        <w:t>数量</w:t>
      </w:r>
      <w:r>
        <w:rPr>
          <w:rFonts w:hint="eastAsia"/>
          <w:color w:val="auto"/>
          <w:highlight w:val="none"/>
        </w:rPr>
        <w:t>超过14.2⑴款确认的</w:t>
      </w:r>
      <w:r>
        <w:rPr>
          <w:color w:val="auto"/>
          <w:highlight w:val="none"/>
        </w:rPr>
        <w:t>合理数量</w:t>
      </w:r>
      <w:r>
        <w:rPr>
          <w:rFonts w:hint="eastAsia"/>
          <w:color w:val="auto"/>
          <w:highlight w:val="none"/>
        </w:rPr>
        <w:t>，超出部分的费用由承包人承担；承包人实际使用</w:t>
      </w:r>
      <w:r>
        <w:rPr>
          <w:color w:val="auto"/>
          <w:highlight w:val="none"/>
        </w:rPr>
        <w:t>发包</w:t>
      </w:r>
      <w:r>
        <w:rPr>
          <w:rFonts w:hint="eastAsia"/>
          <w:color w:val="auto"/>
          <w:highlight w:val="none"/>
        </w:rPr>
        <w:t>人供应材料设备的数量小于14.2⑴款确认的</w:t>
      </w:r>
      <w:r>
        <w:rPr>
          <w:color w:val="auto"/>
          <w:highlight w:val="none"/>
        </w:rPr>
        <w:t>合理数量</w:t>
      </w:r>
      <w:r>
        <w:rPr>
          <w:rFonts w:hint="eastAsia"/>
          <w:color w:val="auto"/>
          <w:highlight w:val="none"/>
        </w:rPr>
        <w:t>，节约的费用按</w:t>
      </w:r>
      <w:r>
        <w:rPr>
          <w:rFonts w:hint="eastAsia"/>
          <w:b/>
          <w:i/>
          <w:color w:val="auto"/>
          <w:highlight w:val="none"/>
        </w:rPr>
        <w:t>专用条款</w:t>
      </w:r>
      <w:r>
        <w:rPr>
          <w:rFonts w:hint="eastAsia"/>
          <w:color w:val="auto"/>
          <w:highlight w:val="none"/>
        </w:rPr>
        <w:t>约定进行分配；</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w:t>
      </w:r>
      <w:r>
        <w:rPr>
          <w:color w:val="auto"/>
          <w:highlight w:val="none"/>
        </w:rPr>
        <w:t>承包人</w:t>
      </w:r>
      <w:r>
        <w:rPr>
          <w:rFonts w:hint="eastAsia"/>
          <w:color w:val="auto"/>
          <w:highlight w:val="none"/>
        </w:rPr>
        <w:t>的投标报价中已包括</w:t>
      </w:r>
      <w:r>
        <w:rPr>
          <w:color w:val="auto"/>
          <w:highlight w:val="none"/>
        </w:rPr>
        <w:t>发包人供应材料设备</w:t>
      </w:r>
      <w:r>
        <w:rPr>
          <w:rFonts w:hint="eastAsia"/>
          <w:color w:val="auto"/>
          <w:highlight w:val="none"/>
        </w:rPr>
        <w:t>的场内运输费、</w:t>
      </w:r>
      <w:r>
        <w:rPr>
          <w:color w:val="auto"/>
          <w:highlight w:val="none"/>
        </w:rPr>
        <w:t>安装</w:t>
      </w:r>
      <w:r>
        <w:rPr>
          <w:rFonts w:hint="eastAsia"/>
          <w:color w:val="auto"/>
          <w:highlight w:val="none"/>
        </w:rPr>
        <w:t>费，</w:t>
      </w:r>
      <w:r>
        <w:rPr>
          <w:color w:val="auto"/>
          <w:highlight w:val="none"/>
        </w:rPr>
        <w:t>结算时不因发包人供应材料设备</w:t>
      </w:r>
      <w:r>
        <w:rPr>
          <w:rFonts w:hint="eastAsia"/>
          <w:color w:val="auto"/>
          <w:highlight w:val="none"/>
        </w:rPr>
        <w:t>单价的</w:t>
      </w:r>
      <w:r>
        <w:rPr>
          <w:color w:val="auto"/>
          <w:highlight w:val="none"/>
        </w:rPr>
        <w:t>变化而调整。</w:t>
      </w:r>
    </w:p>
    <w:p>
      <w:pPr>
        <w:adjustRightInd w:val="0"/>
        <w:snapToGrid w:val="0"/>
        <w:spacing w:line="360" w:lineRule="auto"/>
        <w:ind w:left="359"/>
        <w:rPr>
          <w:color w:val="auto"/>
          <w:highlight w:val="none"/>
        </w:rPr>
      </w:pPr>
      <w:r>
        <w:rPr>
          <w:b/>
          <w:color w:val="auto"/>
          <w:highlight w:val="none"/>
        </w:rPr>
        <w:t>14.3</w:t>
      </w:r>
      <w:r>
        <w:rPr>
          <w:rFonts w:hint="eastAsia"/>
          <w:b/>
          <w:color w:val="auto"/>
          <w:highlight w:val="none"/>
        </w:rPr>
        <w:t>发包人供应材料设备承担的责任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发包人供应的材料设备与专用条款14.1(1)发包人供应材料设备清单中的约定不符时，发包人承担相关责任，具体如下：</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⑴材料设备单价不符合约定，由发包人承担所有价差；</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⑵材料设备的品种、规格、型号、质量等级不符合约定，承包人可拒绝接收、保管，由发包人负责运出施工场地并重新采购；</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⑶材料设备的到货地点不符合约定，由发包人负责运至材料设备清单约定的地点；</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⑷材料设备供应数量不符合约定，多于清单中约定的数量时由发包人负责运出施工场地，少于清单中约定数量时由发包人负责补齐；</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⑸材料设备到货交接时间不符合约定，早于约定时间的由发包人承担因此产生的保管费用，迟于约定时间给承包人造成损失和(或)导致工期延误的，发包人应赔偿承包人损失，顺延延误的工期。</w:t>
      </w:r>
    </w:p>
    <w:p>
      <w:pPr>
        <w:adjustRightInd w:val="0"/>
        <w:snapToGrid w:val="0"/>
        <w:spacing w:line="360" w:lineRule="auto"/>
        <w:ind w:left="359"/>
        <w:rPr>
          <w:color w:val="auto"/>
          <w:highlight w:val="none"/>
        </w:rPr>
      </w:pPr>
      <w:r>
        <w:rPr>
          <w:b/>
          <w:color w:val="auto"/>
          <w:highlight w:val="none"/>
        </w:rPr>
        <w:t>14.4</w:t>
      </w:r>
      <w:r>
        <w:rPr>
          <w:rFonts w:hint="eastAsia"/>
          <w:b/>
          <w:color w:val="auto"/>
          <w:highlight w:val="none"/>
        </w:rPr>
        <w:t>承包人采购材料设备</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承包人负责采购的材料设备，应符合设计、标准、规范、招标文件、</w:t>
      </w:r>
      <w:r>
        <w:rPr>
          <w:rFonts w:hint="eastAsia"/>
          <w:b/>
          <w:i/>
          <w:color w:val="auto"/>
          <w:highlight w:val="none"/>
        </w:rPr>
        <w:t>专用条款</w:t>
      </w:r>
      <w:r>
        <w:rPr>
          <w:rFonts w:hint="eastAsia"/>
          <w:color w:val="auto"/>
          <w:highlight w:val="none"/>
        </w:rPr>
        <w:t>约定的要求以及投标文件的承诺，并提供产品质量合格证明，承包人对材料设备质量负责。</w:t>
      </w:r>
      <w:r>
        <w:rPr>
          <w:color w:val="auto"/>
          <w:highlight w:val="none"/>
        </w:rPr>
        <w:t>合同约定由承包人采购的材料、工程设备，发包人不得指定生产厂家或供应商，发包人违反本款约定指定生产厂家或供应商的，承包人有权拒绝。</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承包人应负责其采购的所有材料设备的包装、运输、接收、装卸、存储和保护，并承担因货物运输引起的民事和(或)刑事责任。承包人应在材料设备到货前24小时通知发包人，双方在</w:t>
      </w:r>
      <w:r>
        <w:rPr>
          <w:color w:val="auto"/>
          <w:highlight w:val="none"/>
        </w:rPr>
        <w:t>监理人</w:t>
      </w:r>
      <w:r>
        <w:rPr>
          <w:rFonts w:hint="eastAsia"/>
          <w:color w:val="auto"/>
          <w:highlight w:val="none"/>
        </w:rPr>
        <w:t>的见证下进行联合验收。</w:t>
      </w:r>
    </w:p>
    <w:p>
      <w:pPr>
        <w:adjustRightInd w:val="0"/>
        <w:snapToGrid w:val="0"/>
        <w:spacing w:line="360" w:lineRule="auto"/>
        <w:ind w:left="359"/>
        <w:rPr>
          <w:color w:val="auto"/>
          <w:highlight w:val="none"/>
        </w:rPr>
      </w:pPr>
      <w:r>
        <w:rPr>
          <w:b/>
          <w:color w:val="auto"/>
          <w:highlight w:val="none"/>
        </w:rPr>
        <w:t>14.5</w:t>
      </w:r>
      <w:r>
        <w:rPr>
          <w:rFonts w:hint="eastAsia"/>
          <w:b/>
          <w:color w:val="auto"/>
          <w:highlight w:val="none"/>
        </w:rPr>
        <w:t>承包人采购材料设备承担的责任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⑴承包人采购的材料设备与14.4款约定的要求不符时，承包人应按</w:t>
      </w:r>
      <w:r>
        <w:rPr>
          <w:color w:val="auto"/>
          <w:highlight w:val="none"/>
        </w:rPr>
        <w:t>监理人</w:t>
      </w:r>
      <w:r>
        <w:rPr>
          <w:rFonts w:hint="eastAsia"/>
          <w:color w:val="auto"/>
          <w:highlight w:val="none"/>
        </w:rPr>
        <w:t>要求的时间运出施工场地，重新采购符合要求的材料设备，承担因此产生的费用，由此延误的工期不予顺延。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⑵承包人使用了不符合14.4款约定要求的材料设备，则应按</w:t>
      </w:r>
      <w:r>
        <w:rPr>
          <w:color w:val="auto"/>
          <w:highlight w:val="none"/>
        </w:rPr>
        <w:t>监理人</w:t>
      </w:r>
      <w:r>
        <w:rPr>
          <w:rFonts w:hint="eastAsia"/>
          <w:color w:val="auto"/>
          <w:highlight w:val="none"/>
        </w:rPr>
        <w:t>的指令负责修复、拆除或重新采购，并承担因此产生的费用，由此延误的工期不予顺延。</w:t>
      </w:r>
    </w:p>
    <w:p>
      <w:pPr>
        <w:adjustRightInd w:val="0"/>
        <w:snapToGrid w:val="0"/>
        <w:spacing w:line="360" w:lineRule="auto"/>
        <w:ind w:left="359"/>
        <w:rPr>
          <w:color w:val="auto"/>
          <w:highlight w:val="none"/>
        </w:rPr>
      </w:pPr>
      <w:r>
        <w:rPr>
          <w:b/>
          <w:color w:val="auto"/>
          <w:highlight w:val="none"/>
        </w:rPr>
        <w:t>14.6</w:t>
      </w:r>
      <w:r>
        <w:rPr>
          <w:rFonts w:hint="eastAsia"/>
          <w:b/>
          <w:color w:val="auto"/>
          <w:highlight w:val="none"/>
        </w:rPr>
        <w:t>材料和工程设备的替代</w:t>
      </w:r>
    </w:p>
    <w:p>
      <w:pPr>
        <w:tabs>
          <w:tab w:val="left" w:pos="1620"/>
          <w:tab w:val="left" w:pos="2340"/>
        </w:tabs>
        <w:adjustRightInd w:val="0"/>
        <w:snapToGrid w:val="0"/>
        <w:spacing w:line="360" w:lineRule="auto"/>
        <w:ind w:left="972" w:leftChars="405" w:firstLine="105" w:firstLineChars="44"/>
        <w:rPr>
          <w:color w:val="auto"/>
          <w:highlight w:val="none"/>
        </w:rPr>
      </w:pPr>
      <w:r>
        <w:rPr>
          <w:rFonts w:hint="eastAsia"/>
          <w:color w:val="auto"/>
          <w:highlight w:val="none"/>
        </w:rPr>
        <w:t>⑴</w:t>
      </w:r>
      <w:r>
        <w:rPr>
          <w:color w:val="auto"/>
          <w:highlight w:val="none"/>
        </w:rPr>
        <w:t>出现下列情况需要使用替代材料和工程设备的，承包人应按照第</w:t>
      </w:r>
      <w:r>
        <w:rPr>
          <w:rFonts w:hint="eastAsia"/>
          <w:color w:val="auto"/>
          <w:highlight w:val="none"/>
        </w:rPr>
        <w:t>14</w:t>
      </w:r>
      <w:r>
        <w:rPr>
          <w:color w:val="auto"/>
          <w:highlight w:val="none"/>
        </w:rPr>
        <w:t>.</w:t>
      </w:r>
      <w:r>
        <w:rPr>
          <w:rFonts w:hint="eastAsia"/>
          <w:color w:val="auto"/>
          <w:highlight w:val="none"/>
        </w:rPr>
        <w:t>6</w:t>
      </w:r>
      <w:r>
        <w:rPr>
          <w:color w:val="auto"/>
          <w:highlight w:val="none"/>
        </w:rPr>
        <w:t>.</w:t>
      </w:r>
      <w:r>
        <w:rPr>
          <w:rFonts w:hint="eastAsia"/>
          <w:color w:val="auto"/>
          <w:highlight w:val="none"/>
        </w:rPr>
        <w:t>(2)</w:t>
      </w:r>
      <w:r>
        <w:rPr>
          <w:color w:val="auto"/>
          <w:highlight w:val="none"/>
        </w:rPr>
        <w:t>项约定的程序执行：</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①</w:t>
      </w:r>
      <w:r>
        <w:rPr>
          <w:color w:val="auto"/>
          <w:highlight w:val="none"/>
        </w:rPr>
        <w:t>基准日</w:t>
      </w:r>
      <w:r>
        <w:rPr>
          <w:rFonts w:hint="eastAsia"/>
          <w:color w:val="auto"/>
          <w:highlight w:val="none"/>
        </w:rPr>
        <w:t>期</w:t>
      </w:r>
      <w:r>
        <w:rPr>
          <w:color w:val="auto"/>
          <w:highlight w:val="none"/>
        </w:rPr>
        <w:t>后生效的法律规定禁止使用的；</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②</w:t>
      </w:r>
      <w:r>
        <w:rPr>
          <w:color w:val="auto"/>
          <w:highlight w:val="none"/>
        </w:rPr>
        <w:t>发包人要求使用替代品的；</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③</w:t>
      </w:r>
      <w:r>
        <w:rPr>
          <w:color w:val="auto"/>
          <w:highlight w:val="none"/>
        </w:rPr>
        <w:t>因其他原因必须使用替代品的。</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⑵承包人需要使用替代材料设备应在</w:t>
      </w:r>
      <w:r>
        <w:rPr>
          <w:rFonts w:hint="eastAsia"/>
          <w:b/>
          <w:i/>
          <w:color w:val="auto"/>
          <w:highlight w:val="none"/>
        </w:rPr>
        <w:t>专用条款</w:t>
      </w:r>
      <w:r>
        <w:rPr>
          <w:rFonts w:hint="eastAsia"/>
          <w:color w:val="auto"/>
          <w:highlight w:val="none"/>
        </w:rPr>
        <w:t>约定的时限前向</w:t>
      </w:r>
      <w:r>
        <w:rPr>
          <w:color w:val="auto"/>
          <w:highlight w:val="none"/>
        </w:rPr>
        <w:t>监理人</w:t>
      </w:r>
      <w:r>
        <w:rPr>
          <w:rFonts w:hint="eastAsia"/>
          <w:color w:val="auto"/>
          <w:highlight w:val="none"/>
        </w:rPr>
        <w:t>提出申请，</w:t>
      </w:r>
      <w:r>
        <w:rPr>
          <w:color w:val="auto"/>
          <w:highlight w:val="none"/>
        </w:rPr>
        <w:t>监理人</w:t>
      </w:r>
      <w:r>
        <w:rPr>
          <w:rFonts w:hint="eastAsia"/>
          <w:color w:val="auto"/>
          <w:highlight w:val="none"/>
        </w:rPr>
        <w:t>应在</w:t>
      </w:r>
      <w:r>
        <w:rPr>
          <w:rFonts w:hint="eastAsia"/>
          <w:b/>
          <w:i/>
          <w:color w:val="auto"/>
          <w:highlight w:val="none"/>
        </w:rPr>
        <w:t>专用条款</w:t>
      </w:r>
      <w:r>
        <w:rPr>
          <w:rFonts w:hint="eastAsia"/>
          <w:color w:val="auto"/>
          <w:highlight w:val="none"/>
        </w:rPr>
        <w:t>约定的时限内发书面指示报发包人，</w:t>
      </w:r>
      <w:r>
        <w:rPr>
          <w:color w:val="auto"/>
          <w:highlight w:val="none"/>
        </w:rPr>
        <w:t>监理人逾期发出书面指示的，视为发包人和监理人同意使用替代品。</w:t>
      </w:r>
      <w:r>
        <w:rPr>
          <w:rFonts w:hint="eastAsia"/>
          <w:color w:val="auto"/>
          <w:highlight w:val="none"/>
        </w:rPr>
        <w:t>替代</w:t>
      </w:r>
      <w:r>
        <w:rPr>
          <w:color w:val="auto"/>
          <w:highlight w:val="none"/>
        </w:rPr>
        <w:t>材料</w:t>
      </w:r>
      <w:r>
        <w:rPr>
          <w:rFonts w:hint="eastAsia"/>
          <w:color w:val="auto"/>
          <w:highlight w:val="none"/>
        </w:rPr>
        <w:t>设备的</w:t>
      </w:r>
      <w:r>
        <w:rPr>
          <w:color w:val="auto"/>
          <w:highlight w:val="none"/>
        </w:rPr>
        <w:t>品质</w:t>
      </w:r>
      <w:r>
        <w:rPr>
          <w:rFonts w:hint="eastAsia"/>
          <w:color w:val="auto"/>
          <w:highlight w:val="none"/>
        </w:rPr>
        <w:t>、</w:t>
      </w:r>
      <w:r>
        <w:rPr>
          <w:color w:val="auto"/>
          <w:highlight w:val="none"/>
        </w:rPr>
        <w:t>标准、性能不能低于被</w:t>
      </w:r>
      <w:r>
        <w:rPr>
          <w:rFonts w:hint="eastAsia"/>
          <w:color w:val="auto"/>
          <w:highlight w:val="none"/>
        </w:rPr>
        <w:t>替代</w:t>
      </w:r>
      <w:r>
        <w:rPr>
          <w:color w:val="auto"/>
          <w:highlight w:val="none"/>
        </w:rPr>
        <w:t>材料，</w:t>
      </w:r>
      <w:r>
        <w:rPr>
          <w:rFonts w:hint="eastAsia"/>
          <w:color w:val="auto"/>
          <w:highlight w:val="none"/>
        </w:rPr>
        <w:t>因此增减的合同价格和产生的费用的承担，承发包双方在</w:t>
      </w:r>
      <w:r>
        <w:rPr>
          <w:rFonts w:hint="eastAsia"/>
          <w:b/>
          <w:i/>
          <w:color w:val="auto"/>
          <w:highlight w:val="none"/>
        </w:rPr>
        <w:t>专用条款</w:t>
      </w:r>
      <w:r>
        <w:rPr>
          <w:rFonts w:hint="eastAsia"/>
          <w:color w:val="auto"/>
          <w:highlight w:val="none"/>
        </w:rPr>
        <w:t>中约定。</w:t>
      </w:r>
    </w:p>
    <w:p>
      <w:pPr>
        <w:adjustRightInd w:val="0"/>
        <w:snapToGrid w:val="0"/>
        <w:spacing w:line="360" w:lineRule="auto"/>
        <w:ind w:left="359"/>
        <w:rPr>
          <w:color w:val="auto"/>
          <w:highlight w:val="none"/>
        </w:rPr>
      </w:pPr>
      <w:r>
        <w:rPr>
          <w:b/>
          <w:color w:val="auto"/>
          <w:highlight w:val="none"/>
        </w:rPr>
        <w:t>14.7</w:t>
      </w:r>
      <w:r>
        <w:rPr>
          <w:rFonts w:hint="eastAsia"/>
          <w:b/>
          <w:color w:val="auto"/>
          <w:highlight w:val="none"/>
        </w:rPr>
        <w:t>材料设备的检验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⑴本工程一切材料设备在用于本工程之前，均应按照法律、法规、规章和有关标准、规范的规定以及</w:t>
      </w:r>
      <w:r>
        <w:rPr>
          <w:rFonts w:hint="eastAsia"/>
          <w:b/>
          <w:i/>
          <w:color w:val="auto"/>
          <w:highlight w:val="none"/>
        </w:rPr>
        <w:t>专用条款</w:t>
      </w:r>
      <w:r>
        <w:rPr>
          <w:rFonts w:hint="eastAsia"/>
          <w:color w:val="auto"/>
          <w:highlight w:val="none"/>
        </w:rPr>
        <w:t>约定的检验时间和地点、取样办法、检验频次和内容等要求，在</w:t>
      </w:r>
      <w:r>
        <w:rPr>
          <w:color w:val="auto"/>
          <w:highlight w:val="none"/>
        </w:rPr>
        <w:t>监理人</w:t>
      </w:r>
      <w:r>
        <w:rPr>
          <w:rFonts w:hint="eastAsia"/>
          <w:color w:val="auto"/>
          <w:highlight w:val="none"/>
        </w:rPr>
        <w:t>的监督、见证下，由承包人负责取样并送</w:t>
      </w:r>
      <w:r>
        <w:rPr>
          <w:rFonts w:hint="eastAsia"/>
          <w:b/>
          <w:i/>
          <w:color w:val="auto"/>
          <w:highlight w:val="none"/>
        </w:rPr>
        <w:t>专用条款</w:t>
      </w:r>
      <w:r>
        <w:rPr>
          <w:rFonts w:hint="eastAsia"/>
          <w:color w:val="auto"/>
          <w:highlight w:val="none"/>
        </w:rPr>
        <w:t>指定的检验机构进行检验，不合格的不得使用。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⑵拟用于本工程的材料设备应当经检验合格后使用。发包人供应的材料设备的检验费用由发包人承担；承包人采购的材料设备检验费用由承包人承担。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发包人对具有出厂合格证明材料设备的检验，构件的破坏性检验、其他特殊要求的检验及发包人委托检测机构进行的检测，如经检验合格的，检验费用由发包人承担；若检验不合格且为承包人采购的材料设备，检验费用由承包人承担。</w:t>
      </w:r>
    </w:p>
    <w:p>
      <w:pPr>
        <w:adjustRightInd w:val="0"/>
        <w:snapToGrid w:val="0"/>
        <w:spacing w:line="360" w:lineRule="auto"/>
        <w:ind w:left="359"/>
        <w:rPr>
          <w:color w:val="auto"/>
          <w:highlight w:val="none"/>
        </w:rPr>
      </w:pPr>
      <w:r>
        <w:rPr>
          <w:b/>
          <w:color w:val="auto"/>
          <w:highlight w:val="none"/>
        </w:rPr>
        <w:t>14.8</w:t>
      </w:r>
      <w:r>
        <w:rPr>
          <w:rFonts w:hint="eastAsia"/>
          <w:b/>
          <w:color w:val="auto"/>
          <w:highlight w:val="none"/>
        </w:rPr>
        <w:t>材料设备的再次检验和随时检查</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⑴如</w:t>
      </w:r>
      <w:r>
        <w:rPr>
          <w:color w:val="auto"/>
          <w:highlight w:val="none"/>
        </w:rPr>
        <w:t>监理人</w:t>
      </w:r>
      <w:r>
        <w:rPr>
          <w:rFonts w:hint="eastAsia"/>
          <w:color w:val="auto"/>
          <w:highlight w:val="none"/>
        </w:rPr>
        <w:t>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监理人</w:t>
      </w:r>
      <w:r>
        <w:rPr>
          <w:rFonts w:hint="eastAsia"/>
          <w:color w:val="auto"/>
          <w:highlight w:val="none"/>
        </w:rPr>
        <w:t>在一切合理的时间内均应能进入施工现场以及半成品的制造、加工或制配的所有车间和场所，承包人应为其进入上述场所提供一切便利和协助。</w:t>
      </w:r>
    </w:p>
    <w:p>
      <w:pPr>
        <w:adjustRightInd w:val="0"/>
        <w:snapToGrid w:val="0"/>
        <w:spacing w:line="360" w:lineRule="auto"/>
        <w:ind w:left="178"/>
        <w:rPr>
          <w:color w:val="auto"/>
          <w:sz w:val="28"/>
          <w:highlight w:val="none"/>
        </w:rPr>
      </w:pPr>
      <w:r>
        <w:rPr>
          <w:b/>
          <w:color w:val="auto"/>
          <w:sz w:val="28"/>
          <w:highlight w:val="none"/>
        </w:rPr>
        <w:t>15</w:t>
      </w:r>
      <w:r>
        <w:rPr>
          <w:rFonts w:hint="eastAsia"/>
          <w:b/>
          <w:color w:val="auto"/>
          <w:sz w:val="28"/>
          <w:highlight w:val="none"/>
        </w:rPr>
        <w:t>工程质量和检测</w:t>
      </w:r>
    </w:p>
    <w:p>
      <w:pPr>
        <w:adjustRightInd w:val="0"/>
        <w:snapToGrid w:val="0"/>
        <w:spacing w:line="360" w:lineRule="auto"/>
        <w:ind w:left="359"/>
        <w:rPr>
          <w:color w:val="auto"/>
          <w:highlight w:val="none"/>
        </w:rPr>
      </w:pPr>
      <w:r>
        <w:rPr>
          <w:b/>
          <w:color w:val="auto"/>
          <w:highlight w:val="none"/>
        </w:rPr>
        <w:t>15.1</w:t>
      </w:r>
      <w:r>
        <w:rPr>
          <w:rFonts w:hint="eastAsia"/>
          <w:b/>
          <w:color w:val="auto"/>
          <w:highlight w:val="none"/>
        </w:rPr>
        <w:t>工程质量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⑴工程质量应达到本合同协议书中约定的质量标准，工程质量标准的评定应以本合同约定的标准、规范为依据，</w:t>
      </w:r>
      <w:r>
        <w:rPr>
          <w:rFonts w:hint="eastAsia"/>
          <w:caps/>
          <w:color w:val="auto"/>
          <w:szCs w:val="21"/>
          <w:highlight w:val="none"/>
        </w:rPr>
        <w:t>合同没有约定的，以国家或行业的质量检验评定标准为依据。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⑵承包人应建立质量保证体系，</w:t>
      </w:r>
      <w:r>
        <w:rPr>
          <w:color w:val="auto"/>
          <w:highlight w:val="none"/>
        </w:rPr>
        <w:t>监理人</w:t>
      </w:r>
      <w:r>
        <w:rPr>
          <w:rFonts w:hint="eastAsia"/>
          <w:color w:val="auto"/>
          <w:highlight w:val="none"/>
        </w:rPr>
        <w:t>有权对体系的任何方面进行审查。遵守质量保证体系不应解除合同约定的承包人的任何义务和职责。</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因发包人原因造成工程质量未达到合同约定标准的，由发包人承担由此增加的费用和（或）延误的工期。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因承包人原因造成工程质量未达到合同约定标准的，发包人有权要求承包人返工直至工程质量达到合同约定的标准为止，并由承包人承担由此增加的费用和（或）延误的工期。</w:t>
      </w:r>
    </w:p>
    <w:p>
      <w:pPr>
        <w:adjustRightInd w:val="0"/>
        <w:snapToGrid w:val="0"/>
        <w:spacing w:line="360" w:lineRule="auto"/>
        <w:ind w:left="359"/>
        <w:rPr>
          <w:color w:val="auto"/>
          <w:highlight w:val="none"/>
        </w:rPr>
      </w:pPr>
      <w:r>
        <w:rPr>
          <w:b/>
          <w:color w:val="auto"/>
          <w:highlight w:val="none"/>
        </w:rPr>
        <w:t>15.2</w:t>
      </w:r>
      <w:r>
        <w:rPr>
          <w:rFonts w:hint="eastAsia"/>
          <w:b/>
          <w:color w:val="auto"/>
          <w:highlight w:val="none"/>
        </w:rPr>
        <w:t>发包人质量控制责任</w:t>
      </w:r>
    </w:p>
    <w:p>
      <w:pPr>
        <w:tabs>
          <w:tab w:val="left" w:pos="1620"/>
          <w:tab w:val="left" w:pos="2340"/>
        </w:tabs>
        <w:adjustRightInd w:val="0"/>
        <w:snapToGrid w:val="0"/>
        <w:spacing w:line="360" w:lineRule="auto"/>
        <w:ind w:left="899"/>
        <w:rPr>
          <w:color w:val="auto"/>
          <w:highlight w:val="none"/>
        </w:rPr>
      </w:pPr>
      <w:r>
        <w:rPr>
          <w:color w:val="auto"/>
          <w:highlight w:val="none"/>
        </w:rPr>
        <w:t>发包人应按照法律规定及合同约定完成与工程质量有关的各项工作</w:t>
      </w:r>
      <w:r>
        <w:rPr>
          <w:rFonts w:hint="eastAsia"/>
          <w:color w:val="auto"/>
          <w:highlight w:val="none"/>
        </w:rPr>
        <w:t>，其职责包括但不限于下列内容：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⑴向有关的勘察、设计、施工、工程监理等单位提供与建设工程有关的原始资料。原始资料必须真实、准确、齐全。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⑵不得迫使承包方以低于成本的价格竞标，不得任意压缩合理工期。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⑶将施工图设计文件报建设行政主管部门或者其他有关部门审查。施工图设计文件未经审查批准的，不得使用。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⑷按照合同约定，由发包人采购材料、设备的，应保证其符合设计文件和合同要求。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⑸收到建设工程竣工报告后，组织设计、施工、工程监理等有关单位进行竣工验收。经验收合格的，方可交付使用。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⑹应严格按照国家有关档案管理的规定，及时收集、整理建设项目各环节的文件资料，建立、健全建设项目档案，并在建设工程竣工验收后，及时向建设行政主管部门或者其他有关部门移交建设项目档案。</w:t>
      </w:r>
    </w:p>
    <w:p>
      <w:pPr>
        <w:adjustRightInd w:val="0"/>
        <w:snapToGrid w:val="0"/>
        <w:spacing w:line="360" w:lineRule="auto"/>
        <w:ind w:left="359"/>
        <w:rPr>
          <w:color w:val="auto"/>
          <w:highlight w:val="none"/>
        </w:rPr>
      </w:pPr>
      <w:r>
        <w:rPr>
          <w:b/>
          <w:color w:val="auto"/>
          <w:highlight w:val="none"/>
        </w:rPr>
        <w:t>15.3</w:t>
      </w:r>
      <w:r>
        <w:rPr>
          <w:rFonts w:hint="eastAsia"/>
          <w:b/>
          <w:color w:val="auto"/>
          <w:highlight w:val="none"/>
        </w:rPr>
        <w:t>承包人质量控制责任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承包人就本工程的工程质量向发包人负责，其职责包括但不限于下列内容：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⑴编制和审查施工技术方案，确定特殊工程的施工技术措施，制定工程质量保证体系；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⑵提供和组织足够的工程质量控制和检测人员，检查和控制工程施工质量；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⑶控制施工所用的材料、设备，包括承包人、分包人采购的材料、设备，使其不低于标准、规范、设计文件和合同约定的标准；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⑷参加所有工程的验收工作，包括隐蔽验收、中间验收和竣工验收，并组织分包人参加工程竣工验收；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⑸按照有关信息化管理的要求，在深圳市质量安全监管职能平台及时上传、报送有关质量检查、监测和整改情况</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⑹负责组织分包人共同承担缺陷责任期的工程保修责任。</w:t>
      </w:r>
    </w:p>
    <w:p>
      <w:pPr>
        <w:adjustRightInd w:val="0"/>
        <w:snapToGrid w:val="0"/>
        <w:spacing w:line="360" w:lineRule="auto"/>
        <w:ind w:left="359"/>
        <w:rPr>
          <w:color w:val="auto"/>
          <w:highlight w:val="none"/>
        </w:rPr>
      </w:pPr>
      <w:r>
        <w:rPr>
          <w:b/>
          <w:color w:val="auto"/>
          <w:highlight w:val="none"/>
        </w:rPr>
        <w:t>15.4监理人</w:t>
      </w:r>
      <w:r>
        <w:rPr>
          <w:rFonts w:hint="eastAsia"/>
          <w:b/>
          <w:color w:val="auto"/>
          <w:highlight w:val="none"/>
        </w:rPr>
        <w:t>质量控制责任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监理</w:t>
      </w:r>
      <w:r>
        <w:rPr>
          <w:color w:val="auto"/>
          <w:highlight w:val="none"/>
        </w:rPr>
        <w:t>人应按照法律规定及合同约定完成与工程质量有关的各项工作</w:t>
      </w:r>
      <w:r>
        <w:rPr>
          <w:rFonts w:hint="eastAsia"/>
          <w:color w:val="auto"/>
          <w:highlight w:val="none"/>
        </w:rPr>
        <w:t>，其职责包括但不限于下列内容：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w:t>
      </w:r>
      <w:r>
        <w:rPr>
          <w:rFonts w:hint="eastAsia"/>
          <w:color w:val="auto"/>
          <w:highlight w:val="none"/>
        </w:rPr>
        <w:t>。</w:t>
      </w:r>
      <w:r>
        <w:rPr>
          <w:color w:val="auto"/>
          <w:highlight w:val="none"/>
        </w:rPr>
        <w:t>监理人为此进行的检查和检验，不免除或减轻承包人按照合同约定应当承担的责任。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监理人的检查和检验影响施工正常进行的，且经检查检验不合格的，影响正常施工的费用由承包人承担，工期不予顺延；经检查检验合格的，由此增加的费用和（或）延误的工期由发包人承担。</w:t>
      </w:r>
    </w:p>
    <w:p>
      <w:pPr>
        <w:adjustRightInd w:val="0"/>
        <w:snapToGrid w:val="0"/>
        <w:spacing w:line="360" w:lineRule="auto"/>
        <w:ind w:left="359"/>
        <w:rPr>
          <w:color w:val="auto"/>
          <w:highlight w:val="none"/>
        </w:rPr>
      </w:pPr>
      <w:r>
        <w:rPr>
          <w:b/>
          <w:color w:val="auto"/>
          <w:highlight w:val="none"/>
        </w:rPr>
        <w:t>15.5</w:t>
      </w:r>
      <w:r>
        <w:rPr>
          <w:rFonts w:hint="eastAsia"/>
          <w:b/>
          <w:color w:val="auto"/>
          <w:highlight w:val="none"/>
        </w:rPr>
        <w:t>工程隐蔽前的检测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承包人应当对工程隐蔽部位进行自检，并经自检确认是否具备覆盖条件。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⑵没有</w:t>
      </w:r>
      <w:r>
        <w:rPr>
          <w:color w:val="auto"/>
          <w:highlight w:val="none"/>
        </w:rPr>
        <w:t>监理人</w:t>
      </w:r>
      <w:r>
        <w:rPr>
          <w:rFonts w:hint="eastAsia"/>
          <w:color w:val="auto"/>
          <w:highlight w:val="none"/>
        </w:rPr>
        <w:t>的批准，任何工程均不得隐蔽。当本工程任何部分具备隐蔽条件时，承包人应提前24小时通知</w:t>
      </w:r>
      <w:r>
        <w:rPr>
          <w:color w:val="auto"/>
          <w:highlight w:val="none"/>
        </w:rPr>
        <w:t>监理人</w:t>
      </w:r>
      <w:r>
        <w:rPr>
          <w:rFonts w:hint="eastAsia"/>
          <w:color w:val="auto"/>
          <w:highlight w:val="none"/>
        </w:rPr>
        <w:t>，告知检测的时间、内容和地点，保证</w:t>
      </w:r>
      <w:r>
        <w:rPr>
          <w:color w:val="auto"/>
          <w:highlight w:val="none"/>
        </w:rPr>
        <w:t>监理人</w:t>
      </w:r>
      <w:r>
        <w:rPr>
          <w:rFonts w:hint="eastAsia"/>
          <w:color w:val="auto"/>
          <w:highlight w:val="none"/>
        </w:rPr>
        <w:t>有充分的时间对隐蔽工程进行检测，并为</w:t>
      </w:r>
      <w:r>
        <w:rPr>
          <w:color w:val="auto"/>
          <w:highlight w:val="none"/>
        </w:rPr>
        <w:t>监理人</w:t>
      </w:r>
      <w:r>
        <w:rPr>
          <w:rFonts w:hint="eastAsia"/>
          <w:color w:val="auto"/>
          <w:highlight w:val="none"/>
        </w:rPr>
        <w:t>提供一切必要的资料和协助。</w:t>
      </w:r>
      <w:r>
        <w:rPr>
          <w:color w:val="auto"/>
          <w:highlight w:val="none"/>
        </w:rPr>
        <w:t>监理人</w:t>
      </w:r>
      <w:r>
        <w:rPr>
          <w:rFonts w:hint="eastAsia"/>
          <w:color w:val="auto"/>
          <w:highlight w:val="none"/>
        </w:rPr>
        <w:t>应按时参加隐蔽工程的检测，不得无故拖延，除非认为没有必要检测，并就此通知承包人。</w:t>
      </w:r>
      <w:r>
        <w:rPr>
          <w:color w:val="auto"/>
          <w:highlight w:val="none"/>
        </w:rPr>
        <w:t>监理人</w:t>
      </w:r>
      <w:r>
        <w:rPr>
          <w:rFonts w:hint="eastAsia"/>
          <w:color w:val="auto"/>
          <w:highlight w:val="none"/>
        </w:rPr>
        <w:t>在组织隐蔽工程验收时，应通知发包人及政府有关部门派人参加。</w:t>
      </w:r>
    </w:p>
    <w:p>
      <w:pPr>
        <w:tabs>
          <w:tab w:val="left" w:pos="1620"/>
          <w:tab w:val="left" w:pos="2340"/>
        </w:tabs>
        <w:adjustRightInd w:val="0"/>
        <w:snapToGrid w:val="0"/>
        <w:spacing w:line="360" w:lineRule="auto"/>
        <w:ind w:left="899"/>
        <w:rPr>
          <w:color w:val="auto"/>
          <w:highlight w:val="none"/>
        </w:rPr>
      </w:pPr>
      <w:r>
        <w:rPr>
          <w:color w:val="auto"/>
          <w:highlight w:val="none"/>
        </w:rPr>
        <w:t>⑶</w:t>
      </w:r>
      <w:r>
        <w:rPr>
          <w:rFonts w:hint="eastAsia"/>
          <w:color w:val="auto"/>
          <w:highlight w:val="none"/>
        </w:rPr>
        <w:t>无论</w:t>
      </w:r>
      <w:r>
        <w:rPr>
          <w:color w:val="auto"/>
          <w:highlight w:val="none"/>
        </w:rPr>
        <w:t>监理人</w:t>
      </w:r>
      <w:r>
        <w:rPr>
          <w:rFonts w:hint="eastAsia"/>
          <w:color w:val="auto"/>
          <w:highlight w:val="none"/>
        </w:rPr>
        <w:t>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w:t>
      </w:r>
      <w:r>
        <w:rPr>
          <w:color w:val="auto"/>
          <w:highlight w:val="none"/>
        </w:rPr>
        <w:t>监理人</w:t>
      </w:r>
      <w:r>
        <w:rPr>
          <w:rFonts w:hint="eastAsia"/>
          <w:color w:val="auto"/>
          <w:highlight w:val="none"/>
        </w:rPr>
        <w:t>的指令重新施工，直到检测合格，并承担由此发生的全部费用，工期不予顺延。</w:t>
      </w:r>
    </w:p>
    <w:p>
      <w:pPr>
        <w:tabs>
          <w:tab w:val="left" w:pos="1620"/>
          <w:tab w:val="left" w:pos="2340"/>
        </w:tabs>
        <w:adjustRightInd w:val="0"/>
        <w:snapToGrid w:val="0"/>
        <w:spacing w:line="360" w:lineRule="auto"/>
        <w:ind w:left="899"/>
        <w:rPr>
          <w:color w:val="auto"/>
          <w:highlight w:val="none"/>
        </w:rPr>
      </w:pPr>
      <w:r>
        <w:rPr>
          <w:color w:val="auto"/>
          <w:highlight w:val="none"/>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pPr>
        <w:adjustRightInd w:val="0"/>
        <w:snapToGrid w:val="0"/>
        <w:spacing w:line="360" w:lineRule="auto"/>
        <w:ind w:left="359"/>
        <w:rPr>
          <w:color w:val="auto"/>
          <w:highlight w:val="none"/>
        </w:rPr>
      </w:pPr>
      <w:r>
        <w:rPr>
          <w:b/>
          <w:color w:val="auto"/>
          <w:highlight w:val="none"/>
        </w:rPr>
        <w:t>15.6</w:t>
      </w:r>
      <w:r>
        <w:rPr>
          <w:rFonts w:hint="eastAsia"/>
          <w:b/>
          <w:color w:val="auto"/>
          <w:highlight w:val="none"/>
        </w:rPr>
        <w:t>防水检测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pPr>
        <w:adjustRightInd w:val="0"/>
        <w:snapToGrid w:val="0"/>
        <w:spacing w:line="360" w:lineRule="auto"/>
        <w:ind w:left="359"/>
        <w:rPr>
          <w:color w:val="auto"/>
          <w:highlight w:val="none"/>
        </w:rPr>
      </w:pPr>
      <w:r>
        <w:rPr>
          <w:b/>
          <w:color w:val="auto"/>
          <w:highlight w:val="none"/>
        </w:rPr>
        <w:t>15.7</w:t>
      </w:r>
      <w:r>
        <w:rPr>
          <w:rFonts w:hint="eastAsia"/>
          <w:b/>
          <w:color w:val="auto"/>
          <w:highlight w:val="none"/>
        </w:rPr>
        <w:t>工程质量检测费用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工程质量检验检测项目在</w:t>
      </w:r>
      <w:r>
        <w:rPr>
          <w:rFonts w:hint="eastAsia"/>
          <w:b/>
          <w:i/>
          <w:color w:val="auto"/>
          <w:highlight w:val="none"/>
        </w:rPr>
        <w:t>专用条款</w:t>
      </w:r>
      <w:r>
        <w:rPr>
          <w:rFonts w:hint="eastAsia"/>
          <w:color w:val="auto"/>
          <w:highlight w:val="none"/>
        </w:rPr>
        <w:t>中约定，检测费用由发包人承担。因承包人原因导致检测结果不合格的，承包人承担本次检测的所有检测费用，并无偿返工、负责修复。</w:t>
      </w:r>
    </w:p>
    <w:p>
      <w:pPr>
        <w:adjustRightInd w:val="0"/>
        <w:snapToGrid w:val="0"/>
        <w:spacing w:line="360" w:lineRule="auto"/>
        <w:ind w:left="359"/>
        <w:rPr>
          <w:color w:val="auto"/>
          <w:highlight w:val="none"/>
        </w:rPr>
      </w:pPr>
      <w:r>
        <w:rPr>
          <w:b/>
          <w:color w:val="auto"/>
          <w:highlight w:val="none"/>
        </w:rPr>
        <w:t>15.8</w:t>
      </w:r>
      <w:r>
        <w:rPr>
          <w:rFonts w:hint="eastAsia"/>
          <w:b/>
          <w:color w:val="auto"/>
          <w:highlight w:val="none"/>
        </w:rPr>
        <w:t>质量争议检测</w:t>
      </w:r>
    </w:p>
    <w:p>
      <w:pPr>
        <w:tabs>
          <w:tab w:val="left" w:pos="1620"/>
          <w:tab w:val="left" w:pos="2340"/>
        </w:tabs>
        <w:adjustRightInd w:val="0"/>
        <w:snapToGrid w:val="0"/>
        <w:spacing w:line="360" w:lineRule="auto"/>
        <w:ind w:left="899"/>
        <w:rPr>
          <w:color w:val="auto"/>
          <w:highlight w:val="none"/>
        </w:rPr>
      </w:pPr>
      <w:r>
        <w:rPr>
          <w:color w:val="auto"/>
          <w:highlight w:val="none"/>
        </w:rPr>
        <w:t>承发包双方对工程质量有争议的，由双方协商确定的工程质量检测机构鉴定，由此产生的费用及因此造成的损失，由责任方承担。承发包双方均有责任的，由双方根据其责任分别承担。</w:t>
      </w:r>
    </w:p>
    <w:p>
      <w:pPr>
        <w:adjustRightInd w:val="0"/>
        <w:snapToGrid w:val="0"/>
        <w:spacing w:line="360" w:lineRule="auto"/>
        <w:ind w:left="178"/>
        <w:rPr>
          <w:color w:val="auto"/>
          <w:sz w:val="28"/>
          <w:highlight w:val="none"/>
        </w:rPr>
      </w:pPr>
      <w:r>
        <w:rPr>
          <w:b/>
          <w:color w:val="auto"/>
          <w:sz w:val="28"/>
          <w:highlight w:val="none"/>
        </w:rPr>
        <w:t>16</w:t>
      </w:r>
      <w:r>
        <w:rPr>
          <w:rFonts w:hint="eastAsia"/>
          <w:b/>
          <w:color w:val="auto"/>
          <w:sz w:val="28"/>
          <w:highlight w:val="none"/>
        </w:rPr>
        <w:t>工程试运行</w:t>
      </w:r>
    </w:p>
    <w:p>
      <w:pPr>
        <w:adjustRightInd w:val="0"/>
        <w:snapToGrid w:val="0"/>
        <w:spacing w:line="360" w:lineRule="auto"/>
        <w:ind w:left="359"/>
        <w:rPr>
          <w:color w:val="auto"/>
          <w:highlight w:val="none"/>
        </w:rPr>
      </w:pPr>
      <w:r>
        <w:rPr>
          <w:b/>
          <w:color w:val="auto"/>
          <w:highlight w:val="none"/>
        </w:rPr>
        <w:t>16.1</w:t>
      </w:r>
      <w:r>
        <w:rPr>
          <w:rFonts w:hint="eastAsia"/>
          <w:b/>
          <w:color w:val="auto"/>
          <w:highlight w:val="none"/>
        </w:rPr>
        <w:t>工程试运行内容和程序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如发包人和承包人约定本工程需要试运行的，双方在</w:t>
      </w:r>
      <w:r>
        <w:rPr>
          <w:rFonts w:hint="eastAsia"/>
          <w:b/>
          <w:i/>
          <w:color w:val="auto"/>
          <w:highlight w:val="none"/>
        </w:rPr>
        <w:t>专用条款</w:t>
      </w:r>
      <w:r>
        <w:rPr>
          <w:rFonts w:hint="eastAsia"/>
          <w:color w:val="auto"/>
          <w:highlight w:val="none"/>
        </w:rPr>
        <w:t>中约定试运行的内容和费用承担。本工程试运行应按如下程序进行：</w:t>
      </w:r>
    </w:p>
    <w:p>
      <w:pPr>
        <w:tabs>
          <w:tab w:val="left" w:pos="1620"/>
          <w:tab w:val="left" w:pos="2340"/>
        </w:tabs>
        <w:adjustRightInd w:val="0"/>
        <w:snapToGrid w:val="0"/>
        <w:spacing w:line="360" w:lineRule="auto"/>
        <w:ind w:left="1079"/>
        <w:rPr>
          <w:color w:val="auto"/>
          <w:highlight w:val="none"/>
        </w:rPr>
      </w:pPr>
      <w:r>
        <w:rPr>
          <w:color w:val="auto"/>
          <w:highlight w:val="none"/>
        </w:rPr>
        <w:t>⑴</w:t>
      </w:r>
      <w:r>
        <w:rPr>
          <w:rFonts w:hint="eastAsia"/>
          <w:color w:val="auto"/>
          <w:highlight w:val="none"/>
        </w:rPr>
        <w:t>设备安装工程具备单机无负荷试运行条件，承包人组织试运行，并在试运行前48小时通知</w:t>
      </w:r>
      <w:r>
        <w:rPr>
          <w:color w:val="auto"/>
          <w:highlight w:val="none"/>
        </w:rPr>
        <w:t>监理人</w:t>
      </w:r>
      <w:r>
        <w:rPr>
          <w:rFonts w:hint="eastAsia"/>
          <w:color w:val="auto"/>
          <w:highlight w:val="none"/>
        </w:rPr>
        <w:t>，告知试运行的时间、内容和地点。承包人准备试运行记录，发包人应为试运行提供必要条件。</w:t>
      </w:r>
      <w:r>
        <w:rPr>
          <w:color w:val="auto"/>
          <w:highlight w:val="none"/>
        </w:rPr>
        <w:t>监理人</w:t>
      </w:r>
      <w:r>
        <w:rPr>
          <w:rFonts w:hint="eastAsia"/>
          <w:color w:val="auto"/>
          <w:highlight w:val="none"/>
        </w:rPr>
        <w:t>应按时参加试运行，试运行合格，</w:t>
      </w:r>
      <w:r>
        <w:rPr>
          <w:color w:val="auto"/>
          <w:highlight w:val="none"/>
        </w:rPr>
        <w:t>监理人</w:t>
      </w:r>
      <w:r>
        <w:rPr>
          <w:rFonts w:hint="eastAsia"/>
          <w:color w:val="auto"/>
          <w:highlight w:val="none"/>
        </w:rPr>
        <w:t>在试运行记录上签字。如在上述约定时间后12小时内，</w:t>
      </w:r>
      <w:r>
        <w:rPr>
          <w:color w:val="auto"/>
          <w:highlight w:val="none"/>
        </w:rPr>
        <w:t>监理人</w:t>
      </w:r>
      <w:r>
        <w:rPr>
          <w:rFonts w:hint="eastAsia"/>
          <w:color w:val="auto"/>
          <w:highlight w:val="none"/>
        </w:rPr>
        <w:t>未能到场参加试运行，承包人可自行试运行，事后</w:t>
      </w:r>
      <w:r>
        <w:rPr>
          <w:color w:val="auto"/>
          <w:highlight w:val="none"/>
        </w:rPr>
        <w:t>监理人</w:t>
      </w:r>
      <w:r>
        <w:rPr>
          <w:rFonts w:hint="eastAsia"/>
          <w:color w:val="auto"/>
          <w:highlight w:val="none"/>
        </w:rPr>
        <w:t>应认可承包人所作的试运行记录。</w:t>
      </w:r>
    </w:p>
    <w:p>
      <w:pPr>
        <w:tabs>
          <w:tab w:val="left" w:pos="1620"/>
          <w:tab w:val="left" w:pos="2340"/>
        </w:tabs>
        <w:adjustRightInd w:val="0"/>
        <w:snapToGrid w:val="0"/>
        <w:spacing w:line="360" w:lineRule="auto"/>
        <w:ind w:left="1079"/>
        <w:rPr>
          <w:color w:val="auto"/>
          <w:highlight w:val="none"/>
        </w:rPr>
      </w:pPr>
      <w:r>
        <w:rPr>
          <w:color w:val="auto"/>
          <w:highlight w:val="none"/>
        </w:rPr>
        <w:t>⑵</w:t>
      </w:r>
      <w:r>
        <w:rPr>
          <w:rFonts w:hint="eastAsia"/>
          <w:color w:val="auto"/>
          <w:highlight w:val="none"/>
        </w:rPr>
        <w:t>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tabs>
          <w:tab w:val="left" w:pos="1620"/>
          <w:tab w:val="left" w:pos="2340"/>
        </w:tabs>
        <w:adjustRightInd w:val="0"/>
        <w:snapToGrid w:val="0"/>
        <w:spacing w:line="360" w:lineRule="auto"/>
        <w:ind w:left="1079"/>
        <w:rPr>
          <w:color w:val="auto"/>
          <w:highlight w:val="none"/>
        </w:rPr>
      </w:pPr>
      <w:r>
        <w:rPr>
          <w:color w:val="auto"/>
          <w:highlight w:val="none"/>
        </w:rPr>
        <w:t>⑶</w:t>
      </w:r>
      <w:r>
        <w:rPr>
          <w:rFonts w:hint="eastAsia"/>
          <w:color w:val="auto"/>
          <w:highlight w:val="none"/>
        </w:rPr>
        <w:t>投料试运行应在工程竣工验收后由发包人负责，如发包人要求在工程竣工验收前进行或需要承包人配合时，应征得承包人同意，并另行签订补充协议。</w:t>
      </w:r>
    </w:p>
    <w:p>
      <w:pPr>
        <w:adjustRightInd w:val="0"/>
        <w:snapToGrid w:val="0"/>
        <w:spacing w:line="360" w:lineRule="auto"/>
        <w:ind w:left="359"/>
        <w:rPr>
          <w:color w:val="auto"/>
          <w:highlight w:val="none"/>
        </w:rPr>
      </w:pPr>
      <w:r>
        <w:rPr>
          <w:b/>
          <w:color w:val="auto"/>
          <w:highlight w:val="none"/>
        </w:rPr>
        <w:t>16.2</w:t>
      </w:r>
      <w:r>
        <w:rPr>
          <w:rFonts w:hint="eastAsia"/>
          <w:b/>
          <w:color w:val="auto"/>
          <w:highlight w:val="none"/>
        </w:rPr>
        <w:t>工程试运行中双方的责任</w:t>
      </w:r>
    </w:p>
    <w:p>
      <w:pPr>
        <w:tabs>
          <w:tab w:val="left" w:pos="1620"/>
          <w:tab w:val="left" w:pos="2340"/>
        </w:tabs>
        <w:adjustRightInd w:val="0"/>
        <w:snapToGrid w:val="0"/>
        <w:spacing w:line="360" w:lineRule="auto"/>
        <w:ind w:left="899"/>
        <w:rPr>
          <w:color w:val="auto"/>
          <w:highlight w:val="none"/>
        </w:rPr>
      </w:pPr>
      <w:r>
        <w:rPr>
          <w:color w:val="auto"/>
          <w:highlight w:val="none"/>
        </w:rPr>
        <w:t>⑴</w:t>
      </w:r>
      <w:r>
        <w:rPr>
          <w:rFonts w:hint="eastAsia"/>
          <w:color w:val="auto"/>
          <w:highlight w:val="none"/>
        </w:rPr>
        <w:t>由于设计原因试运行达不到验收要求，发包人应要求</w:t>
      </w:r>
      <w:r>
        <w:rPr>
          <w:color w:val="auto"/>
          <w:highlight w:val="none"/>
        </w:rPr>
        <w:t>设计人</w:t>
      </w:r>
      <w:r>
        <w:rPr>
          <w:rFonts w:hint="eastAsia"/>
          <w:color w:val="auto"/>
          <w:highlight w:val="none"/>
        </w:rPr>
        <w:t>修改设计，承包人按修改后的设计重新安装。发包人承担修改、拆除及重新安装的费用，工期相应顺延。</w:t>
      </w:r>
    </w:p>
    <w:p>
      <w:pPr>
        <w:tabs>
          <w:tab w:val="left" w:pos="1620"/>
          <w:tab w:val="left" w:pos="2340"/>
        </w:tabs>
        <w:adjustRightInd w:val="0"/>
        <w:snapToGrid w:val="0"/>
        <w:spacing w:line="360" w:lineRule="auto"/>
        <w:ind w:left="899"/>
        <w:rPr>
          <w:color w:val="auto"/>
          <w:highlight w:val="none"/>
        </w:rPr>
      </w:pPr>
      <w:r>
        <w:rPr>
          <w:color w:val="auto"/>
          <w:highlight w:val="none"/>
        </w:rPr>
        <w:t>⑵</w:t>
      </w:r>
      <w:r>
        <w:rPr>
          <w:rFonts w:hint="eastAsia"/>
          <w:color w:val="auto"/>
          <w:highlight w:val="none"/>
        </w:rPr>
        <w:t>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adjustRightInd w:val="0"/>
        <w:snapToGrid w:val="0"/>
        <w:spacing w:line="360" w:lineRule="auto"/>
        <w:ind w:left="899"/>
        <w:rPr>
          <w:color w:val="auto"/>
          <w:highlight w:val="none"/>
        </w:rPr>
      </w:pPr>
      <w:r>
        <w:rPr>
          <w:color w:val="auto"/>
          <w:highlight w:val="none"/>
        </w:rPr>
        <w:t>⑶</w:t>
      </w:r>
      <w:r>
        <w:rPr>
          <w:rFonts w:hint="eastAsia"/>
          <w:color w:val="auto"/>
          <w:highlight w:val="none"/>
        </w:rPr>
        <w:t>由于承包人施工原因试运行达不到验收要求，承包人应按</w:t>
      </w:r>
      <w:r>
        <w:rPr>
          <w:color w:val="auto"/>
          <w:highlight w:val="none"/>
        </w:rPr>
        <w:t>监理人</w:t>
      </w:r>
      <w:r>
        <w:rPr>
          <w:rFonts w:hint="eastAsia"/>
          <w:color w:val="auto"/>
          <w:highlight w:val="none"/>
        </w:rPr>
        <w:t>要求重新安装和试运行，并承担有关费用，工期不予顺延。</w:t>
      </w:r>
    </w:p>
    <w:p>
      <w:pPr>
        <w:tabs>
          <w:tab w:val="left" w:pos="1620"/>
          <w:tab w:val="left" w:pos="2340"/>
        </w:tabs>
        <w:adjustRightInd w:val="0"/>
        <w:snapToGrid w:val="0"/>
        <w:spacing w:line="360" w:lineRule="auto"/>
        <w:ind w:left="899"/>
        <w:rPr>
          <w:color w:val="auto"/>
          <w:highlight w:val="none"/>
        </w:rPr>
      </w:pPr>
      <w:r>
        <w:rPr>
          <w:color w:val="auto"/>
          <w:highlight w:val="none"/>
        </w:rPr>
        <w:t>⑷监理人</w:t>
      </w:r>
      <w:r>
        <w:rPr>
          <w:rFonts w:hint="eastAsia"/>
          <w:color w:val="auto"/>
          <w:highlight w:val="none"/>
        </w:rPr>
        <w:t>在试运行合格后不在试运行记录上签字，试运行结束24小时后，视为</w:t>
      </w:r>
      <w:r>
        <w:rPr>
          <w:color w:val="auto"/>
          <w:highlight w:val="none"/>
        </w:rPr>
        <w:t>监理人</w:t>
      </w:r>
      <w:r>
        <w:rPr>
          <w:rFonts w:hint="eastAsia"/>
          <w:color w:val="auto"/>
          <w:highlight w:val="none"/>
        </w:rPr>
        <w:t>已认可试运行记录，承包人可继续施工或办理竣工手续。</w:t>
      </w:r>
    </w:p>
    <w:p>
      <w:pPr>
        <w:tabs>
          <w:tab w:val="left" w:pos="1620"/>
          <w:tab w:val="left" w:pos="2340"/>
        </w:tabs>
        <w:adjustRightInd w:val="0"/>
        <w:snapToGrid w:val="0"/>
        <w:spacing w:line="360" w:lineRule="auto"/>
        <w:ind w:left="899"/>
        <w:rPr>
          <w:color w:val="auto"/>
          <w:highlight w:val="none"/>
        </w:rPr>
      </w:pPr>
      <w:r>
        <w:rPr>
          <w:color w:val="auto"/>
          <w:highlight w:val="none"/>
        </w:rPr>
        <w:t>⑸</w:t>
      </w:r>
      <w:r>
        <w:rPr>
          <w:rFonts w:hint="eastAsia"/>
          <w:color w:val="auto"/>
          <w:highlight w:val="none"/>
        </w:rPr>
        <w:t>试运行费用除已包括在签约合同价之内的或专用条款另有约定的，均由发包人承担。</w:t>
      </w:r>
    </w:p>
    <w:p>
      <w:pPr>
        <w:adjustRightInd w:val="0"/>
        <w:snapToGrid w:val="0"/>
        <w:spacing w:line="360" w:lineRule="auto"/>
        <w:ind w:left="178"/>
        <w:rPr>
          <w:color w:val="auto"/>
          <w:sz w:val="28"/>
          <w:highlight w:val="none"/>
        </w:rPr>
      </w:pPr>
      <w:r>
        <w:rPr>
          <w:b/>
          <w:color w:val="auto"/>
          <w:sz w:val="28"/>
          <w:highlight w:val="none"/>
        </w:rPr>
        <w:t>17</w:t>
      </w:r>
      <w:r>
        <w:rPr>
          <w:rFonts w:hint="eastAsia"/>
          <w:b/>
          <w:color w:val="auto"/>
          <w:sz w:val="28"/>
          <w:highlight w:val="none"/>
        </w:rPr>
        <w:t>安全文明施工与环境保护</w:t>
      </w:r>
    </w:p>
    <w:p>
      <w:pPr>
        <w:adjustRightInd w:val="0"/>
        <w:snapToGrid w:val="0"/>
        <w:spacing w:line="360" w:lineRule="auto"/>
        <w:ind w:left="359"/>
        <w:rPr>
          <w:color w:val="auto"/>
          <w:highlight w:val="none"/>
        </w:rPr>
      </w:pPr>
      <w:r>
        <w:rPr>
          <w:b/>
          <w:color w:val="auto"/>
          <w:highlight w:val="none"/>
        </w:rPr>
        <w:t>17.1</w:t>
      </w:r>
      <w:r>
        <w:rPr>
          <w:rFonts w:hint="eastAsia"/>
          <w:b/>
          <w:color w:val="auto"/>
          <w:highlight w:val="none"/>
        </w:rPr>
        <w:t>发包人的安全文明施工责任</w:t>
      </w:r>
    </w:p>
    <w:p>
      <w:pPr>
        <w:tabs>
          <w:tab w:val="left" w:pos="1620"/>
          <w:tab w:val="left" w:pos="2340"/>
        </w:tabs>
        <w:adjustRightInd w:val="0"/>
        <w:snapToGrid w:val="0"/>
        <w:spacing w:line="360" w:lineRule="auto"/>
        <w:ind w:left="899"/>
        <w:rPr>
          <w:color w:val="auto"/>
          <w:highlight w:val="none"/>
        </w:rPr>
      </w:pPr>
      <w:r>
        <w:rPr>
          <w:color w:val="auto"/>
          <w:highlight w:val="none"/>
        </w:rPr>
        <w:t>⑴</w:t>
      </w:r>
      <w:r>
        <w:rPr>
          <w:rFonts w:hint="eastAsia"/>
          <w:color w:val="auto"/>
          <w:highlight w:val="none"/>
        </w:rPr>
        <w:t>发包人应按照深圳市建设行政主管部门发布的施工安全文明施工措施费清单管理与支付办法，编制安全文明施工措施费清单并向承包人按时足额支付安全文明措施费。</w:t>
      </w:r>
    </w:p>
    <w:p>
      <w:pPr>
        <w:tabs>
          <w:tab w:val="left" w:pos="1620"/>
          <w:tab w:val="left" w:pos="2340"/>
        </w:tabs>
        <w:adjustRightInd w:val="0"/>
        <w:snapToGrid w:val="0"/>
        <w:spacing w:line="360" w:lineRule="auto"/>
        <w:ind w:left="899"/>
        <w:rPr>
          <w:color w:val="auto"/>
          <w:highlight w:val="none"/>
        </w:rPr>
      </w:pPr>
      <w:r>
        <w:rPr>
          <w:color w:val="auto"/>
          <w:highlight w:val="none"/>
        </w:rPr>
        <w:t>⑵</w:t>
      </w:r>
      <w:r>
        <w:rPr>
          <w:rFonts w:hint="eastAsia"/>
          <w:color w:val="auto"/>
          <w:highlight w:val="none"/>
        </w:rPr>
        <w:t>发包人应督促承包人落实安全文明施工标准化管理的相关措施和要求，对安全文明施工措施费的专款专用进行核查。</w:t>
      </w:r>
    </w:p>
    <w:p>
      <w:pPr>
        <w:tabs>
          <w:tab w:val="left" w:pos="1620"/>
          <w:tab w:val="left" w:pos="2340"/>
        </w:tabs>
        <w:adjustRightInd w:val="0"/>
        <w:snapToGrid w:val="0"/>
        <w:spacing w:line="360" w:lineRule="auto"/>
        <w:ind w:left="899"/>
        <w:rPr>
          <w:color w:val="auto"/>
          <w:highlight w:val="none"/>
        </w:rPr>
      </w:pPr>
      <w:r>
        <w:rPr>
          <w:color w:val="auto"/>
          <w:highlight w:val="none"/>
        </w:rPr>
        <w:t>⑶</w:t>
      </w:r>
      <w:r>
        <w:rPr>
          <w:rFonts w:hint="eastAsia"/>
          <w:color w:val="auto"/>
          <w:highlight w:val="none"/>
        </w:rPr>
        <w:t>发包人应对其在施工现场的工作人员进行安全教育，并对他们的安全负责。</w:t>
      </w:r>
    </w:p>
    <w:p>
      <w:pPr>
        <w:tabs>
          <w:tab w:val="left" w:pos="1620"/>
          <w:tab w:val="left" w:pos="2340"/>
        </w:tabs>
        <w:adjustRightInd w:val="0"/>
        <w:snapToGrid w:val="0"/>
        <w:spacing w:line="360" w:lineRule="auto"/>
        <w:ind w:left="899"/>
        <w:rPr>
          <w:color w:val="auto"/>
          <w:highlight w:val="none"/>
        </w:rPr>
      </w:pPr>
      <w:r>
        <w:rPr>
          <w:color w:val="auto"/>
          <w:highlight w:val="none"/>
        </w:rPr>
        <w:t>⑷</w:t>
      </w:r>
      <w:r>
        <w:rPr>
          <w:rFonts w:hint="eastAsia"/>
          <w:color w:val="auto"/>
          <w:highlight w:val="none"/>
        </w:rPr>
        <w:t>发包人不得要求承包人违反安全文明施工的规定进行施工。</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⑸由于发包人原因造成的安全事故，由发包人承担相应责任及发生的费用，并顺延延误的工期。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w:t>
      </w:r>
      <w:r>
        <w:rPr>
          <w:rFonts w:hint="eastAsia"/>
          <w:b/>
          <w:i/>
          <w:color w:val="auto"/>
          <w:highlight w:val="none"/>
        </w:rPr>
        <w:t>专用条款</w:t>
      </w:r>
      <w:r>
        <w:rPr>
          <w:rFonts w:hint="eastAsia"/>
          <w:color w:val="auto"/>
          <w:highlight w:val="none"/>
        </w:rPr>
        <w:t>约定的安全文明施工责任。</w:t>
      </w:r>
    </w:p>
    <w:p>
      <w:pPr>
        <w:adjustRightInd w:val="0"/>
        <w:snapToGrid w:val="0"/>
        <w:spacing w:line="360" w:lineRule="auto"/>
        <w:ind w:left="359"/>
        <w:rPr>
          <w:color w:val="auto"/>
          <w:highlight w:val="none"/>
        </w:rPr>
      </w:pPr>
      <w:r>
        <w:rPr>
          <w:b/>
          <w:color w:val="auto"/>
          <w:highlight w:val="none"/>
        </w:rPr>
        <w:t>17.2</w:t>
      </w:r>
      <w:r>
        <w:rPr>
          <w:rFonts w:hint="eastAsia"/>
          <w:b/>
          <w:color w:val="auto"/>
          <w:highlight w:val="none"/>
        </w:rPr>
        <w:t>承包人的安全文明施工责任</w:t>
      </w:r>
    </w:p>
    <w:p>
      <w:pPr>
        <w:tabs>
          <w:tab w:val="left" w:pos="1620"/>
          <w:tab w:val="left" w:pos="2340"/>
        </w:tabs>
        <w:adjustRightInd w:val="0"/>
        <w:snapToGrid w:val="0"/>
        <w:spacing w:line="360" w:lineRule="auto"/>
        <w:ind w:left="899"/>
        <w:rPr>
          <w:color w:val="auto"/>
          <w:highlight w:val="none"/>
        </w:rPr>
      </w:pPr>
      <w:r>
        <w:rPr>
          <w:color w:val="auto"/>
          <w:highlight w:val="none"/>
        </w:rPr>
        <w:t>⑴</w:t>
      </w:r>
      <w:r>
        <w:rPr>
          <w:rFonts w:hint="eastAsia"/>
          <w:color w:val="auto"/>
          <w:highlight w:val="none"/>
        </w:rPr>
        <w:t>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pPr>
        <w:tabs>
          <w:tab w:val="left" w:pos="1620"/>
          <w:tab w:val="left" w:pos="2340"/>
        </w:tabs>
        <w:adjustRightInd w:val="0"/>
        <w:snapToGrid w:val="0"/>
        <w:spacing w:line="360" w:lineRule="auto"/>
        <w:ind w:left="899"/>
        <w:rPr>
          <w:color w:val="auto"/>
          <w:highlight w:val="none"/>
        </w:rPr>
      </w:pPr>
      <w:r>
        <w:rPr>
          <w:color w:val="auto"/>
          <w:highlight w:val="none"/>
        </w:rPr>
        <w:t>⑵</w:t>
      </w:r>
      <w:r>
        <w:rPr>
          <w:rFonts w:hint="eastAsia"/>
          <w:color w:val="auto"/>
          <w:highlight w:val="none"/>
        </w:rPr>
        <w:t>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w:t>
      </w:r>
      <w:r>
        <w:rPr>
          <w:color w:val="auto"/>
          <w:highlight w:val="none"/>
        </w:rPr>
        <w:t>监理人</w:t>
      </w:r>
      <w:r>
        <w:rPr>
          <w:rFonts w:hint="eastAsia"/>
          <w:color w:val="auto"/>
          <w:highlight w:val="none"/>
        </w:rPr>
        <w:t>、发包人和建设行政主管部门反映情况。</w:t>
      </w:r>
    </w:p>
    <w:p>
      <w:pPr>
        <w:tabs>
          <w:tab w:val="left" w:pos="1620"/>
          <w:tab w:val="left" w:pos="2340"/>
        </w:tabs>
        <w:adjustRightInd w:val="0"/>
        <w:snapToGrid w:val="0"/>
        <w:spacing w:line="360" w:lineRule="auto"/>
        <w:ind w:left="899"/>
        <w:rPr>
          <w:color w:val="auto"/>
          <w:highlight w:val="none"/>
        </w:rPr>
      </w:pPr>
      <w:r>
        <w:rPr>
          <w:color w:val="auto"/>
          <w:highlight w:val="none"/>
        </w:rPr>
        <w:t>⑶承包人</w:t>
      </w:r>
      <w:r>
        <w:rPr>
          <w:rFonts w:hint="eastAsia"/>
          <w:color w:val="auto"/>
          <w:highlight w:val="none"/>
        </w:rPr>
        <w:t>施工现场应</w:t>
      </w:r>
      <w:r>
        <w:rPr>
          <w:color w:val="auto"/>
          <w:highlight w:val="none"/>
        </w:rPr>
        <w:t>配置必要的安全、文明施工设施与保护器材，设立安全警告标志牌，并为</w:t>
      </w:r>
      <w:r>
        <w:rPr>
          <w:rFonts w:hint="eastAsia"/>
          <w:color w:val="auto"/>
          <w:highlight w:val="none"/>
        </w:rPr>
        <w:t>施工</w:t>
      </w:r>
      <w:r>
        <w:rPr>
          <w:color w:val="auto"/>
          <w:highlight w:val="none"/>
        </w:rPr>
        <w:t>现场</w:t>
      </w:r>
      <w:r>
        <w:rPr>
          <w:rFonts w:hint="eastAsia"/>
          <w:color w:val="auto"/>
          <w:highlight w:val="none"/>
        </w:rPr>
        <w:t>人员</w:t>
      </w:r>
      <w:r>
        <w:rPr>
          <w:color w:val="auto"/>
          <w:highlight w:val="none"/>
        </w:rPr>
        <w:t>(包括发包人代表、监理人人员)提供必要的安全防护和劳动保护用品</w:t>
      </w:r>
      <w:r>
        <w:rPr>
          <w:rFonts w:hint="eastAsia"/>
          <w:b/>
          <w:bCs/>
          <w:color w:val="auto"/>
          <w:highlight w:val="none"/>
        </w:rPr>
        <w:t>。</w:t>
      </w:r>
      <w:r>
        <w:rPr>
          <w:color w:val="auto"/>
          <w:highlight w:val="none"/>
        </w:rPr>
        <w:t>施工作业人员未经安全生产教育培训，不得上岗作业。承包人有责任管制无关人员进入施工现场。</w:t>
      </w:r>
    </w:p>
    <w:p>
      <w:pPr>
        <w:tabs>
          <w:tab w:val="left" w:pos="1620"/>
          <w:tab w:val="left" w:pos="2340"/>
        </w:tabs>
        <w:adjustRightInd w:val="0"/>
        <w:snapToGrid w:val="0"/>
        <w:spacing w:line="360" w:lineRule="auto"/>
        <w:ind w:left="899"/>
        <w:rPr>
          <w:color w:val="auto"/>
          <w:highlight w:val="none"/>
        </w:rPr>
      </w:pPr>
      <w:r>
        <w:rPr>
          <w:color w:val="auto"/>
          <w:highlight w:val="none"/>
        </w:rPr>
        <w:t>⑷</w:t>
      </w:r>
      <w:r>
        <w:rPr>
          <w:rFonts w:hint="eastAsia"/>
          <w:color w:val="auto"/>
          <w:highlight w:val="none"/>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⑸发生重大伤亡及其他安全事故，承包人应通知</w:t>
      </w:r>
      <w:r>
        <w:rPr>
          <w:color w:val="auto"/>
          <w:highlight w:val="none"/>
        </w:rPr>
        <w:t>监理人</w:t>
      </w:r>
      <w:r>
        <w:rPr>
          <w:rFonts w:hint="eastAsia"/>
          <w:color w:val="auto"/>
          <w:highlight w:val="none"/>
        </w:rPr>
        <w:t>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w:t>
      </w:r>
      <w:r>
        <w:rPr>
          <w:color w:val="auto"/>
          <w:highlight w:val="none"/>
        </w:rPr>
        <w:t>承包人有责任维护发包人</w:t>
      </w:r>
      <w:r>
        <w:rPr>
          <w:rFonts w:hint="eastAsia"/>
          <w:color w:val="auto"/>
          <w:highlight w:val="none"/>
        </w:rPr>
        <w:t>的社会</w:t>
      </w:r>
      <w:r>
        <w:rPr>
          <w:color w:val="auto"/>
          <w:highlight w:val="none"/>
        </w:rPr>
        <w:t>形象，避免由于施工引起安全、文明施工和环境保护</w:t>
      </w:r>
      <w:r>
        <w:rPr>
          <w:rFonts w:hint="eastAsia"/>
          <w:color w:val="auto"/>
          <w:highlight w:val="none"/>
        </w:rPr>
        <w:t>(</w:t>
      </w:r>
      <w:r>
        <w:rPr>
          <w:color w:val="auto"/>
          <w:highlight w:val="none"/>
        </w:rPr>
        <w:t>如噪音、粉尘、排污等</w:t>
      </w:r>
      <w:r>
        <w:rPr>
          <w:rFonts w:hint="eastAsia"/>
          <w:color w:val="auto"/>
          <w:highlight w:val="none"/>
        </w:rPr>
        <w:t>)</w:t>
      </w:r>
      <w:r>
        <w:rPr>
          <w:color w:val="auto"/>
          <w:highlight w:val="none"/>
        </w:rPr>
        <w:t>问题而造成对发包人的索赔。由于上述问题造成的索赔由承包人承担全部责任</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w:t>
      </w:r>
      <w:r>
        <w:rPr>
          <w:color w:val="auto"/>
          <w:highlight w:val="none"/>
        </w:rPr>
        <w:t>在施工过程中，如遇到突发的地质变动、事先未知的地下施工障碍等影响施工安全的紧急情况，</w:t>
      </w:r>
      <w:r>
        <w:rPr>
          <w:rFonts w:hint="eastAsia"/>
          <w:color w:val="auto"/>
          <w:highlight w:val="none"/>
        </w:rPr>
        <w:t>承包人应及时报告</w:t>
      </w:r>
      <w:r>
        <w:rPr>
          <w:color w:val="auto"/>
          <w:highlight w:val="none"/>
        </w:rPr>
        <w:t>监理人</w:t>
      </w:r>
      <w:r>
        <w:rPr>
          <w:rFonts w:hint="eastAsia"/>
          <w:color w:val="auto"/>
          <w:highlight w:val="none"/>
        </w:rPr>
        <w:t>和发包人，按相关</w:t>
      </w:r>
      <w:r>
        <w:rPr>
          <w:color w:val="auto"/>
          <w:highlight w:val="none"/>
        </w:rPr>
        <w:t>部门</w:t>
      </w:r>
      <w:r>
        <w:rPr>
          <w:rFonts w:hint="eastAsia"/>
          <w:color w:val="auto"/>
          <w:highlight w:val="none"/>
        </w:rPr>
        <w:t>要求</w:t>
      </w:r>
      <w:r>
        <w:rPr>
          <w:color w:val="auto"/>
          <w:highlight w:val="none"/>
        </w:rPr>
        <w:t>采取应急措施。</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⑻承包人应按照有关信息化管理的要求，在深圳市质量安全监管职能平台及时上传、报送有关安全隐患检查和安全隐患整改情况。</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⑼</w:t>
      </w:r>
      <w:r>
        <w:rPr>
          <w:rFonts w:hint="eastAsia"/>
          <w:b/>
          <w:i/>
          <w:color w:val="auto"/>
          <w:highlight w:val="none"/>
        </w:rPr>
        <w:t>专用条款</w:t>
      </w:r>
      <w:r>
        <w:rPr>
          <w:rFonts w:hint="eastAsia"/>
          <w:color w:val="auto"/>
          <w:highlight w:val="none"/>
        </w:rPr>
        <w:t>约定的安全文明施工责任。</w:t>
      </w:r>
    </w:p>
    <w:p>
      <w:pPr>
        <w:adjustRightInd w:val="0"/>
        <w:snapToGrid w:val="0"/>
        <w:spacing w:line="360" w:lineRule="auto"/>
        <w:ind w:left="359"/>
        <w:rPr>
          <w:color w:val="auto"/>
          <w:highlight w:val="none"/>
        </w:rPr>
      </w:pPr>
      <w:r>
        <w:rPr>
          <w:b/>
          <w:color w:val="auto"/>
          <w:highlight w:val="none"/>
        </w:rPr>
        <w:t>17.3监理人</w:t>
      </w:r>
      <w:r>
        <w:rPr>
          <w:rFonts w:hint="eastAsia"/>
          <w:b/>
          <w:color w:val="auto"/>
          <w:highlight w:val="none"/>
        </w:rPr>
        <w:t>对安全文明的监督</w:t>
      </w:r>
    </w:p>
    <w:p>
      <w:pPr>
        <w:tabs>
          <w:tab w:val="left" w:pos="1620"/>
          <w:tab w:val="left" w:pos="2340"/>
        </w:tabs>
        <w:adjustRightInd w:val="0"/>
        <w:snapToGrid w:val="0"/>
        <w:spacing w:line="360" w:lineRule="auto"/>
        <w:ind w:left="899"/>
        <w:rPr>
          <w:color w:val="auto"/>
          <w:highlight w:val="none"/>
        </w:rPr>
      </w:pPr>
      <w:r>
        <w:rPr>
          <w:color w:val="auto"/>
          <w:highlight w:val="none"/>
        </w:rPr>
        <w:t>监理人</w:t>
      </w:r>
      <w:r>
        <w:rPr>
          <w:rFonts w:hint="eastAsia"/>
          <w:color w:val="auto"/>
          <w:highlight w:val="none"/>
        </w:rPr>
        <w:t>应当对承包人落实施工现场安全文明措施情况进行现场监督。对承包人已经落实的安全文明措施，</w:t>
      </w:r>
      <w:r>
        <w:rPr>
          <w:color w:val="auto"/>
          <w:highlight w:val="none"/>
        </w:rPr>
        <w:t>监理人</w:t>
      </w:r>
      <w:r>
        <w:rPr>
          <w:rFonts w:hint="eastAsia"/>
          <w:color w:val="auto"/>
          <w:highlight w:val="none"/>
        </w:rPr>
        <w:t>应当及时审查确认。</w:t>
      </w:r>
      <w:r>
        <w:rPr>
          <w:color w:val="auto"/>
          <w:highlight w:val="none"/>
        </w:rPr>
        <w:t>监理人</w:t>
      </w:r>
      <w:r>
        <w:rPr>
          <w:rFonts w:hint="eastAsia"/>
          <w:color w:val="auto"/>
          <w:highlight w:val="none"/>
        </w:rPr>
        <w:t>发现承包人未落实施工组织设计及专项施工方案中安全防护和文明施工措施的，有权责令其立即整改，承包人拒不整改或未按期限要求完成整改的，</w:t>
      </w:r>
      <w:r>
        <w:rPr>
          <w:color w:val="auto"/>
          <w:highlight w:val="none"/>
        </w:rPr>
        <w:t>监理人</w:t>
      </w:r>
      <w:r>
        <w:rPr>
          <w:rFonts w:hint="eastAsia"/>
          <w:color w:val="auto"/>
          <w:highlight w:val="none"/>
        </w:rPr>
        <w:t>应当及时向发包人和建设行政主管部门报告，必要时责令其暂停施工。</w:t>
      </w:r>
    </w:p>
    <w:p>
      <w:pPr>
        <w:adjustRightInd w:val="0"/>
        <w:snapToGrid w:val="0"/>
        <w:spacing w:line="360" w:lineRule="auto"/>
        <w:ind w:left="359"/>
        <w:rPr>
          <w:color w:val="auto"/>
          <w:highlight w:val="none"/>
        </w:rPr>
      </w:pPr>
      <w:r>
        <w:rPr>
          <w:b/>
          <w:color w:val="auto"/>
          <w:highlight w:val="none"/>
        </w:rPr>
        <w:t>17.4</w:t>
      </w:r>
      <w:r>
        <w:rPr>
          <w:rFonts w:hint="eastAsia"/>
          <w:b/>
          <w:color w:val="auto"/>
          <w:highlight w:val="none"/>
        </w:rPr>
        <w:t>安全文明措施费的专款专用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⑴承包人应确保施工现场安全文明措施费专款专用，在财务管理中单独列出安全文明措施项目费用清单及金额备查，并设立单独的安全文明措施费银行账户，接受发包人的监管。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⑵承包人应当按照分包合同约定及时向分包人支付施工现场安全文明措施费。承包人不按约定支付费用，造成分包人不能及时落实安全防护措施导致发生事故的，由承包人负主要责任。</w:t>
      </w:r>
    </w:p>
    <w:p>
      <w:pPr>
        <w:adjustRightInd w:val="0"/>
        <w:snapToGrid w:val="0"/>
        <w:spacing w:line="360" w:lineRule="auto"/>
        <w:ind w:left="359"/>
        <w:rPr>
          <w:color w:val="auto"/>
          <w:highlight w:val="none"/>
        </w:rPr>
      </w:pPr>
      <w:r>
        <w:rPr>
          <w:b/>
          <w:color w:val="auto"/>
          <w:highlight w:val="none"/>
        </w:rPr>
        <w:t>17.5</w:t>
      </w:r>
      <w:r>
        <w:rPr>
          <w:rFonts w:hint="eastAsia"/>
          <w:b/>
          <w:color w:val="auto"/>
          <w:highlight w:val="none"/>
        </w:rPr>
        <w:t>承包人的安全防护和现场作业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⑵承包人在动力设备、输电线路、地下管道、密封防震车间、易燃易爆地段、临街交通要道附近、放射毒害性环境中施工以及实施爆破作业、使用毒害性腐蚀性物品施工时，施工前应向</w:t>
      </w:r>
      <w:r>
        <w:rPr>
          <w:color w:val="auto"/>
          <w:highlight w:val="none"/>
        </w:rPr>
        <w:t>监理人</w:t>
      </w:r>
      <w:r>
        <w:rPr>
          <w:rFonts w:hint="eastAsia"/>
          <w:color w:val="auto"/>
          <w:highlight w:val="none"/>
        </w:rPr>
        <w:t>提出安全防护措施，经</w:t>
      </w:r>
      <w:r>
        <w:rPr>
          <w:color w:val="auto"/>
          <w:highlight w:val="none"/>
        </w:rPr>
        <w:t>监理人</w:t>
      </w:r>
      <w:r>
        <w:rPr>
          <w:rFonts w:hint="eastAsia"/>
          <w:color w:val="auto"/>
          <w:highlight w:val="none"/>
        </w:rPr>
        <w:t>认可后实施，由发包人承担相应安全防护措施费用。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⑶承包人应将其作业限制在现场内。在施工期间，承包人应保持现场没有障碍物，妥善存放和处理材料设备和承包人装备，及时从现场清除并运走任何残物、垃圾和不再需要的临时工程。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pPr>
        <w:adjustRightInd w:val="0"/>
        <w:snapToGrid w:val="0"/>
        <w:spacing w:line="360" w:lineRule="auto"/>
        <w:ind w:left="359"/>
        <w:rPr>
          <w:color w:val="auto"/>
          <w:highlight w:val="none"/>
        </w:rPr>
      </w:pPr>
      <w:r>
        <w:rPr>
          <w:b/>
          <w:color w:val="auto"/>
          <w:highlight w:val="none"/>
        </w:rPr>
        <w:t>17.6紧急情况</w:t>
      </w:r>
      <w:r>
        <w:rPr>
          <w:rFonts w:hint="eastAsia"/>
          <w:b/>
          <w:color w:val="auto"/>
          <w:highlight w:val="none"/>
        </w:rPr>
        <w:t>处理</w:t>
      </w:r>
    </w:p>
    <w:p>
      <w:pPr>
        <w:tabs>
          <w:tab w:val="left" w:pos="1620"/>
          <w:tab w:val="left" w:pos="2340"/>
        </w:tabs>
        <w:adjustRightInd w:val="0"/>
        <w:snapToGrid w:val="0"/>
        <w:spacing w:line="360" w:lineRule="auto"/>
        <w:ind w:left="899"/>
        <w:rPr>
          <w:color w:val="auto"/>
          <w:highlight w:val="none"/>
        </w:rPr>
      </w:pPr>
      <w:r>
        <w:rPr>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djustRightInd w:val="0"/>
        <w:snapToGrid w:val="0"/>
        <w:spacing w:line="360" w:lineRule="auto"/>
        <w:ind w:left="359"/>
        <w:rPr>
          <w:color w:val="auto"/>
          <w:highlight w:val="none"/>
        </w:rPr>
      </w:pPr>
      <w:r>
        <w:rPr>
          <w:b/>
          <w:color w:val="auto"/>
          <w:highlight w:val="none"/>
        </w:rPr>
        <w:t>17.7</w:t>
      </w:r>
      <w:r>
        <w:rPr>
          <w:rFonts w:hint="eastAsia"/>
          <w:b/>
          <w:color w:val="auto"/>
          <w:highlight w:val="none"/>
        </w:rPr>
        <w:t>事故处理</w:t>
      </w:r>
    </w:p>
    <w:p>
      <w:pPr>
        <w:tabs>
          <w:tab w:val="left" w:pos="1620"/>
          <w:tab w:val="left" w:pos="2340"/>
        </w:tabs>
        <w:adjustRightInd w:val="0"/>
        <w:snapToGrid w:val="0"/>
        <w:spacing w:line="360" w:lineRule="auto"/>
        <w:ind w:left="899"/>
        <w:rPr>
          <w:color w:val="auto"/>
          <w:highlight w:val="none"/>
        </w:rPr>
      </w:pPr>
      <w:r>
        <w:rPr>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360" w:lineRule="auto"/>
        <w:ind w:left="359"/>
        <w:rPr>
          <w:color w:val="auto"/>
          <w:highlight w:val="none"/>
        </w:rPr>
      </w:pPr>
      <w:r>
        <w:rPr>
          <w:b/>
          <w:color w:val="auto"/>
          <w:highlight w:val="none"/>
        </w:rPr>
        <w:t>17.8</w:t>
      </w:r>
      <w:r>
        <w:rPr>
          <w:rFonts w:hint="eastAsia"/>
          <w:b/>
          <w:color w:val="auto"/>
          <w:highlight w:val="none"/>
        </w:rPr>
        <w:t>承包人的环境保护责任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w:t>
      </w:r>
      <w:r>
        <w:rPr>
          <w:color w:val="auto"/>
          <w:highlight w:val="none"/>
        </w:rPr>
        <w:t>1)</w:t>
      </w:r>
      <w:r>
        <w:rPr>
          <w:rFonts w:hint="eastAsia"/>
          <w:color w:val="auto"/>
          <w:highlight w:val="none"/>
        </w:rPr>
        <w:t>发包人和承包人应按照《深圳市建筑废弃物管理办法》规定，在</w:t>
      </w:r>
      <w:r>
        <w:rPr>
          <w:rFonts w:hint="eastAsia"/>
          <w:i/>
          <w:color w:val="auto"/>
          <w:highlight w:val="none"/>
        </w:rPr>
        <w:t>专用条款</w:t>
      </w:r>
      <w:r>
        <w:rPr>
          <w:rFonts w:hint="eastAsia"/>
          <w:color w:val="auto"/>
          <w:highlight w:val="none"/>
        </w:rPr>
        <w:t>中约定施工现场建筑废弃物减量化目标、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w:t>
      </w:r>
      <w:r>
        <w:rPr>
          <w:color w:val="auto"/>
          <w:highlight w:val="none"/>
        </w:rPr>
        <w:t>2)</w:t>
      </w:r>
      <w:r>
        <w:rPr>
          <w:rFonts w:hint="eastAsia"/>
          <w:color w:val="auto"/>
          <w:highlight w:val="none"/>
        </w:rPr>
        <w:t>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w:t>
      </w:r>
      <w:r>
        <w:rPr>
          <w:color w:val="auto"/>
          <w:highlight w:val="none"/>
        </w:rPr>
        <w:t>3)承包人在施工期间，应</w:t>
      </w:r>
      <w:r>
        <w:rPr>
          <w:rFonts w:hint="eastAsia"/>
          <w:color w:val="auto"/>
          <w:highlight w:val="none"/>
        </w:rPr>
        <w:t>严格</w:t>
      </w:r>
      <w:r>
        <w:rPr>
          <w:color w:val="auto"/>
          <w:highlight w:val="none"/>
        </w:rPr>
        <w:t>执行《广东省建设项目环境管理条例》、《深圳经济特区环境保护条例》和《深圳经济特区环境噪声污染防治条例》等有关法规的规定，依法文明施工，尽可能减少施工对居民生活的影响。</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w:t>
      </w:r>
      <w:r>
        <w:rPr>
          <w:color w:val="auto"/>
          <w:highlight w:val="none"/>
        </w:rPr>
        <w:t>4)承包人在开工前应向</w:t>
      </w:r>
      <w:r>
        <w:rPr>
          <w:rFonts w:hint="eastAsia"/>
          <w:color w:val="auto"/>
          <w:highlight w:val="none"/>
        </w:rPr>
        <w:t>政府</w:t>
      </w:r>
      <w:r>
        <w:rPr>
          <w:color w:val="auto"/>
          <w:highlight w:val="none"/>
        </w:rPr>
        <w:t>环保部门申报施工期的环保方案。如需夜间连续施工，必须提前到</w:t>
      </w:r>
      <w:r>
        <w:rPr>
          <w:rFonts w:hint="eastAsia"/>
          <w:color w:val="auto"/>
          <w:highlight w:val="none"/>
        </w:rPr>
        <w:t>政府</w:t>
      </w:r>
      <w:r>
        <w:rPr>
          <w:color w:val="auto"/>
          <w:highlight w:val="none"/>
        </w:rPr>
        <w:t>环保部门申请核准手续。</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w:t>
      </w:r>
      <w:r>
        <w:rPr>
          <w:color w:val="auto"/>
          <w:highlight w:val="none"/>
        </w:rPr>
        <w:t>5)</w:t>
      </w:r>
      <w:r>
        <w:rPr>
          <w:rFonts w:hint="eastAsia"/>
          <w:color w:val="auto"/>
          <w:highlight w:val="none"/>
        </w:rPr>
        <w:t>承包人应使用符合《在用非道路移动机械用柴油机排气烟度排放限值及测量方法》（SZJG49-2015）特区技术规范要求的非道路移动机械。</w:t>
      </w:r>
    </w:p>
    <w:p>
      <w:pPr>
        <w:adjustRightInd w:val="0"/>
        <w:snapToGrid w:val="0"/>
        <w:spacing w:line="360" w:lineRule="auto"/>
        <w:ind w:left="178"/>
        <w:rPr>
          <w:color w:val="auto"/>
          <w:sz w:val="28"/>
          <w:highlight w:val="none"/>
        </w:rPr>
      </w:pPr>
      <w:r>
        <w:rPr>
          <w:b/>
          <w:color w:val="auto"/>
          <w:sz w:val="28"/>
          <w:highlight w:val="none"/>
        </w:rPr>
        <w:t>18</w:t>
      </w:r>
      <w:r>
        <w:rPr>
          <w:rFonts w:hint="eastAsia"/>
          <w:b/>
          <w:color w:val="auto"/>
          <w:sz w:val="28"/>
          <w:highlight w:val="none"/>
        </w:rPr>
        <w:t>余泥渣土运输车辆要求</w:t>
      </w:r>
    </w:p>
    <w:p>
      <w:pPr>
        <w:adjustRightInd w:val="0"/>
        <w:snapToGrid w:val="0"/>
        <w:spacing w:line="360" w:lineRule="auto"/>
        <w:ind w:left="359"/>
        <w:rPr>
          <w:color w:val="auto"/>
          <w:highlight w:val="none"/>
        </w:rPr>
      </w:pPr>
      <w:r>
        <w:rPr>
          <w:b/>
          <w:color w:val="auto"/>
          <w:highlight w:val="none"/>
        </w:rPr>
        <w:t>18.1余泥渣土运输车辆</w:t>
      </w:r>
      <w:r>
        <w:rPr>
          <w:rFonts w:hint="eastAsia"/>
          <w:b/>
          <w:color w:val="auto"/>
          <w:highlight w:val="none"/>
        </w:rPr>
        <w:t>证件要求</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w:t>
      </w:r>
      <w:r>
        <w:rPr>
          <w:color w:val="auto"/>
          <w:highlight w:val="none"/>
        </w:rPr>
        <w:t>担本</w:t>
      </w:r>
      <w:r>
        <w:rPr>
          <w:rFonts w:hint="eastAsia"/>
          <w:color w:val="auto"/>
          <w:highlight w:val="none"/>
        </w:rPr>
        <w:t>工程</w:t>
      </w:r>
      <w:r>
        <w:rPr>
          <w:color w:val="auto"/>
          <w:highlight w:val="none"/>
        </w:rPr>
        <w:t>余泥渣土运输任务的专业运输单位及其营运的余泥渣土运输车辆应当</w:t>
      </w:r>
      <w:r>
        <w:rPr>
          <w:rFonts w:hint="eastAsia"/>
          <w:color w:val="auto"/>
          <w:highlight w:val="none"/>
        </w:rPr>
        <w:t>持有</w:t>
      </w:r>
      <w:r>
        <w:rPr>
          <w:color w:val="auto"/>
          <w:highlight w:val="none"/>
        </w:rPr>
        <w:t>相关职能部门核发的下列</w:t>
      </w:r>
      <w:r>
        <w:rPr>
          <w:rFonts w:hint="eastAsia"/>
          <w:color w:val="auto"/>
          <w:highlight w:val="none"/>
        </w:rPr>
        <w:t>有效</w:t>
      </w:r>
      <w:r>
        <w:rPr>
          <w:color w:val="auto"/>
          <w:highlight w:val="none"/>
        </w:rPr>
        <w:t>证件：</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w:t>
      </w:r>
      <w:r>
        <w:rPr>
          <w:color w:val="auto"/>
          <w:highlight w:val="none"/>
        </w:rPr>
        <w:t>专业运输单位应</w:t>
      </w:r>
      <w:r>
        <w:rPr>
          <w:rFonts w:hint="eastAsia"/>
          <w:color w:val="auto"/>
          <w:highlight w:val="none"/>
        </w:rPr>
        <w:t>持有营业执照和交通部门核发的《</w:t>
      </w:r>
      <w:r>
        <w:rPr>
          <w:color w:val="auto"/>
          <w:highlight w:val="none"/>
        </w:rPr>
        <w:t>道路运输经营许可证》；</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w:t>
      </w:r>
      <w:r>
        <w:rPr>
          <w:color w:val="auto"/>
          <w:highlight w:val="none"/>
        </w:rPr>
        <w:t>余泥渣土运输车辆应</w:t>
      </w:r>
      <w:r>
        <w:rPr>
          <w:rFonts w:hint="eastAsia"/>
          <w:color w:val="auto"/>
          <w:highlight w:val="none"/>
        </w:rPr>
        <w:t>持有：</w:t>
      </w:r>
    </w:p>
    <w:p>
      <w:pPr>
        <w:tabs>
          <w:tab w:val="left" w:pos="1620"/>
          <w:tab w:val="left" w:pos="2340"/>
        </w:tabs>
        <w:adjustRightInd w:val="0"/>
        <w:snapToGrid w:val="0"/>
        <w:spacing w:line="360" w:lineRule="auto"/>
        <w:ind w:left="1260"/>
        <w:rPr>
          <w:color w:val="auto"/>
          <w:highlight w:val="none"/>
        </w:rPr>
      </w:pPr>
      <w:r>
        <w:rPr>
          <w:rFonts w:hint="eastAsia"/>
          <w:color w:val="auto"/>
          <w:highlight w:val="none"/>
        </w:rPr>
        <w:t>①交通部门核发的</w:t>
      </w:r>
      <w:r>
        <w:rPr>
          <w:color w:val="auto"/>
          <w:highlight w:val="none"/>
        </w:rPr>
        <w:t>《道路运输许可证》</w:t>
      </w:r>
      <w:r>
        <w:rPr>
          <w:rFonts w:hint="eastAsia"/>
          <w:color w:val="auto"/>
          <w:highlight w:val="none"/>
        </w:rPr>
        <w:t>；</w:t>
      </w:r>
    </w:p>
    <w:p>
      <w:pPr>
        <w:tabs>
          <w:tab w:val="left" w:pos="1620"/>
          <w:tab w:val="left" w:pos="2340"/>
        </w:tabs>
        <w:adjustRightInd w:val="0"/>
        <w:snapToGrid w:val="0"/>
        <w:spacing w:line="360" w:lineRule="auto"/>
        <w:ind w:left="1260"/>
        <w:rPr>
          <w:color w:val="auto"/>
          <w:highlight w:val="none"/>
        </w:rPr>
      </w:pPr>
      <w:r>
        <w:rPr>
          <w:rFonts w:hint="eastAsia"/>
          <w:color w:val="auto"/>
          <w:highlight w:val="none"/>
        </w:rPr>
        <w:t>②城管部门核发的</w:t>
      </w:r>
      <w:r>
        <w:rPr>
          <w:color w:val="auto"/>
          <w:highlight w:val="none"/>
        </w:rPr>
        <w:t>《城市建筑垃圾准运证》</w:t>
      </w:r>
      <w:r>
        <w:rPr>
          <w:rFonts w:hint="eastAsia"/>
          <w:color w:val="auto"/>
          <w:highlight w:val="none"/>
        </w:rPr>
        <w:t>；</w:t>
      </w:r>
    </w:p>
    <w:p>
      <w:pPr>
        <w:tabs>
          <w:tab w:val="left" w:pos="1620"/>
          <w:tab w:val="left" w:pos="2340"/>
        </w:tabs>
        <w:adjustRightInd w:val="0"/>
        <w:snapToGrid w:val="0"/>
        <w:spacing w:line="360" w:lineRule="auto"/>
        <w:ind w:left="1260"/>
        <w:rPr>
          <w:color w:val="auto"/>
          <w:highlight w:val="none"/>
        </w:rPr>
      </w:pPr>
      <w:r>
        <w:rPr>
          <w:rFonts w:hint="eastAsia"/>
          <w:color w:val="auto"/>
          <w:highlight w:val="none"/>
        </w:rPr>
        <w:t>③公安交警部门核发的《机动车行驶证》、</w:t>
      </w:r>
      <w:r>
        <w:rPr>
          <w:color w:val="auto"/>
          <w:highlight w:val="none"/>
        </w:rPr>
        <w:t>《深圳市余泥渣土运输车辆临时通行证》。</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w:t>
      </w:r>
      <w:r>
        <w:rPr>
          <w:color w:val="auto"/>
          <w:highlight w:val="none"/>
        </w:rPr>
        <w:t>余泥渣土运输车辆</w:t>
      </w:r>
      <w:r>
        <w:rPr>
          <w:rFonts w:hint="eastAsia"/>
          <w:color w:val="auto"/>
          <w:highlight w:val="none"/>
        </w:rPr>
        <w:t>驾驶员应持有相应的资格证件。</w:t>
      </w:r>
    </w:p>
    <w:p>
      <w:pPr>
        <w:adjustRightInd w:val="0"/>
        <w:snapToGrid w:val="0"/>
        <w:spacing w:line="360" w:lineRule="auto"/>
        <w:ind w:left="359"/>
        <w:rPr>
          <w:color w:val="auto"/>
          <w:highlight w:val="none"/>
        </w:rPr>
      </w:pPr>
      <w:r>
        <w:rPr>
          <w:b/>
          <w:color w:val="auto"/>
          <w:highlight w:val="none"/>
        </w:rPr>
        <w:t>18.2</w:t>
      </w:r>
      <w:r>
        <w:rPr>
          <w:rFonts w:hint="eastAsia"/>
          <w:b/>
          <w:color w:val="auto"/>
          <w:highlight w:val="none"/>
        </w:rPr>
        <w:t>承包人自行运输</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承包人</w:t>
      </w:r>
      <w:r>
        <w:rPr>
          <w:rFonts w:hint="eastAsia"/>
          <w:color w:val="auto"/>
          <w:highlight w:val="none"/>
        </w:rPr>
        <w:t>持有</w:t>
      </w:r>
      <w:r>
        <w:rPr>
          <w:color w:val="auto"/>
          <w:highlight w:val="none"/>
        </w:rPr>
        <w:t>第</w:t>
      </w:r>
      <w:r>
        <w:rPr>
          <w:rFonts w:hint="eastAsia"/>
          <w:color w:val="auto"/>
          <w:highlight w:val="none"/>
        </w:rPr>
        <w:t>18</w:t>
      </w:r>
      <w:r>
        <w:rPr>
          <w:color w:val="auto"/>
          <w:highlight w:val="none"/>
        </w:rPr>
        <w:t>.1款</w:t>
      </w:r>
      <w:r>
        <w:rPr>
          <w:rFonts w:hint="eastAsia"/>
          <w:color w:val="auto"/>
          <w:highlight w:val="none"/>
        </w:rPr>
        <w:t>相关</w:t>
      </w:r>
      <w:r>
        <w:rPr>
          <w:color w:val="auto"/>
          <w:highlight w:val="none"/>
        </w:rPr>
        <w:t>证件，</w:t>
      </w:r>
      <w:r>
        <w:rPr>
          <w:rFonts w:hint="eastAsia"/>
          <w:color w:val="auto"/>
          <w:highlight w:val="none"/>
        </w:rPr>
        <w:t>具备</w:t>
      </w:r>
      <w:r>
        <w:rPr>
          <w:color w:val="auto"/>
          <w:highlight w:val="none"/>
        </w:rPr>
        <w:t>余泥渣土运输任务</w:t>
      </w:r>
      <w:r>
        <w:rPr>
          <w:rFonts w:hint="eastAsia"/>
          <w:color w:val="auto"/>
          <w:highlight w:val="none"/>
        </w:rPr>
        <w:t>能力的，</w:t>
      </w:r>
      <w:r>
        <w:rPr>
          <w:color w:val="auto"/>
          <w:highlight w:val="none"/>
        </w:rPr>
        <w:t>可自行组织完成本合同约定的余泥渣土运输任务。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承包人不</w:t>
      </w:r>
      <w:r>
        <w:rPr>
          <w:rFonts w:hint="eastAsia"/>
          <w:color w:val="auto"/>
          <w:highlight w:val="none"/>
        </w:rPr>
        <w:t>持有</w:t>
      </w:r>
      <w:r>
        <w:rPr>
          <w:color w:val="auto"/>
          <w:highlight w:val="none"/>
        </w:rPr>
        <w:t>第</w:t>
      </w:r>
      <w:r>
        <w:rPr>
          <w:rFonts w:hint="eastAsia"/>
          <w:color w:val="auto"/>
          <w:highlight w:val="none"/>
        </w:rPr>
        <w:t>18</w:t>
      </w:r>
      <w:r>
        <w:rPr>
          <w:color w:val="auto"/>
          <w:highlight w:val="none"/>
        </w:rPr>
        <w:t>.1款</w:t>
      </w:r>
      <w:r>
        <w:rPr>
          <w:rFonts w:hint="eastAsia"/>
          <w:color w:val="auto"/>
          <w:highlight w:val="none"/>
        </w:rPr>
        <w:t>相关</w:t>
      </w:r>
      <w:r>
        <w:rPr>
          <w:color w:val="auto"/>
          <w:highlight w:val="none"/>
        </w:rPr>
        <w:t>证件</w:t>
      </w:r>
      <w:r>
        <w:rPr>
          <w:rFonts w:hint="eastAsia"/>
          <w:color w:val="auto"/>
          <w:highlight w:val="none"/>
        </w:rPr>
        <w:t>，不具备</w:t>
      </w:r>
      <w:r>
        <w:rPr>
          <w:color w:val="auto"/>
          <w:highlight w:val="none"/>
        </w:rPr>
        <w:t>余泥渣土运输任务</w:t>
      </w:r>
      <w:r>
        <w:rPr>
          <w:rFonts w:hint="eastAsia"/>
          <w:color w:val="auto"/>
          <w:highlight w:val="none"/>
        </w:rPr>
        <w:t>能力</w:t>
      </w:r>
      <w:r>
        <w:rPr>
          <w:color w:val="auto"/>
          <w:highlight w:val="none"/>
        </w:rPr>
        <w:t>而自行承担余泥渣土运输任务，应按照</w:t>
      </w:r>
      <w:r>
        <w:rPr>
          <w:b/>
          <w:i/>
          <w:color w:val="auto"/>
          <w:highlight w:val="none"/>
        </w:rPr>
        <w:t>专用条款</w:t>
      </w:r>
      <w:r>
        <w:rPr>
          <w:color w:val="auto"/>
          <w:highlight w:val="none"/>
        </w:rPr>
        <w:t>的约定承担违约责任。同时，</w:t>
      </w:r>
      <w:r>
        <w:rPr>
          <w:rFonts w:hint="eastAsia"/>
          <w:color w:val="auto"/>
          <w:highlight w:val="none"/>
        </w:rPr>
        <w:t>上述</w:t>
      </w:r>
      <w:r>
        <w:rPr>
          <w:color w:val="auto"/>
          <w:highlight w:val="none"/>
        </w:rPr>
        <w:t>违约行为导致的工期延误和</w:t>
      </w:r>
      <w:r>
        <w:rPr>
          <w:rFonts w:hint="eastAsia"/>
          <w:color w:val="auto"/>
          <w:highlight w:val="none"/>
        </w:rPr>
        <w:t>(</w:t>
      </w:r>
      <w:r>
        <w:rPr>
          <w:color w:val="auto"/>
          <w:highlight w:val="none"/>
        </w:rPr>
        <w:t>或</w:t>
      </w:r>
      <w:r>
        <w:rPr>
          <w:rFonts w:hint="eastAsia"/>
          <w:color w:val="auto"/>
          <w:highlight w:val="none"/>
        </w:rPr>
        <w:t>)</w:t>
      </w:r>
      <w:r>
        <w:rPr>
          <w:color w:val="auto"/>
          <w:highlight w:val="none"/>
        </w:rPr>
        <w:t>费用增加，</w:t>
      </w:r>
      <w:r>
        <w:rPr>
          <w:rFonts w:hint="eastAsia"/>
          <w:color w:val="auto"/>
          <w:highlight w:val="none"/>
        </w:rPr>
        <w:t>由</w:t>
      </w:r>
      <w:r>
        <w:rPr>
          <w:color w:val="auto"/>
          <w:highlight w:val="none"/>
        </w:rPr>
        <w:t>承包人</w:t>
      </w:r>
      <w:r>
        <w:rPr>
          <w:rFonts w:hint="eastAsia"/>
          <w:color w:val="auto"/>
          <w:highlight w:val="none"/>
        </w:rPr>
        <w:t>承担</w:t>
      </w:r>
      <w:r>
        <w:rPr>
          <w:color w:val="auto"/>
          <w:highlight w:val="none"/>
        </w:rPr>
        <w:t>责任。</w:t>
      </w:r>
    </w:p>
    <w:p>
      <w:pPr>
        <w:adjustRightInd w:val="0"/>
        <w:snapToGrid w:val="0"/>
        <w:spacing w:line="360" w:lineRule="auto"/>
        <w:ind w:left="359"/>
        <w:rPr>
          <w:color w:val="auto"/>
          <w:highlight w:val="none"/>
        </w:rPr>
      </w:pPr>
      <w:r>
        <w:rPr>
          <w:b/>
          <w:color w:val="auto"/>
          <w:highlight w:val="none"/>
        </w:rPr>
        <w:t>18.3余泥渣土运输</w:t>
      </w:r>
      <w:r>
        <w:rPr>
          <w:rFonts w:hint="eastAsia"/>
          <w:b/>
          <w:color w:val="auto"/>
          <w:highlight w:val="none"/>
        </w:rPr>
        <w:t>分包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承包人不</w:t>
      </w:r>
      <w:r>
        <w:rPr>
          <w:rFonts w:hint="eastAsia"/>
          <w:color w:val="auto"/>
          <w:highlight w:val="none"/>
        </w:rPr>
        <w:t>持有</w:t>
      </w:r>
      <w:r>
        <w:rPr>
          <w:color w:val="auto"/>
          <w:highlight w:val="none"/>
        </w:rPr>
        <w:t>第</w:t>
      </w:r>
      <w:r>
        <w:rPr>
          <w:rFonts w:hint="eastAsia"/>
          <w:color w:val="auto"/>
          <w:highlight w:val="none"/>
        </w:rPr>
        <w:t>18</w:t>
      </w:r>
      <w:r>
        <w:rPr>
          <w:color w:val="auto"/>
          <w:highlight w:val="none"/>
        </w:rPr>
        <w:t>.1款</w:t>
      </w:r>
      <w:r>
        <w:rPr>
          <w:rFonts w:hint="eastAsia"/>
          <w:color w:val="auto"/>
          <w:highlight w:val="none"/>
        </w:rPr>
        <w:t>相关</w:t>
      </w:r>
      <w:r>
        <w:rPr>
          <w:color w:val="auto"/>
          <w:highlight w:val="none"/>
        </w:rPr>
        <w:t>证件，</w:t>
      </w:r>
      <w:r>
        <w:rPr>
          <w:rFonts w:hint="eastAsia"/>
          <w:color w:val="auto"/>
          <w:highlight w:val="none"/>
        </w:rPr>
        <w:t>不具备</w:t>
      </w:r>
      <w:r>
        <w:rPr>
          <w:color w:val="auto"/>
          <w:highlight w:val="none"/>
        </w:rPr>
        <w:t>余泥渣土运输任务</w:t>
      </w:r>
      <w:r>
        <w:rPr>
          <w:rFonts w:hint="eastAsia"/>
          <w:color w:val="auto"/>
          <w:highlight w:val="none"/>
        </w:rPr>
        <w:t>能力的，</w:t>
      </w:r>
      <w:r>
        <w:rPr>
          <w:color w:val="auto"/>
          <w:highlight w:val="none"/>
        </w:rPr>
        <w:t>经发包人同意，承包人应将余泥渣土运输任务分包给符合第</w:t>
      </w:r>
      <w:r>
        <w:rPr>
          <w:rFonts w:hint="eastAsia"/>
          <w:color w:val="auto"/>
          <w:highlight w:val="none"/>
        </w:rPr>
        <w:t>18</w:t>
      </w:r>
      <w:r>
        <w:rPr>
          <w:color w:val="auto"/>
          <w:highlight w:val="none"/>
        </w:rPr>
        <w:t>.1款</w:t>
      </w:r>
      <w:r>
        <w:rPr>
          <w:rFonts w:hint="eastAsia"/>
          <w:color w:val="auto"/>
          <w:highlight w:val="none"/>
        </w:rPr>
        <w:t>相关</w:t>
      </w:r>
      <w:r>
        <w:rPr>
          <w:color w:val="auto"/>
          <w:highlight w:val="none"/>
        </w:rPr>
        <w:t>证件要求的专业运输单位</w:t>
      </w:r>
      <w:r>
        <w:rPr>
          <w:rFonts w:hint="eastAsia"/>
          <w:color w:val="auto"/>
          <w:highlight w:val="none"/>
        </w:rPr>
        <w:t>，并报</w:t>
      </w:r>
      <w:r>
        <w:rPr>
          <w:color w:val="auto"/>
          <w:highlight w:val="none"/>
        </w:rPr>
        <w:t>监理人</w:t>
      </w:r>
      <w:r>
        <w:rPr>
          <w:rFonts w:hint="eastAsia"/>
          <w:color w:val="auto"/>
          <w:highlight w:val="none"/>
        </w:rPr>
        <w:t>审核和</w:t>
      </w:r>
      <w:r>
        <w:rPr>
          <w:color w:val="auto"/>
          <w:highlight w:val="none"/>
        </w:rPr>
        <w:t>发包人</w:t>
      </w:r>
      <w:r>
        <w:rPr>
          <w:rFonts w:hint="eastAsia"/>
          <w:color w:val="auto"/>
          <w:highlight w:val="none"/>
        </w:rPr>
        <w:t>批准</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承包人应将余泥渣土运输分包合同</w:t>
      </w:r>
      <w:r>
        <w:rPr>
          <w:rFonts w:hint="eastAsia"/>
          <w:color w:val="auto"/>
          <w:highlight w:val="none"/>
        </w:rPr>
        <w:t>、专业运输单位和</w:t>
      </w:r>
      <w:r>
        <w:rPr>
          <w:color w:val="auto"/>
          <w:highlight w:val="none"/>
        </w:rPr>
        <w:t>余泥渣土运输</w:t>
      </w:r>
      <w:r>
        <w:rPr>
          <w:rFonts w:hint="eastAsia"/>
          <w:color w:val="auto"/>
          <w:highlight w:val="none"/>
        </w:rPr>
        <w:t>车辆的</w:t>
      </w:r>
      <w:r>
        <w:rPr>
          <w:color w:val="auto"/>
          <w:highlight w:val="none"/>
        </w:rPr>
        <w:t>相关资料送发包人和监理人</w:t>
      </w:r>
      <w:r>
        <w:rPr>
          <w:rFonts w:hint="eastAsia"/>
          <w:color w:val="auto"/>
          <w:highlight w:val="none"/>
        </w:rPr>
        <w:t>备案</w:t>
      </w:r>
      <w:r>
        <w:rPr>
          <w:color w:val="auto"/>
          <w:highlight w:val="none"/>
        </w:rPr>
        <w:t>。此审核并不免除承包人应承担的本合同</w:t>
      </w:r>
      <w:r>
        <w:rPr>
          <w:rFonts w:hint="eastAsia"/>
          <w:color w:val="auto"/>
          <w:highlight w:val="none"/>
        </w:rPr>
        <w:t>约定</w:t>
      </w:r>
      <w:r>
        <w:rPr>
          <w:color w:val="auto"/>
          <w:highlight w:val="none"/>
        </w:rPr>
        <w:t>义务。</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承包人将余泥渣土运输任务分包给不符合第</w:t>
      </w:r>
      <w:r>
        <w:rPr>
          <w:rFonts w:hint="eastAsia"/>
          <w:color w:val="auto"/>
          <w:highlight w:val="none"/>
        </w:rPr>
        <w:t>18</w:t>
      </w:r>
      <w:r>
        <w:rPr>
          <w:color w:val="auto"/>
          <w:highlight w:val="none"/>
        </w:rPr>
        <w:t>.1款</w:t>
      </w:r>
      <w:r>
        <w:rPr>
          <w:rFonts w:hint="eastAsia"/>
          <w:color w:val="auto"/>
          <w:highlight w:val="none"/>
        </w:rPr>
        <w:t>相关</w:t>
      </w:r>
      <w:r>
        <w:rPr>
          <w:color w:val="auto"/>
          <w:highlight w:val="none"/>
        </w:rPr>
        <w:t>证件要求的专业运输单位，应按照</w:t>
      </w:r>
      <w:r>
        <w:rPr>
          <w:b/>
          <w:i/>
          <w:color w:val="auto"/>
          <w:highlight w:val="none"/>
        </w:rPr>
        <w:t>专用条款</w:t>
      </w:r>
      <w:r>
        <w:rPr>
          <w:color w:val="auto"/>
          <w:highlight w:val="none"/>
        </w:rPr>
        <w:t>的约定承担违约责任。同时，上述违约行为导致的工期延误和</w:t>
      </w:r>
      <w:r>
        <w:rPr>
          <w:rFonts w:hint="eastAsia"/>
          <w:color w:val="auto"/>
          <w:highlight w:val="none"/>
        </w:rPr>
        <w:t>(</w:t>
      </w:r>
      <w:r>
        <w:rPr>
          <w:color w:val="auto"/>
          <w:highlight w:val="none"/>
        </w:rPr>
        <w:t>或</w:t>
      </w:r>
      <w:r>
        <w:rPr>
          <w:rFonts w:hint="eastAsia"/>
          <w:color w:val="auto"/>
          <w:highlight w:val="none"/>
        </w:rPr>
        <w:t>)</w:t>
      </w:r>
      <w:r>
        <w:rPr>
          <w:color w:val="auto"/>
          <w:highlight w:val="none"/>
        </w:rPr>
        <w:t>费用增加，</w:t>
      </w:r>
      <w:r>
        <w:rPr>
          <w:rFonts w:hint="eastAsia"/>
          <w:color w:val="auto"/>
          <w:highlight w:val="none"/>
        </w:rPr>
        <w:t>由</w:t>
      </w:r>
      <w:r>
        <w:rPr>
          <w:color w:val="auto"/>
          <w:highlight w:val="none"/>
        </w:rPr>
        <w:t>承包人</w:t>
      </w:r>
      <w:r>
        <w:rPr>
          <w:rFonts w:hint="eastAsia"/>
          <w:color w:val="auto"/>
          <w:highlight w:val="none"/>
        </w:rPr>
        <w:t>承担</w:t>
      </w:r>
      <w:r>
        <w:rPr>
          <w:color w:val="auto"/>
          <w:highlight w:val="none"/>
        </w:rPr>
        <w:t>责任。</w:t>
      </w:r>
    </w:p>
    <w:p>
      <w:pPr>
        <w:adjustRightInd w:val="0"/>
        <w:snapToGrid w:val="0"/>
        <w:spacing w:line="360" w:lineRule="auto"/>
        <w:ind w:left="359"/>
        <w:rPr>
          <w:color w:val="auto"/>
          <w:highlight w:val="none"/>
        </w:rPr>
      </w:pPr>
      <w:r>
        <w:rPr>
          <w:b/>
          <w:color w:val="auto"/>
          <w:highlight w:val="none"/>
        </w:rPr>
        <w:t>18.4余泥渣土运输</w:t>
      </w:r>
      <w:r>
        <w:rPr>
          <w:rFonts w:hint="eastAsia"/>
          <w:b/>
          <w:color w:val="auto"/>
          <w:highlight w:val="none"/>
        </w:rPr>
        <w:t>车辆保险</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⑴承担本工程</w:t>
      </w:r>
      <w:r>
        <w:rPr>
          <w:color w:val="auto"/>
          <w:highlight w:val="none"/>
        </w:rPr>
        <w:t>余泥渣土运输</w:t>
      </w:r>
      <w:r>
        <w:rPr>
          <w:rFonts w:hint="eastAsia"/>
          <w:color w:val="auto"/>
          <w:highlight w:val="none"/>
        </w:rPr>
        <w:t>任务的</w:t>
      </w:r>
      <w:r>
        <w:rPr>
          <w:color w:val="auto"/>
          <w:highlight w:val="none"/>
        </w:rPr>
        <w:t>车辆</w:t>
      </w:r>
      <w:r>
        <w:rPr>
          <w:rFonts w:hint="eastAsia"/>
          <w:color w:val="auto"/>
          <w:highlight w:val="none"/>
        </w:rPr>
        <w:t>应当向有关保险公司投保，并取得车辆保险单。如因未投保的</w:t>
      </w:r>
      <w:r>
        <w:rPr>
          <w:color w:val="auto"/>
          <w:highlight w:val="none"/>
        </w:rPr>
        <w:t>余泥渣土运输车辆</w:t>
      </w:r>
      <w:r>
        <w:rPr>
          <w:rFonts w:hint="eastAsia"/>
          <w:color w:val="auto"/>
          <w:highlight w:val="none"/>
        </w:rPr>
        <w:t>造成第三人财产损失和(或)人身伤亡，</w:t>
      </w:r>
      <w:r>
        <w:rPr>
          <w:color w:val="auto"/>
          <w:highlight w:val="none"/>
        </w:rPr>
        <w:t>余泥渣土运输车辆</w:t>
      </w:r>
      <w:r>
        <w:rPr>
          <w:rFonts w:hint="eastAsia"/>
          <w:color w:val="auto"/>
          <w:highlight w:val="none"/>
        </w:rPr>
        <w:t>所属专业运输单位应承担连带责任。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w:t>
      </w:r>
      <w:r>
        <w:rPr>
          <w:color w:val="auto"/>
          <w:highlight w:val="none"/>
        </w:rPr>
        <w:t>将余泥渣土运输任务分包</w:t>
      </w:r>
      <w:r>
        <w:rPr>
          <w:rFonts w:hint="eastAsia"/>
          <w:color w:val="auto"/>
          <w:highlight w:val="none"/>
        </w:rPr>
        <w:t>时</w:t>
      </w:r>
      <w:r>
        <w:rPr>
          <w:color w:val="auto"/>
          <w:highlight w:val="none"/>
        </w:rPr>
        <w:t>，承包人和车辆运输分包人应在余泥渣土运输分包合同中明确</w:t>
      </w:r>
      <w:r>
        <w:rPr>
          <w:rFonts w:hint="eastAsia"/>
          <w:color w:val="auto"/>
          <w:highlight w:val="none"/>
        </w:rPr>
        <w:t>本款所述的连带责任</w:t>
      </w:r>
      <w:r>
        <w:rPr>
          <w:color w:val="auto"/>
          <w:highlight w:val="none"/>
        </w:rPr>
        <w:t>。</w:t>
      </w:r>
    </w:p>
    <w:p>
      <w:pPr>
        <w:adjustRightInd w:val="0"/>
        <w:snapToGrid w:val="0"/>
        <w:spacing w:line="360" w:lineRule="auto"/>
        <w:ind w:left="359"/>
        <w:rPr>
          <w:color w:val="auto"/>
          <w:highlight w:val="none"/>
        </w:rPr>
      </w:pPr>
      <w:r>
        <w:rPr>
          <w:b/>
          <w:color w:val="auto"/>
          <w:highlight w:val="none"/>
        </w:rPr>
        <w:t>18.5余泥渣土运输车辆和</w:t>
      </w:r>
      <w:r>
        <w:rPr>
          <w:rFonts w:hint="eastAsia"/>
          <w:b/>
          <w:color w:val="auto"/>
          <w:highlight w:val="none"/>
        </w:rPr>
        <w:t>驾驶员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承担本工程余泥渣土运输任务的车辆</w:t>
      </w:r>
      <w:r>
        <w:rPr>
          <w:rFonts w:hint="eastAsia"/>
          <w:color w:val="auto"/>
          <w:highlight w:val="none"/>
        </w:rPr>
        <w:t>和驾驶员</w:t>
      </w:r>
      <w:r>
        <w:rPr>
          <w:color w:val="auto"/>
          <w:highlight w:val="none"/>
        </w:rPr>
        <w:t>应当符合第</w:t>
      </w:r>
      <w:r>
        <w:rPr>
          <w:rFonts w:hint="eastAsia"/>
          <w:color w:val="auto"/>
          <w:highlight w:val="none"/>
        </w:rPr>
        <w:t>18</w:t>
      </w:r>
      <w:r>
        <w:rPr>
          <w:color w:val="auto"/>
          <w:highlight w:val="none"/>
        </w:rPr>
        <w:t>.1款</w:t>
      </w:r>
      <w:r>
        <w:rPr>
          <w:rFonts w:hint="eastAsia"/>
          <w:color w:val="auto"/>
          <w:highlight w:val="none"/>
        </w:rPr>
        <w:t>相关</w:t>
      </w:r>
      <w:r>
        <w:rPr>
          <w:color w:val="auto"/>
          <w:highlight w:val="none"/>
        </w:rPr>
        <w:t>证件要求</w:t>
      </w:r>
      <w:r>
        <w:rPr>
          <w:rFonts w:hint="eastAsia"/>
          <w:color w:val="auto"/>
          <w:highlight w:val="none"/>
        </w:rPr>
        <w:t>，同时车辆还应具有第18.4⑴款所要求的车辆保险单，车辆应为符合《常用重型货车(泥头车)数据信息对照表》外形数据的重型车辆。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⑵承包人按18.2款自行完成</w:t>
      </w:r>
      <w:r>
        <w:rPr>
          <w:color w:val="auto"/>
          <w:highlight w:val="none"/>
        </w:rPr>
        <w:t>余泥渣土运输任务</w:t>
      </w:r>
      <w:r>
        <w:rPr>
          <w:rFonts w:hint="eastAsia"/>
          <w:color w:val="auto"/>
          <w:highlight w:val="none"/>
        </w:rPr>
        <w:t>时</w:t>
      </w:r>
      <w:r>
        <w:rPr>
          <w:color w:val="auto"/>
          <w:highlight w:val="none"/>
        </w:rPr>
        <w:t>，发包人和承包人应在</w:t>
      </w:r>
      <w:r>
        <w:rPr>
          <w:b/>
          <w:i/>
          <w:color w:val="auto"/>
          <w:highlight w:val="none"/>
        </w:rPr>
        <w:t>专用条款</w:t>
      </w:r>
      <w:r>
        <w:rPr>
          <w:color w:val="auto"/>
          <w:highlight w:val="none"/>
        </w:rPr>
        <w:t>中</w:t>
      </w:r>
      <w:r>
        <w:rPr>
          <w:rFonts w:hint="eastAsia"/>
          <w:color w:val="auto"/>
          <w:highlight w:val="none"/>
        </w:rPr>
        <w:t>载明所有参加本工程</w:t>
      </w:r>
      <w:r>
        <w:rPr>
          <w:color w:val="auto"/>
          <w:highlight w:val="none"/>
        </w:rPr>
        <w:t>余泥渣土运输车辆</w:t>
      </w:r>
      <w:r>
        <w:rPr>
          <w:rFonts w:hint="eastAsia"/>
          <w:color w:val="auto"/>
          <w:highlight w:val="none"/>
        </w:rPr>
        <w:t>的数量、证件、车牌号码、驾驶员姓名、驾驶证件等信息</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⑶承包人按18.3款</w:t>
      </w:r>
      <w:r>
        <w:rPr>
          <w:color w:val="auto"/>
          <w:highlight w:val="none"/>
        </w:rPr>
        <w:t>将余泥渣土运输任务分包</w:t>
      </w:r>
      <w:r>
        <w:rPr>
          <w:rFonts w:hint="eastAsia"/>
          <w:color w:val="auto"/>
          <w:highlight w:val="none"/>
        </w:rPr>
        <w:t>时</w:t>
      </w:r>
      <w:r>
        <w:rPr>
          <w:color w:val="auto"/>
          <w:highlight w:val="none"/>
        </w:rPr>
        <w:t>，承包人和运输分包人应在余泥渣土运输分包合同中</w:t>
      </w:r>
      <w:r>
        <w:rPr>
          <w:rFonts w:hint="eastAsia"/>
          <w:color w:val="auto"/>
          <w:highlight w:val="none"/>
        </w:rPr>
        <w:t>载明所有参加本工程</w:t>
      </w:r>
      <w:r>
        <w:rPr>
          <w:color w:val="auto"/>
          <w:highlight w:val="none"/>
        </w:rPr>
        <w:t>余泥渣土运输车辆</w:t>
      </w:r>
      <w:r>
        <w:rPr>
          <w:rFonts w:hint="eastAsia"/>
          <w:color w:val="auto"/>
          <w:highlight w:val="none"/>
        </w:rPr>
        <w:t>的数量、证件、车牌号码、驾驶员姓名、驾驶证件等信息，并将名单报</w:t>
      </w:r>
      <w:r>
        <w:rPr>
          <w:color w:val="auto"/>
          <w:highlight w:val="none"/>
        </w:rPr>
        <w:t>监理人</w:t>
      </w:r>
      <w:r>
        <w:rPr>
          <w:rFonts w:hint="eastAsia"/>
          <w:color w:val="auto"/>
          <w:highlight w:val="none"/>
        </w:rPr>
        <w:t>备案。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对上述情形，如需改变已提交的车辆和驾驶员名单，承包人或运输分包人应在确定改变前7</w:t>
      </w:r>
      <w:r>
        <w:rPr>
          <w:rFonts w:hint="eastAsia"/>
          <w:color w:val="auto"/>
          <w:highlight w:val="none"/>
        </w:rPr>
        <w:t>天</w:t>
      </w:r>
      <w:r>
        <w:rPr>
          <w:color w:val="auto"/>
          <w:highlight w:val="none"/>
        </w:rPr>
        <w:t>将拟改变的名单提交监理人审核确认。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w:t>
      </w:r>
      <w:r>
        <w:rPr>
          <w:color w:val="auto"/>
          <w:highlight w:val="none"/>
        </w:rPr>
        <w:t>若承包人违反</w:t>
      </w:r>
      <w:r>
        <w:rPr>
          <w:rFonts w:hint="eastAsia"/>
          <w:color w:val="auto"/>
          <w:highlight w:val="none"/>
        </w:rPr>
        <w:t>本款</w:t>
      </w:r>
      <w:r>
        <w:rPr>
          <w:color w:val="auto"/>
          <w:highlight w:val="none"/>
        </w:rPr>
        <w:t>规定，应承担</w:t>
      </w:r>
      <w:r>
        <w:rPr>
          <w:b/>
          <w:i/>
          <w:color w:val="auto"/>
          <w:highlight w:val="none"/>
        </w:rPr>
        <w:t>专用条款</w:t>
      </w:r>
      <w:r>
        <w:rPr>
          <w:color w:val="auto"/>
          <w:highlight w:val="none"/>
        </w:rPr>
        <w:t>中约定的违约责任；对于车辆运输分包人违反上述规定，承包人亦应在运输分包合同中约定此违约责任</w:t>
      </w:r>
      <w:r>
        <w:rPr>
          <w:rFonts w:hint="eastAsia"/>
          <w:color w:val="auto"/>
          <w:highlight w:val="none"/>
        </w:rPr>
        <w:t>，并承担连带责任</w:t>
      </w:r>
      <w:r>
        <w:rPr>
          <w:color w:val="auto"/>
          <w:highlight w:val="none"/>
        </w:rPr>
        <w:t>。</w:t>
      </w:r>
    </w:p>
    <w:p>
      <w:pPr>
        <w:adjustRightInd w:val="0"/>
        <w:snapToGrid w:val="0"/>
        <w:spacing w:line="360" w:lineRule="auto"/>
        <w:ind w:left="359"/>
        <w:rPr>
          <w:color w:val="auto"/>
          <w:highlight w:val="none"/>
        </w:rPr>
      </w:pPr>
      <w:r>
        <w:rPr>
          <w:b/>
          <w:color w:val="auto"/>
          <w:highlight w:val="none"/>
        </w:rPr>
        <w:t>18.6</w:t>
      </w:r>
      <w:r>
        <w:rPr>
          <w:rFonts w:hint="eastAsia"/>
          <w:b/>
          <w:color w:val="auto"/>
          <w:highlight w:val="none"/>
        </w:rPr>
        <w:t>专职检查人员</w:t>
      </w:r>
    </w:p>
    <w:p>
      <w:pPr>
        <w:tabs>
          <w:tab w:val="left" w:pos="1620"/>
          <w:tab w:val="left" w:pos="2340"/>
        </w:tabs>
        <w:adjustRightInd w:val="0"/>
        <w:snapToGrid w:val="0"/>
        <w:spacing w:line="360" w:lineRule="auto"/>
        <w:ind w:left="899"/>
        <w:rPr>
          <w:color w:val="auto"/>
          <w:highlight w:val="none"/>
        </w:rPr>
      </w:pPr>
      <w:r>
        <w:rPr>
          <w:color w:val="auto"/>
          <w:highlight w:val="none"/>
        </w:rPr>
        <w:t>承包人应安排专职检查人员对余泥渣土运输车辆和专职驾驶员依</w:t>
      </w:r>
      <w:r>
        <w:rPr>
          <w:rFonts w:hint="eastAsia"/>
          <w:color w:val="auto"/>
          <w:highlight w:val="none"/>
        </w:rPr>
        <w:t>本</w:t>
      </w:r>
      <w:r>
        <w:rPr>
          <w:color w:val="auto"/>
          <w:highlight w:val="none"/>
        </w:rPr>
        <w:t>合同约定的内容进行检查。对违反合同约定的检查结果，承包人应责令相关方限期整改。整改期间，整改所涉余泥渣土运输车辆不得承担本工程约定的运输任务。承包人安排的专职检查人员和检查内容在</w:t>
      </w:r>
      <w:r>
        <w:rPr>
          <w:b/>
          <w:i/>
          <w:color w:val="auto"/>
          <w:highlight w:val="none"/>
        </w:rPr>
        <w:t>专用条款</w:t>
      </w:r>
      <w:r>
        <w:rPr>
          <w:color w:val="auto"/>
          <w:highlight w:val="none"/>
        </w:rPr>
        <w:t>中明确。</w:t>
      </w:r>
    </w:p>
    <w:p>
      <w:pPr>
        <w:adjustRightInd w:val="0"/>
        <w:snapToGrid w:val="0"/>
        <w:spacing w:line="360" w:lineRule="auto"/>
        <w:ind w:left="359"/>
        <w:rPr>
          <w:color w:val="auto"/>
          <w:highlight w:val="none"/>
        </w:rPr>
      </w:pPr>
      <w:r>
        <w:rPr>
          <w:b/>
          <w:color w:val="auto"/>
          <w:highlight w:val="none"/>
        </w:rPr>
        <w:t>18.7余泥渣土</w:t>
      </w:r>
      <w:r>
        <w:rPr>
          <w:rFonts w:hint="eastAsia"/>
          <w:b/>
          <w:color w:val="auto"/>
          <w:highlight w:val="none"/>
        </w:rPr>
        <w:t>安全文明运输</w:t>
      </w:r>
    </w:p>
    <w:p>
      <w:pPr>
        <w:tabs>
          <w:tab w:val="left" w:pos="1620"/>
          <w:tab w:val="left" w:pos="2340"/>
        </w:tabs>
        <w:adjustRightInd w:val="0"/>
        <w:snapToGrid w:val="0"/>
        <w:spacing w:line="360" w:lineRule="auto"/>
        <w:ind w:left="899"/>
        <w:rPr>
          <w:color w:val="auto"/>
          <w:highlight w:val="none"/>
        </w:rPr>
      </w:pPr>
      <w:r>
        <w:rPr>
          <w:color w:val="auto"/>
          <w:highlight w:val="none"/>
        </w:rP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b/>
          <w:i/>
          <w:color w:val="auto"/>
          <w:highlight w:val="none"/>
        </w:rPr>
        <w:t>专用条款</w:t>
      </w:r>
      <w:r>
        <w:rPr>
          <w:color w:val="auto"/>
          <w:highlight w:val="none"/>
        </w:rPr>
        <w:t>约定的违约责任</w:t>
      </w:r>
      <w:r>
        <w:rPr>
          <w:rFonts w:hint="eastAsia"/>
          <w:color w:val="auto"/>
          <w:highlight w:val="none"/>
        </w:rPr>
        <w:t>。</w:t>
      </w:r>
    </w:p>
    <w:p>
      <w:pPr>
        <w:adjustRightInd w:val="0"/>
        <w:snapToGrid w:val="0"/>
        <w:spacing w:line="360" w:lineRule="auto"/>
        <w:ind w:left="359"/>
        <w:rPr>
          <w:color w:val="auto"/>
          <w:highlight w:val="none"/>
        </w:rPr>
      </w:pPr>
      <w:r>
        <w:rPr>
          <w:b/>
          <w:color w:val="auto"/>
          <w:highlight w:val="none"/>
        </w:rPr>
        <w:t>18.8</w:t>
      </w:r>
      <w:r>
        <w:rPr>
          <w:rFonts w:hint="eastAsia"/>
          <w:b/>
          <w:color w:val="auto"/>
          <w:highlight w:val="none"/>
        </w:rPr>
        <w:t>检查纠正责任</w:t>
      </w:r>
    </w:p>
    <w:p>
      <w:pPr>
        <w:tabs>
          <w:tab w:val="left" w:pos="1620"/>
          <w:tab w:val="left" w:pos="2340"/>
        </w:tabs>
        <w:adjustRightInd w:val="0"/>
        <w:snapToGrid w:val="0"/>
        <w:spacing w:line="360" w:lineRule="auto"/>
        <w:ind w:left="899"/>
        <w:rPr>
          <w:color w:val="auto"/>
          <w:highlight w:val="none"/>
        </w:rPr>
      </w:pPr>
      <w:r>
        <w:rPr>
          <w:color w:val="auto"/>
          <w:highlight w:val="none"/>
        </w:rPr>
        <w:t>承包人应对</w:t>
      </w:r>
      <w:r>
        <w:rPr>
          <w:rFonts w:hint="eastAsia"/>
          <w:color w:val="auto"/>
          <w:highlight w:val="none"/>
        </w:rPr>
        <w:t>18</w:t>
      </w:r>
      <w:r>
        <w:rPr>
          <w:color w:val="auto"/>
          <w:highlight w:val="none"/>
        </w:rPr>
        <w:t>.</w:t>
      </w:r>
      <w:r>
        <w:rPr>
          <w:rFonts w:hint="eastAsia"/>
          <w:color w:val="auto"/>
          <w:highlight w:val="none"/>
        </w:rPr>
        <w:t>6</w:t>
      </w:r>
      <w:r>
        <w:rPr>
          <w:color w:val="auto"/>
          <w:highlight w:val="none"/>
        </w:rPr>
        <w:t>款和</w:t>
      </w:r>
      <w:r>
        <w:rPr>
          <w:rFonts w:hint="eastAsia"/>
          <w:color w:val="auto"/>
          <w:highlight w:val="none"/>
        </w:rPr>
        <w:t>18</w:t>
      </w:r>
      <w:r>
        <w:rPr>
          <w:color w:val="auto"/>
          <w:highlight w:val="none"/>
        </w:rPr>
        <w:t>.</w:t>
      </w:r>
      <w:r>
        <w:rPr>
          <w:rFonts w:hint="eastAsia"/>
          <w:color w:val="auto"/>
          <w:highlight w:val="none"/>
        </w:rPr>
        <w:t>7</w:t>
      </w:r>
      <w:r>
        <w:rPr>
          <w:color w:val="auto"/>
          <w:highlight w:val="none"/>
        </w:rPr>
        <w:t>款约定的检查纠正工作制定专项工作程序，并监督和督促专职检查人员认真履行合同约定的职责。此项监督和督促并不免除承包人应承担的本合同义务。若承包人指定的专职检查人员</w:t>
      </w:r>
      <w:r>
        <w:rPr>
          <w:rFonts w:hint="eastAsia"/>
          <w:color w:val="auto"/>
          <w:highlight w:val="none"/>
        </w:rPr>
        <w:t>未履行</w:t>
      </w:r>
      <w:r>
        <w:rPr>
          <w:color w:val="auto"/>
          <w:highlight w:val="none"/>
        </w:rPr>
        <w:t>合同约定的检查纠正职责，承包人应承担</w:t>
      </w:r>
      <w:r>
        <w:rPr>
          <w:b/>
          <w:i/>
          <w:color w:val="auto"/>
          <w:highlight w:val="none"/>
        </w:rPr>
        <w:t>专用条款</w:t>
      </w:r>
      <w:r>
        <w:rPr>
          <w:color w:val="auto"/>
          <w:highlight w:val="none"/>
        </w:rPr>
        <w:t>约定的违约责任。</w:t>
      </w:r>
    </w:p>
    <w:p>
      <w:pPr>
        <w:adjustRightInd w:val="0"/>
        <w:snapToGrid w:val="0"/>
        <w:spacing w:line="360" w:lineRule="auto"/>
        <w:ind w:left="178"/>
        <w:rPr>
          <w:color w:val="auto"/>
          <w:sz w:val="28"/>
          <w:highlight w:val="none"/>
        </w:rPr>
      </w:pPr>
      <w:r>
        <w:rPr>
          <w:b/>
          <w:color w:val="auto"/>
          <w:sz w:val="28"/>
          <w:highlight w:val="none"/>
        </w:rPr>
        <w:t>19</w:t>
      </w:r>
      <w:r>
        <w:rPr>
          <w:rFonts w:hint="eastAsia"/>
          <w:b/>
          <w:color w:val="auto"/>
          <w:sz w:val="28"/>
          <w:highlight w:val="none"/>
        </w:rPr>
        <w:t>工程的保护</w:t>
      </w:r>
    </w:p>
    <w:p>
      <w:pPr>
        <w:adjustRightInd w:val="0"/>
        <w:snapToGrid w:val="0"/>
        <w:spacing w:line="360" w:lineRule="auto"/>
        <w:ind w:left="359"/>
        <w:rPr>
          <w:color w:val="auto"/>
          <w:highlight w:val="none"/>
        </w:rPr>
      </w:pPr>
      <w:r>
        <w:rPr>
          <w:b/>
          <w:color w:val="auto"/>
          <w:highlight w:val="none"/>
        </w:rPr>
        <w:t>19.1</w:t>
      </w:r>
      <w:r>
        <w:rPr>
          <w:rFonts w:hint="eastAsia"/>
          <w:b/>
          <w:color w:val="auto"/>
          <w:highlight w:val="none"/>
        </w:rPr>
        <w:t>工程的保护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⑵本款所述照管责任是指照管责任人应对因丢失、盗失、毁损等行为引起的材料、设备使用状态和存在状态不符合合同约定承担修复、赔偿、损失自担等责任。</w:t>
      </w:r>
    </w:p>
    <w:p>
      <w:pPr>
        <w:adjustRightInd w:val="0"/>
        <w:snapToGrid w:val="0"/>
        <w:spacing w:line="360" w:lineRule="auto"/>
        <w:ind w:left="359"/>
        <w:rPr>
          <w:color w:val="auto"/>
          <w:highlight w:val="none"/>
        </w:rPr>
      </w:pPr>
      <w:r>
        <w:rPr>
          <w:b/>
          <w:color w:val="auto"/>
          <w:highlight w:val="none"/>
        </w:rPr>
        <w:t>19.2</w:t>
      </w:r>
      <w:r>
        <w:rPr>
          <w:rFonts w:hint="eastAsia"/>
          <w:b/>
          <w:color w:val="auto"/>
          <w:highlight w:val="none"/>
        </w:rPr>
        <w:t>成品、半成品保护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对工程中分期完成的成品、半成品，在工程竣工移交前，承包人负保护责任，任何其他分包人对其使用或在其基础上施工，必须得到承包人的许可。对</w:t>
      </w:r>
      <w:r>
        <w:rPr>
          <w:color w:val="auto"/>
          <w:highlight w:val="none"/>
        </w:rPr>
        <w:t>监理人</w:t>
      </w:r>
      <w:r>
        <w:rPr>
          <w:rFonts w:hint="eastAsia"/>
          <w:color w:val="auto"/>
          <w:highlight w:val="none"/>
        </w:rPr>
        <w:t>确认因承包人保护措施不当造成的损坏，由承包人负责修复；对分包人在施工过程中造成的损坏由责任人负责修复。</w:t>
      </w:r>
    </w:p>
    <w:p>
      <w:pPr>
        <w:adjustRightInd w:val="0"/>
        <w:snapToGrid w:val="0"/>
        <w:spacing w:line="360" w:lineRule="auto"/>
        <w:ind w:left="359"/>
        <w:rPr>
          <w:color w:val="auto"/>
          <w:highlight w:val="none"/>
        </w:rPr>
      </w:pPr>
      <w:r>
        <w:rPr>
          <w:b/>
          <w:color w:val="auto"/>
          <w:highlight w:val="none"/>
        </w:rPr>
        <w:t>19.3</w:t>
      </w:r>
      <w:r>
        <w:rPr>
          <w:rFonts w:hint="eastAsia"/>
          <w:b/>
          <w:color w:val="auto"/>
          <w:highlight w:val="none"/>
        </w:rPr>
        <w:t>工程的修复</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在负责照管期间，如因承包人自身或(和)第三方原因造成本工程或其任何部分，以及材料、设备、装备、临时工程的毁损，承包人均应自费弥补上述损坏、损失或损伤，以使工程在各方面都符合合同约定的标准。</w:t>
      </w:r>
    </w:p>
    <w:p>
      <w:pPr>
        <w:adjustRightInd w:val="0"/>
        <w:snapToGrid w:val="0"/>
        <w:spacing w:line="360" w:lineRule="auto"/>
        <w:ind w:left="178"/>
        <w:rPr>
          <w:color w:val="auto"/>
          <w:sz w:val="28"/>
          <w:highlight w:val="none"/>
        </w:rPr>
      </w:pPr>
      <w:r>
        <w:rPr>
          <w:b/>
          <w:color w:val="auto"/>
          <w:sz w:val="28"/>
          <w:highlight w:val="none"/>
        </w:rPr>
        <w:t>20</w:t>
      </w:r>
      <w:r>
        <w:rPr>
          <w:rFonts w:hint="eastAsia"/>
          <w:b/>
          <w:color w:val="auto"/>
          <w:sz w:val="28"/>
          <w:highlight w:val="none"/>
        </w:rPr>
        <w:t>合同价格的确定和调整</w:t>
      </w:r>
    </w:p>
    <w:p>
      <w:pPr>
        <w:adjustRightInd w:val="0"/>
        <w:snapToGrid w:val="0"/>
        <w:spacing w:line="360" w:lineRule="auto"/>
        <w:ind w:left="359"/>
        <w:rPr>
          <w:color w:val="auto"/>
          <w:highlight w:val="none"/>
        </w:rPr>
      </w:pPr>
      <w:r>
        <w:rPr>
          <w:b/>
          <w:color w:val="auto"/>
          <w:highlight w:val="none"/>
        </w:rPr>
        <w:t>20.1</w:t>
      </w:r>
      <w:r>
        <w:rPr>
          <w:rFonts w:hint="eastAsia"/>
          <w:b/>
          <w:color w:val="auto"/>
          <w:highlight w:val="none"/>
        </w:rPr>
        <w:t>签约合同价的确定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⑴本工程签约合同价由发包人和承包人依据中标通知书中的中标价(即承包人的投标报价)在本合同协议书中约定。签约合同价在本合同协议书中约定后，任何一方不得擅自改变。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⑵本合同采用</w:t>
      </w:r>
      <w:r>
        <w:rPr>
          <w:rFonts w:hint="eastAsia"/>
          <w:b/>
          <w:color w:val="auto"/>
          <w:highlight w:val="none"/>
        </w:rPr>
        <w:t>固定单价</w:t>
      </w:r>
      <w:r>
        <w:rPr>
          <w:rFonts w:hint="eastAsia"/>
          <w:color w:val="auto"/>
          <w:highlight w:val="none"/>
        </w:rPr>
        <w:t>的合同形式。承包人投标报价中的</w:t>
      </w:r>
      <w:r>
        <w:rPr>
          <w:rFonts w:hint="eastAsia"/>
          <w:color w:val="auto"/>
          <w:szCs w:val="21"/>
          <w:highlight w:val="none"/>
        </w:rPr>
        <w:t>工程量清单项目单价</w:t>
      </w:r>
      <w:r>
        <w:rPr>
          <w:rFonts w:hint="eastAsia"/>
          <w:color w:val="auto"/>
          <w:highlight w:val="none"/>
        </w:rPr>
        <w:t>即为构成签约合同价的项目单价。除本合同另有约定，构成签约合同价的项目单价一经发包人和承包人签订合同确定后不作调整。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承发包双方应在</w:t>
      </w:r>
      <w:r>
        <w:rPr>
          <w:b/>
          <w:i/>
          <w:color w:val="auto"/>
          <w:highlight w:val="none"/>
        </w:rPr>
        <w:t>专用条款</w:t>
      </w:r>
      <w:r>
        <w:rPr>
          <w:color w:val="auto"/>
          <w:highlight w:val="none"/>
        </w:rPr>
        <w:t>中约定综合单价包含的风险范围</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⑷除合同另有约定以外，按照国家现行税法和有关部门现行规定，承包人或其分包人需缴纳的一切税金和费用，均应由承包人或其分包人承担并支付。</w:t>
      </w:r>
    </w:p>
    <w:p>
      <w:pPr>
        <w:adjustRightInd w:val="0"/>
        <w:snapToGrid w:val="0"/>
        <w:spacing w:line="360" w:lineRule="auto"/>
        <w:ind w:left="359"/>
        <w:rPr>
          <w:color w:val="auto"/>
          <w:highlight w:val="none"/>
        </w:rPr>
      </w:pPr>
      <w:r>
        <w:rPr>
          <w:b/>
          <w:color w:val="auto"/>
          <w:highlight w:val="none"/>
        </w:rPr>
        <w:t>20.2</w:t>
      </w:r>
      <w:r>
        <w:rPr>
          <w:rFonts w:hint="eastAsia"/>
          <w:b/>
          <w:color w:val="auto"/>
          <w:highlight w:val="none"/>
        </w:rPr>
        <w:t>合同价格的调整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发生以下情形，合同价格可作调整：</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⑴按照第13条确定的提前竣工、延期竣工及赶工补偿；</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⑵按照第20.3款确定的法律、法规的变化；</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⑶按照第20.4款确定工料机调差；</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⑷按照第21条确定的暂估价、暂列金额；</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⑸按照第22条确定的工程量清单缺项、项目特征不符；</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⑹按照第24、25条确定的工程变更、签证、工程量偏差以及价值工程费用或收益；</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⑺按照第28条及本合同其它条款中确定的违约责任；</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⑻按照第29条确定的费用索赔事件；</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⑼按照第32条确定的应由发包人承担的不可抗力损失费用；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⑽市</w:t>
      </w:r>
      <w:r>
        <w:rPr>
          <w:color w:val="auto"/>
          <w:highlight w:val="none"/>
        </w:rPr>
        <w:t>工程造价管理机构</w:t>
      </w:r>
      <w:r>
        <w:rPr>
          <w:rFonts w:hint="eastAsia"/>
          <w:color w:val="auto"/>
          <w:highlight w:val="none"/>
        </w:rPr>
        <w:t>发布</w:t>
      </w:r>
      <w:r>
        <w:rPr>
          <w:color w:val="auto"/>
          <w:highlight w:val="none"/>
        </w:rPr>
        <w:t>的</w:t>
      </w:r>
      <w:r>
        <w:rPr>
          <w:rFonts w:hint="eastAsia"/>
          <w:color w:val="auto"/>
          <w:highlight w:val="none"/>
        </w:rPr>
        <w:t>工程造价</w:t>
      </w:r>
      <w:r>
        <w:rPr>
          <w:color w:val="auto"/>
          <w:highlight w:val="none"/>
        </w:rPr>
        <w:t>调整</w:t>
      </w:r>
      <w:r>
        <w:rPr>
          <w:rFonts w:hint="eastAsia"/>
          <w:color w:val="auto"/>
          <w:highlight w:val="none"/>
        </w:rPr>
        <w:t>政策；</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⑾本合同条款以及</w:t>
      </w:r>
      <w:r>
        <w:rPr>
          <w:rFonts w:hint="eastAsia"/>
          <w:b/>
          <w:i/>
          <w:color w:val="auto"/>
          <w:highlight w:val="none"/>
        </w:rPr>
        <w:t>专用条款</w:t>
      </w:r>
      <w:r>
        <w:rPr>
          <w:rFonts w:hint="eastAsia"/>
          <w:color w:val="auto"/>
          <w:highlight w:val="none"/>
        </w:rPr>
        <w:t>约定的其他调整因素。</w:t>
      </w:r>
    </w:p>
    <w:p>
      <w:pPr>
        <w:adjustRightInd w:val="0"/>
        <w:snapToGrid w:val="0"/>
        <w:spacing w:line="360" w:lineRule="auto"/>
        <w:ind w:left="359"/>
        <w:rPr>
          <w:color w:val="auto"/>
          <w:highlight w:val="none"/>
        </w:rPr>
      </w:pPr>
      <w:r>
        <w:rPr>
          <w:b/>
          <w:color w:val="auto"/>
          <w:highlight w:val="none"/>
        </w:rPr>
        <w:t>20.3</w:t>
      </w:r>
      <w:r>
        <w:rPr>
          <w:rFonts w:hint="eastAsia"/>
          <w:b/>
          <w:color w:val="auto"/>
          <w:highlight w:val="none"/>
        </w:rPr>
        <w:t>法律法规的改变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⑴合同签订后,因国家法律、法规、规章和政策的改变对合同价格产生影响的,合同价格应作调整。发包人和承包人应根据法律法规改变造成的实际影响，按照市工程造价管理机构发布的相应办法进行调整。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⑵按前款情形对合同价格进行调整时，因承包人原因导致工期延误的，在本合同约定竣工日期之后，合同价格调增的不予调整，合同价格调减的予以调整。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因承包人原因造成工期延误，在工期延误期间出现法律变化的，由此增加的费用和（或）延误的工期由承包人承担。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⑷因法律变化引起的合同价格和工期调整，承发包双方无法达成一致的，按第30条［争议解决］处理。</w:t>
      </w:r>
    </w:p>
    <w:p>
      <w:pPr>
        <w:adjustRightInd w:val="0"/>
        <w:snapToGrid w:val="0"/>
        <w:spacing w:line="360" w:lineRule="auto"/>
        <w:ind w:left="359"/>
        <w:rPr>
          <w:color w:val="auto"/>
          <w:highlight w:val="none"/>
        </w:rPr>
      </w:pPr>
      <w:r>
        <w:rPr>
          <w:b/>
          <w:color w:val="auto"/>
          <w:highlight w:val="none"/>
        </w:rPr>
        <w:t>20.4</w:t>
      </w:r>
      <w:r>
        <w:rPr>
          <w:rFonts w:hint="eastAsia"/>
          <w:b/>
          <w:color w:val="auto"/>
          <w:highlight w:val="none"/>
        </w:rPr>
        <w:t>工料机调差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⑴承包人应充分考虑本工程施工期间因材料或劳务市场价格波动等任何有可能引起施工成本增加的风险(本合同约定可调差情形除外)，并不得据此提出索赔。</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⑵除</w:t>
      </w:r>
      <w:r>
        <w:rPr>
          <w:rFonts w:hint="eastAsia"/>
          <w:b/>
          <w:i/>
          <w:color w:val="auto"/>
          <w:highlight w:val="none"/>
        </w:rPr>
        <w:t>专用条款</w:t>
      </w:r>
      <w:r>
        <w:rPr>
          <w:rFonts w:hint="eastAsia"/>
          <w:color w:val="auto"/>
          <w:highlight w:val="none"/>
        </w:rPr>
        <w:t>另有约定外，由于非承包人原因引起的用于本工程的人工、主要材料及机械使用的价格波动超过</w:t>
      </w:r>
      <w:r>
        <w:rPr>
          <w:rFonts w:hint="eastAsia"/>
          <w:b/>
          <w:color w:val="auto"/>
          <w:highlight w:val="none"/>
        </w:rPr>
        <w:t>±5%</w:t>
      </w:r>
      <w:r>
        <w:rPr>
          <w:rFonts w:hint="eastAsia"/>
          <w:color w:val="auto"/>
          <w:highlight w:val="none"/>
        </w:rPr>
        <w:t>时，其超过部分的合同价格应按20.5款、20.6款方法在与其相关的工程完工后一次性进行调整。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⑶主要材料是指用于本工程的某种材料价格总额达到签约合同价</w:t>
      </w:r>
      <w:r>
        <w:rPr>
          <w:rFonts w:hint="eastAsia"/>
          <w:b/>
          <w:color w:val="auto"/>
          <w:highlight w:val="none"/>
        </w:rPr>
        <w:t>5%</w:t>
      </w:r>
      <w:r>
        <w:rPr>
          <w:rFonts w:hint="eastAsia"/>
          <w:color w:val="auto"/>
          <w:highlight w:val="none"/>
        </w:rPr>
        <w:t>或</w:t>
      </w:r>
      <w:r>
        <w:rPr>
          <w:rFonts w:hint="eastAsia"/>
          <w:b/>
          <w:i/>
          <w:color w:val="auto"/>
          <w:highlight w:val="none"/>
        </w:rPr>
        <w:t>专用条款</w:t>
      </w:r>
      <w:r>
        <w:rPr>
          <w:rFonts w:hint="eastAsia"/>
          <w:color w:val="auto"/>
          <w:highlight w:val="none"/>
        </w:rPr>
        <w:t>约定比例及以上的材料。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⑷发包人和承包人可根据本工程的具体实际，在</w:t>
      </w:r>
      <w:r>
        <w:rPr>
          <w:rFonts w:hint="eastAsia"/>
          <w:b/>
          <w:i/>
          <w:color w:val="auto"/>
          <w:highlight w:val="none"/>
        </w:rPr>
        <w:t>专用条款</w:t>
      </w:r>
      <w:r>
        <w:rPr>
          <w:rFonts w:hint="eastAsia"/>
          <w:color w:val="auto"/>
          <w:highlight w:val="none"/>
        </w:rPr>
        <w:t>约定用于本工程的未达到20.4⑶款约定比例的其它材料中可调差的材料种类。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⑸工料机调差费用部分应按《深圳市建设工程计价规程》计取规费和税金，不计企业管理费和利润。工料机调差费用应按</w:t>
      </w:r>
      <w:r>
        <w:rPr>
          <w:rFonts w:hint="eastAsia"/>
          <w:b/>
          <w:i/>
          <w:color w:val="auto"/>
          <w:highlight w:val="none"/>
        </w:rPr>
        <w:t>专用条款</w:t>
      </w:r>
      <w:r>
        <w:rPr>
          <w:rFonts w:hint="eastAsia"/>
          <w:color w:val="auto"/>
          <w:highlight w:val="none"/>
        </w:rPr>
        <w:t>的约定进行计算和支付。</w:t>
      </w:r>
    </w:p>
    <w:p>
      <w:pPr>
        <w:adjustRightInd w:val="0"/>
        <w:snapToGrid w:val="0"/>
        <w:spacing w:line="360" w:lineRule="auto"/>
        <w:ind w:left="359"/>
        <w:rPr>
          <w:color w:val="auto"/>
          <w:highlight w:val="none"/>
        </w:rPr>
      </w:pPr>
      <w:r>
        <w:rPr>
          <w:b/>
          <w:color w:val="auto"/>
          <w:highlight w:val="none"/>
        </w:rPr>
        <w:t>20.5</w:t>
      </w:r>
      <w:r>
        <w:rPr>
          <w:rFonts w:hint="eastAsia"/>
          <w:b/>
          <w:color w:val="auto"/>
          <w:highlight w:val="none"/>
        </w:rPr>
        <w:t>材料调差方法</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按照20.4⑶、⑷款确定的可调差材料发生价格波动时，可在</w:t>
      </w:r>
      <w:r>
        <w:rPr>
          <w:rFonts w:hint="eastAsia"/>
          <w:b/>
          <w:i/>
          <w:color w:val="auto"/>
          <w:highlight w:val="none"/>
        </w:rPr>
        <w:t>专用条款</w:t>
      </w:r>
      <w:r>
        <w:rPr>
          <w:rFonts w:hint="eastAsia"/>
          <w:color w:val="auto"/>
          <w:highlight w:val="none"/>
        </w:rPr>
        <w:t>中约定一种调差方式：</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当</w:t>
      </w:r>
      <w:r>
        <w:rPr>
          <w:rFonts w:ascii="Symbol" w:hAnsi="Symbol"/>
          <w:i/>
          <w:color w:val="auto"/>
          <w:highlight w:val="none"/>
        </w:rPr>
        <w:sym w:font="Symbol" w:char="F060"/>
      </w:r>
      <w:r>
        <w:rPr>
          <w:i/>
          <w:color w:val="auto"/>
          <w:highlight w:val="none"/>
        </w:rPr>
        <w:t>P</w:t>
      </w:r>
      <w:r>
        <w:rPr>
          <w:rFonts w:hint="eastAsia"/>
          <w:color w:val="auto"/>
          <w:highlight w:val="none"/>
        </w:rPr>
        <w:t>＞</w:t>
      </w:r>
      <w:r>
        <w:rPr>
          <w:i/>
          <w:color w:val="auto"/>
          <w:highlight w:val="none"/>
        </w:rPr>
        <w:t>P</w:t>
      </w:r>
      <w:r>
        <w:rPr>
          <w:i/>
          <w:color w:val="auto"/>
          <w:highlight w:val="none"/>
          <w:vertAlign w:val="subscript"/>
        </w:rPr>
        <w:t>0</w:t>
      </w:r>
      <w:r>
        <w:rPr>
          <w:rFonts w:hint="eastAsia"/>
          <w:color w:val="auto"/>
          <w:highlight w:val="none"/>
        </w:rPr>
        <w:t>时：</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①</w:t>
      </w:r>
      <w:r>
        <w:rPr>
          <w:i/>
          <w:color w:val="auto"/>
          <w:highlight w:val="none"/>
        </w:rPr>
        <w:t>P</w:t>
      </w:r>
      <w:r>
        <w:rPr>
          <w:i/>
          <w:color w:val="auto"/>
          <w:highlight w:val="none"/>
          <w:vertAlign w:val="subscript"/>
        </w:rPr>
        <w:t>t</w:t>
      </w:r>
      <w:r>
        <w:rPr>
          <w:rFonts w:hint="eastAsia"/>
          <w:i/>
          <w:color w:val="auto"/>
          <w:highlight w:val="none"/>
        </w:rPr>
        <w:t>＜</w:t>
      </w:r>
      <w:r>
        <w:rPr>
          <w:i/>
          <w:color w:val="auto"/>
          <w:highlight w:val="none"/>
        </w:rPr>
        <w:t>P</w:t>
      </w:r>
      <w:r>
        <w:rPr>
          <w:i/>
          <w:color w:val="auto"/>
          <w:highlight w:val="none"/>
          <w:vertAlign w:val="subscript"/>
        </w:rPr>
        <w:t>0</w:t>
      </w:r>
      <w:r>
        <w:rPr>
          <w:rFonts w:hint="eastAsia"/>
          <w:i/>
          <w:color w:val="auto"/>
          <w:highlight w:val="none"/>
        </w:rPr>
        <w:t>，</w:t>
      </w:r>
      <w:r>
        <w:rPr>
          <w:rFonts w:hint="eastAsia"/>
          <w:color w:val="auto"/>
          <w:highlight w:val="none"/>
        </w:rPr>
        <w:t>且</w:t>
      </w:r>
      <w:r>
        <w:rPr>
          <w:rFonts w:ascii="Symbol" w:hAnsi="Symbol"/>
          <w:i/>
          <w:color w:val="auto"/>
          <w:highlight w:val="none"/>
        </w:rPr>
        <w:sym w:font="Symbol" w:char="F060"/>
      </w:r>
      <w:r>
        <w:rPr>
          <w:i/>
          <w:color w:val="auto"/>
          <w:highlight w:val="none"/>
        </w:rPr>
        <w:t>P</w:t>
      </w:r>
      <w:r>
        <w:rPr>
          <w:rFonts w:hint="eastAsia"/>
          <w:color w:val="auto"/>
          <w:highlight w:val="none"/>
        </w:rPr>
        <w:t>/</w:t>
      </w:r>
      <w:r>
        <w:rPr>
          <w:i/>
          <w:color w:val="auto"/>
          <w:highlight w:val="none"/>
        </w:rPr>
        <w:t>P</w:t>
      </w:r>
      <w:r>
        <w:rPr>
          <w:i/>
          <w:color w:val="auto"/>
          <w:highlight w:val="none"/>
          <w:vertAlign w:val="subscript"/>
        </w:rPr>
        <w:t>0</w:t>
      </w:r>
      <w:r>
        <w:rPr>
          <w:rFonts w:hint="eastAsia"/>
          <w:color w:val="auto"/>
          <w:highlight w:val="none"/>
        </w:rPr>
        <w:t>＞1.05，则：</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C</w:t>
      </w:r>
      <w:r>
        <w:rPr>
          <w:rFonts w:hint="eastAsia"/>
          <w:color w:val="auto"/>
          <w:highlight w:val="none"/>
          <w:vertAlign w:val="subscript"/>
        </w:rPr>
        <w:t>增</w:t>
      </w:r>
      <w:r>
        <w:rPr>
          <w:rFonts w:hint="eastAsia"/>
          <w:color w:val="auto"/>
          <w:highlight w:val="none"/>
        </w:rPr>
        <w:t>=</w:t>
      </w:r>
      <w:r>
        <w:rPr>
          <w:i/>
          <w:color w:val="auto"/>
          <w:highlight w:val="none"/>
        </w:rPr>
        <w:t>Q</w:t>
      </w:r>
      <w:r>
        <w:rPr>
          <w:rFonts w:hint="eastAsia"/>
          <w:color w:val="auto"/>
          <w:highlight w:val="none"/>
          <w:vertAlign w:val="subscript"/>
        </w:rPr>
        <w:t>总</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w:t>
      </w:r>
      <w:r>
        <w:rPr>
          <w:rFonts w:ascii="Symbol" w:hAnsi="Symbol"/>
          <w:i/>
          <w:color w:val="auto"/>
          <w:highlight w:val="none"/>
        </w:rPr>
        <w:sym w:font="Symbol" w:char="F060"/>
      </w:r>
      <w:r>
        <w:rPr>
          <w:i/>
          <w:color w:val="auto"/>
          <w:highlight w:val="none"/>
        </w:rPr>
        <w:t xml:space="preserve">P </w:t>
      </w:r>
      <w:r>
        <w:rPr>
          <w:rFonts w:hint="eastAsia"/>
          <w:color w:val="auto"/>
          <w:highlight w:val="none"/>
        </w:rPr>
        <w:t>/</w:t>
      </w:r>
      <w:r>
        <w:rPr>
          <w:i/>
          <w:color w:val="auto"/>
          <w:highlight w:val="none"/>
        </w:rPr>
        <w:t>P</w:t>
      </w:r>
      <w:r>
        <w:rPr>
          <w:i/>
          <w:color w:val="auto"/>
          <w:highlight w:val="none"/>
          <w:vertAlign w:val="subscript"/>
        </w:rPr>
        <w:t>0</w:t>
      </w:r>
      <w:r>
        <w:rPr>
          <w:rFonts w:hint="eastAsia"/>
          <w:color w:val="auto"/>
          <w:highlight w:val="none"/>
        </w:rPr>
        <w:t>－1.05)</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②</w:t>
      </w:r>
      <w:r>
        <w:rPr>
          <w:i/>
          <w:color w:val="auto"/>
          <w:highlight w:val="none"/>
        </w:rPr>
        <w:t>P</w:t>
      </w:r>
      <w:r>
        <w:rPr>
          <w:i/>
          <w:color w:val="auto"/>
          <w:highlight w:val="none"/>
          <w:vertAlign w:val="subscript"/>
        </w:rPr>
        <w:t>t</w:t>
      </w:r>
      <w:r>
        <w:rPr>
          <w:rFonts w:hint="eastAsia"/>
          <w:i/>
          <w:color w:val="auto"/>
          <w:highlight w:val="none"/>
        </w:rPr>
        <w:t>≥</w:t>
      </w:r>
      <w:r>
        <w:rPr>
          <w:i/>
          <w:color w:val="auto"/>
          <w:highlight w:val="none"/>
        </w:rPr>
        <w:t>P</w:t>
      </w:r>
      <w:r>
        <w:rPr>
          <w:i/>
          <w:color w:val="auto"/>
          <w:highlight w:val="none"/>
          <w:vertAlign w:val="subscript"/>
        </w:rPr>
        <w:t>0</w:t>
      </w:r>
      <w:r>
        <w:rPr>
          <w:rFonts w:hint="eastAsia"/>
          <w:color w:val="auto"/>
          <w:highlight w:val="none"/>
        </w:rPr>
        <w:t>，且</w:t>
      </w:r>
      <w:r>
        <w:rPr>
          <w:rFonts w:ascii="Symbol" w:hAnsi="Symbol"/>
          <w:i/>
          <w:color w:val="auto"/>
          <w:highlight w:val="none"/>
        </w:rPr>
        <w:sym w:font="Symbol" w:char="F060"/>
      </w:r>
      <w:r>
        <w:rPr>
          <w:i/>
          <w:color w:val="auto"/>
          <w:highlight w:val="none"/>
        </w:rPr>
        <w:t xml:space="preserve">P </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＞1.05，则：</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C</w:t>
      </w:r>
      <w:r>
        <w:rPr>
          <w:rFonts w:hint="eastAsia"/>
          <w:color w:val="auto"/>
          <w:highlight w:val="none"/>
          <w:vertAlign w:val="subscript"/>
        </w:rPr>
        <w:t>增</w:t>
      </w:r>
      <w:r>
        <w:rPr>
          <w:rFonts w:hint="eastAsia"/>
          <w:color w:val="auto"/>
          <w:highlight w:val="none"/>
        </w:rPr>
        <w:t>=Q</w:t>
      </w:r>
      <w:r>
        <w:rPr>
          <w:rFonts w:hint="eastAsia"/>
          <w:color w:val="auto"/>
          <w:highlight w:val="none"/>
          <w:vertAlign w:val="subscript"/>
        </w:rPr>
        <w:t>总</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w:t>
      </w:r>
      <w:r>
        <w:rPr>
          <w:rFonts w:ascii="Symbol" w:hAnsi="Symbol"/>
          <w:i/>
          <w:color w:val="auto"/>
          <w:highlight w:val="none"/>
        </w:rPr>
        <w:sym w:font="Symbol" w:char="F060"/>
      </w:r>
      <w:r>
        <w:rPr>
          <w:i/>
          <w:color w:val="auto"/>
          <w:highlight w:val="none"/>
        </w:rPr>
        <w:t xml:space="preserve">P </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－1.05)</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当</w:t>
      </w:r>
      <w:r>
        <w:rPr>
          <w:rFonts w:ascii="Symbol" w:hAnsi="Symbol"/>
          <w:i/>
          <w:color w:val="auto"/>
          <w:highlight w:val="none"/>
        </w:rPr>
        <w:sym w:font="Symbol" w:char="F060"/>
      </w:r>
      <w:r>
        <w:rPr>
          <w:i/>
          <w:color w:val="auto"/>
          <w:highlight w:val="none"/>
        </w:rPr>
        <w:t>P</w:t>
      </w:r>
      <w:r>
        <w:rPr>
          <w:rFonts w:hint="eastAsia"/>
          <w:i/>
          <w:color w:val="auto"/>
          <w:highlight w:val="none"/>
        </w:rPr>
        <w:t>＜</w:t>
      </w:r>
      <w:r>
        <w:rPr>
          <w:i/>
          <w:color w:val="auto"/>
          <w:highlight w:val="none"/>
        </w:rPr>
        <w:t>P</w:t>
      </w:r>
      <w:r>
        <w:rPr>
          <w:i/>
          <w:color w:val="auto"/>
          <w:highlight w:val="none"/>
          <w:vertAlign w:val="subscript"/>
        </w:rPr>
        <w:t>0</w:t>
      </w:r>
      <w:r>
        <w:rPr>
          <w:rFonts w:hint="eastAsia"/>
          <w:color w:val="auto"/>
          <w:highlight w:val="none"/>
        </w:rPr>
        <w:t>时：</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①</w:t>
      </w:r>
      <w:r>
        <w:rPr>
          <w:i/>
          <w:color w:val="auto"/>
          <w:highlight w:val="none"/>
        </w:rPr>
        <w:t>P</w:t>
      </w:r>
      <w:r>
        <w:rPr>
          <w:i/>
          <w:color w:val="auto"/>
          <w:highlight w:val="none"/>
          <w:vertAlign w:val="subscript"/>
        </w:rPr>
        <w:t>t</w:t>
      </w:r>
      <w:r>
        <w:rPr>
          <w:rFonts w:hint="eastAsia"/>
          <w:i/>
          <w:color w:val="auto"/>
          <w:highlight w:val="none"/>
        </w:rPr>
        <w:t>＜</w:t>
      </w:r>
      <w:r>
        <w:rPr>
          <w:i/>
          <w:color w:val="auto"/>
          <w:highlight w:val="none"/>
        </w:rPr>
        <w:t>P</w:t>
      </w:r>
      <w:r>
        <w:rPr>
          <w:i/>
          <w:color w:val="auto"/>
          <w:highlight w:val="none"/>
          <w:vertAlign w:val="subscript"/>
        </w:rPr>
        <w:t>0</w:t>
      </w:r>
      <w:r>
        <w:rPr>
          <w:rFonts w:hint="eastAsia"/>
          <w:color w:val="auto"/>
          <w:highlight w:val="none"/>
        </w:rPr>
        <w:t>，且</w:t>
      </w:r>
      <w:r>
        <w:rPr>
          <w:rFonts w:ascii="Symbol" w:hAnsi="Symbol"/>
          <w:i/>
          <w:color w:val="auto"/>
          <w:highlight w:val="none"/>
        </w:rPr>
        <w:sym w:font="Symbol" w:char="F060"/>
      </w:r>
      <w:r>
        <w:rPr>
          <w:i/>
          <w:color w:val="auto"/>
          <w:highlight w:val="none"/>
        </w:rPr>
        <w:t xml:space="preserve">P </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＜0.95，则：</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C</w:t>
      </w:r>
      <w:r>
        <w:rPr>
          <w:rFonts w:hint="eastAsia"/>
          <w:color w:val="auto"/>
          <w:highlight w:val="none"/>
          <w:vertAlign w:val="subscript"/>
        </w:rPr>
        <w:t>减</w:t>
      </w:r>
      <w:r>
        <w:rPr>
          <w:rFonts w:hint="eastAsia"/>
          <w:color w:val="auto"/>
          <w:highlight w:val="none"/>
        </w:rPr>
        <w:t>=</w:t>
      </w:r>
      <w:r>
        <w:rPr>
          <w:i/>
          <w:color w:val="auto"/>
          <w:highlight w:val="none"/>
        </w:rPr>
        <w:t>Q</w:t>
      </w:r>
      <w:r>
        <w:rPr>
          <w:rFonts w:hint="eastAsia"/>
          <w:color w:val="auto"/>
          <w:highlight w:val="none"/>
          <w:vertAlign w:val="subscript"/>
        </w:rPr>
        <w:t>总</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×(0.95－</w:t>
      </w:r>
      <w:r>
        <w:rPr>
          <w:rFonts w:ascii="Symbol" w:hAnsi="Symbol"/>
          <w:i/>
          <w:color w:val="auto"/>
          <w:highlight w:val="none"/>
        </w:rPr>
        <w:sym w:font="Symbol" w:char="F060"/>
      </w:r>
      <w:r>
        <w:rPr>
          <w:i/>
          <w:color w:val="auto"/>
          <w:highlight w:val="none"/>
        </w:rPr>
        <w:t xml:space="preserve">P </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②</w:t>
      </w:r>
      <w:r>
        <w:rPr>
          <w:i/>
          <w:color w:val="auto"/>
          <w:highlight w:val="none"/>
        </w:rPr>
        <w:t>P</w:t>
      </w:r>
      <w:r>
        <w:rPr>
          <w:i/>
          <w:color w:val="auto"/>
          <w:highlight w:val="none"/>
          <w:vertAlign w:val="subscript"/>
        </w:rPr>
        <w:t>t</w:t>
      </w:r>
      <w:r>
        <w:rPr>
          <w:rFonts w:hint="eastAsia"/>
          <w:color w:val="auto"/>
          <w:highlight w:val="none"/>
        </w:rPr>
        <w:t>≥</w:t>
      </w:r>
      <w:r>
        <w:rPr>
          <w:i/>
          <w:color w:val="auto"/>
          <w:highlight w:val="none"/>
        </w:rPr>
        <w:t>P</w:t>
      </w:r>
      <w:r>
        <w:rPr>
          <w:i/>
          <w:color w:val="auto"/>
          <w:highlight w:val="none"/>
          <w:vertAlign w:val="subscript"/>
        </w:rPr>
        <w:t>0</w:t>
      </w:r>
      <w:r>
        <w:rPr>
          <w:rFonts w:hint="eastAsia"/>
          <w:color w:val="auto"/>
          <w:highlight w:val="none"/>
        </w:rPr>
        <w:t>，且</w:t>
      </w:r>
      <w:r>
        <w:rPr>
          <w:rFonts w:ascii="Symbol" w:hAnsi="Symbol"/>
          <w:i/>
          <w:color w:val="auto"/>
          <w:highlight w:val="none"/>
        </w:rPr>
        <w:sym w:font="Symbol" w:char="F060"/>
      </w:r>
      <w:r>
        <w:rPr>
          <w:i/>
          <w:color w:val="auto"/>
          <w:highlight w:val="none"/>
        </w:rPr>
        <w:t>P</w:t>
      </w:r>
      <w:r>
        <w:rPr>
          <w:color w:val="auto"/>
          <w:highlight w:val="none"/>
        </w:rPr>
        <w:t xml:space="preserve"> </w:t>
      </w:r>
      <w:r>
        <w:rPr>
          <w:rFonts w:hint="eastAsia"/>
          <w:color w:val="auto"/>
          <w:highlight w:val="none"/>
        </w:rPr>
        <w:t>/</w:t>
      </w:r>
      <w:r>
        <w:rPr>
          <w:i/>
          <w:color w:val="auto"/>
          <w:highlight w:val="none"/>
        </w:rPr>
        <w:t>P</w:t>
      </w:r>
      <w:r>
        <w:rPr>
          <w:i/>
          <w:color w:val="auto"/>
          <w:highlight w:val="none"/>
          <w:vertAlign w:val="subscript"/>
        </w:rPr>
        <w:t>0</w:t>
      </w:r>
      <w:r>
        <w:rPr>
          <w:rFonts w:hint="eastAsia"/>
          <w:color w:val="auto"/>
          <w:highlight w:val="none"/>
        </w:rPr>
        <w:t>＜</w:t>
      </w:r>
      <w:r>
        <w:rPr>
          <w:color w:val="auto"/>
          <w:highlight w:val="none"/>
        </w:rPr>
        <w:t>0.95</w:t>
      </w:r>
      <w:r>
        <w:rPr>
          <w:rFonts w:hint="eastAsia"/>
          <w:color w:val="auto"/>
          <w:highlight w:val="none"/>
        </w:rPr>
        <w:t>，则：</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C</w:t>
      </w:r>
      <w:r>
        <w:rPr>
          <w:rFonts w:hint="eastAsia"/>
          <w:color w:val="auto"/>
          <w:highlight w:val="none"/>
          <w:vertAlign w:val="subscript"/>
        </w:rPr>
        <w:t>减</w:t>
      </w:r>
      <w:r>
        <w:rPr>
          <w:rFonts w:hint="eastAsia"/>
          <w:color w:val="auto"/>
          <w:highlight w:val="none"/>
        </w:rPr>
        <w:t>=</w:t>
      </w:r>
      <w:r>
        <w:rPr>
          <w:i/>
          <w:color w:val="auto"/>
          <w:highlight w:val="none"/>
        </w:rPr>
        <w:t>Q</w:t>
      </w:r>
      <w:r>
        <w:rPr>
          <w:rFonts w:hint="eastAsia"/>
          <w:color w:val="auto"/>
          <w:highlight w:val="none"/>
          <w:vertAlign w:val="subscript"/>
        </w:rPr>
        <w:t>总</w:t>
      </w:r>
      <w:r>
        <w:rPr>
          <w:rFonts w:hint="eastAsia"/>
          <w:color w:val="auto"/>
          <w:highlight w:val="none"/>
        </w:rPr>
        <w:t>×</w:t>
      </w:r>
      <w:r>
        <w:rPr>
          <w:i/>
          <w:color w:val="auto"/>
          <w:highlight w:val="none"/>
        </w:rPr>
        <w:t>P</w:t>
      </w:r>
      <w:r>
        <w:rPr>
          <w:i/>
          <w:color w:val="auto"/>
          <w:highlight w:val="none"/>
          <w:vertAlign w:val="subscript"/>
        </w:rPr>
        <w:t>t</w:t>
      </w:r>
      <w:r>
        <w:rPr>
          <w:rFonts w:hint="eastAsia"/>
          <w:color w:val="auto"/>
          <w:highlight w:val="none"/>
        </w:rPr>
        <w:t>×(0.95－</w:t>
      </w:r>
      <w:r>
        <w:rPr>
          <w:rFonts w:ascii="Symbol" w:hAnsi="Symbol"/>
          <w:i/>
          <w:color w:val="auto"/>
          <w:highlight w:val="none"/>
        </w:rPr>
        <w:sym w:font="Symbol" w:char="F060"/>
      </w:r>
      <w:r>
        <w:rPr>
          <w:i/>
          <w:color w:val="auto"/>
          <w:highlight w:val="none"/>
        </w:rPr>
        <w:t xml:space="preserve">P </w:t>
      </w:r>
      <w:r>
        <w:rPr>
          <w:rFonts w:hint="eastAsia"/>
          <w:color w:val="auto"/>
          <w:highlight w:val="none"/>
        </w:rPr>
        <w:t>/</w:t>
      </w:r>
      <w:r>
        <w:rPr>
          <w:i/>
          <w:color w:val="auto"/>
          <w:highlight w:val="none"/>
        </w:rPr>
        <w:t>P</w:t>
      </w:r>
      <w:r>
        <w:rPr>
          <w:i/>
          <w:color w:val="auto"/>
          <w:highlight w:val="none"/>
          <w:vertAlign w:val="subscript"/>
        </w:rPr>
        <w:t>0</w:t>
      </w:r>
      <w:r>
        <w:rPr>
          <w:rFonts w:hint="eastAsia"/>
          <w:color w:val="auto"/>
          <w:highlight w:val="none"/>
        </w:rPr>
        <w:t>)</w:t>
      </w:r>
    </w:p>
    <w:p>
      <w:pPr>
        <w:tabs>
          <w:tab w:val="left" w:pos="1620"/>
          <w:tab w:val="left" w:pos="2340"/>
        </w:tabs>
        <w:adjustRightInd w:val="0"/>
        <w:snapToGrid w:val="0"/>
        <w:spacing w:line="360" w:lineRule="auto"/>
        <w:ind w:left="1260"/>
        <w:rPr>
          <w:color w:val="auto"/>
          <w:highlight w:val="none"/>
        </w:rPr>
      </w:pPr>
      <w:r>
        <w:rPr>
          <w:rFonts w:hint="eastAsia"/>
          <w:color w:val="auto"/>
          <w:highlight w:val="none"/>
        </w:rPr>
        <w:t>式中：</w:t>
      </w:r>
    </w:p>
    <w:p>
      <w:pPr>
        <w:tabs>
          <w:tab w:val="left" w:pos="1620"/>
          <w:tab w:val="left" w:pos="2340"/>
        </w:tabs>
        <w:adjustRightInd w:val="0"/>
        <w:snapToGrid w:val="0"/>
        <w:spacing w:line="360" w:lineRule="auto"/>
        <w:ind w:left="1440"/>
        <w:rPr>
          <w:color w:val="auto"/>
          <w:highlight w:val="none"/>
        </w:rPr>
      </w:pPr>
      <w:r>
        <w:rPr>
          <w:rFonts w:hint="eastAsia"/>
          <w:color w:val="auto"/>
          <w:highlight w:val="none"/>
        </w:rPr>
        <w:t>P</w:t>
      </w:r>
      <w:r>
        <w:rPr>
          <w:rFonts w:hint="eastAsia"/>
          <w:color w:val="auto"/>
          <w:highlight w:val="none"/>
          <w:vertAlign w:val="subscript"/>
        </w:rPr>
        <w:t>0</w:t>
      </w:r>
      <w:r>
        <w:rPr>
          <w:rFonts w:hint="eastAsia"/>
          <w:color w:val="auto"/>
          <w:highlight w:val="none"/>
        </w:rPr>
        <w:t>－投标截止日期前35天的当月或</w:t>
      </w:r>
      <w:r>
        <w:rPr>
          <w:rFonts w:hint="eastAsia"/>
          <w:b/>
          <w:i/>
          <w:color w:val="auto"/>
          <w:highlight w:val="none"/>
        </w:rPr>
        <w:t>专用条款</w:t>
      </w:r>
      <w:r>
        <w:rPr>
          <w:rFonts w:hint="eastAsia"/>
          <w:color w:val="auto"/>
          <w:highlight w:val="none"/>
        </w:rPr>
        <w:t>约定月份《深圳建设工程价格信息》某材料价格。示例：投标截止日期如果是2018年5月5日，前35天为3月31日，则P</w:t>
      </w:r>
      <w:r>
        <w:rPr>
          <w:rFonts w:hint="eastAsia"/>
          <w:color w:val="auto"/>
          <w:highlight w:val="none"/>
          <w:vertAlign w:val="subscript"/>
        </w:rPr>
        <w:t>0</w:t>
      </w:r>
      <w:r>
        <w:rPr>
          <w:rFonts w:hint="eastAsia"/>
          <w:color w:val="auto"/>
          <w:highlight w:val="none"/>
        </w:rPr>
        <w:t>对应的信息价是指2018年3月《深圳建设工程价格信息》。投标截止日期如果是2018年5月6日，前35天为4月1日，则P</w:t>
      </w:r>
      <w:r>
        <w:rPr>
          <w:rFonts w:hint="eastAsia"/>
          <w:color w:val="auto"/>
          <w:highlight w:val="none"/>
          <w:vertAlign w:val="subscript"/>
        </w:rPr>
        <w:t>0</w:t>
      </w:r>
      <w:r>
        <w:rPr>
          <w:rFonts w:hint="eastAsia"/>
          <w:color w:val="auto"/>
          <w:highlight w:val="none"/>
        </w:rPr>
        <w:t>对应的信息价是指2018年4月《深圳建设工程价格信息》。</w:t>
      </w:r>
    </w:p>
    <w:p>
      <w:pPr>
        <w:tabs>
          <w:tab w:val="left" w:pos="1620"/>
          <w:tab w:val="left" w:pos="2340"/>
        </w:tabs>
        <w:adjustRightInd w:val="0"/>
        <w:snapToGrid w:val="0"/>
        <w:spacing w:line="360" w:lineRule="auto"/>
        <w:ind w:left="1440"/>
        <w:rPr>
          <w:color w:val="auto"/>
          <w:highlight w:val="none"/>
        </w:rPr>
      </w:pPr>
      <w:r>
        <w:rPr>
          <w:rFonts w:hint="eastAsia"/>
          <w:color w:val="auto"/>
          <w:highlight w:val="none"/>
        </w:rPr>
        <w:t>P</w:t>
      </w:r>
      <w:r>
        <w:rPr>
          <w:rFonts w:hint="eastAsia"/>
          <w:color w:val="auto"/>
          <w:highlight w:val="none"/>
          <w:vertAlign w:val="subscript"/>
        </w:rPr>
        <w:t>t</w:t>
      </w:r>
      <w:r>
        <w:rPr>
          <w:rFonts w:hint="eastAsia"/>
          <w:color w:val="auto"/>
          <w:highlight w:val="none"/>
        </w:rPr>
        <w:t>－承包人投标文件商务标书中某材料的投标单价，如投标报价中无法确认某材料的单价时，则P</w:t>
      </w:r>
      <w:r>
        <w:rPr>
          <w:rFonts w:hint="eastAsia"/>
          <w:color w:val="auto"/>
          <w:highlight w:val="none"/>
          <w:vertAlign w:val="subscript"/>
        </w:rPr>
        <w:t>t</w:t>
      </w:r>
      <w:r>
        <w:rPr>
          <w:rFonts w:hint="eastAsia"/>
          <w:color w:val="auto"/>
          <w:highlight w:val="none"/>
        </w:rPr>
        <w:t>取值为P</w:t>
      </w:r>
      <w:r>
        <w:rPr>
          <w:rFonts w:hint="eastAsia"/>
          <w:color w:val="auto"/>
          <w:highlight w:val="none"/>
          <w:vertAlign w:val="subscript"/>
        </w:rPr>
        <w:t>0</w:t>
      </w:r>
      <w:r>
        <w:rPr>
          <w:rFonts w:hint="eastAsia"/>
          <w:color w:val="auto"/>
          <w:highlight w:val="none"/>
        </w:rPr>
        <w:t>×（1-中标净下浮率）；</w:t>
      </w:r>
    </w:p>
    <w:p>
      <w:pPr>
        <w:tabs>
          <w:tab w:val="left" w:pos="1620"/>
          <w:tab w:val="left" w:pos="2340"/>
        </w:tabs>
        <w:adjustRightInd w:val="0"/>
        <w:snapToGrid w:val="0"/>
        <w:spacing w:line="360" w:lineRule="auto"/>
        <w:ind w:left="1440"/>
        <w:rPr>
          <w:color w:val="auto"/>
          <w:highlight w:val="none"/>
        </w:rPr>
      </w:pPr>
      <w:r>
        <w:rPr>
          <w:rFonts w:hint="eastAsia"/>
          <w:color w:val="auto"/>
          <w:highlight w:val="none"/>
        </w:rPr>
        <w:t>C</w:t>
      </w:r>
      <w:r>
        <w:rPr>
          <w:rFonts w:hint="eastAsia"/>
          <w:color w:val="auto"/>
          <w:highlight w:val="none"/>
          <w:vertAlign w:val="subscript"/>
        </w:rPr>
        <w:t>增</w:t>
      </w:r>
      <w:r>
        <w:rPr>
          <w:rFonts w:hint="eastAsia"/>
          <w:color w:val="auto"/>
          <w:highlight w:val="none"/>
        </w:rPr>
        <w:t>－调增合同价格；</w:t>
      </w:r>
    </w:p>
    <w:p>
      <w:pPr>
        <w:tabs>
          <w:tab w:val="left" w:pos="1620"/>
          <w:tab w:val="left" w:pos="2340"/>
        </w:tabs>
        <w:adjustRightInd w:val="0"/>
        <w:snapToGrid w:val="0"/>
        <w:spacing w:line="360" w:lineRule="auto"/>
        <w:ind w:left="1440"/>
        <w:rPr>
          <w:color w:val="auto"/>
          <w:highlight w:val="none"/>
        </w:rPr>
      </w:pPr>
      <w:r>
        <w:rPr>
          <w:rFonts w:hint="eastAsia"/>
          <w:color w:val="auto"/>
          <w:highlight w:val="none"/>
        </w:rPr>
        <w:t>C</w:t>
      </w:r>
      <w:r>
        <w:rPr>
          <w:rFonts w:hint="eastAsia"/>
          <w:color w:val="auto"/>
          <w:highlight w:val="none"/>
          <w:vertAlign w:val="subscript"/>
        </w:rPr>
        <w:t>减</w:t>
      </w:r>
      <w:r>
        <w:rPr>
          <w:rFonts w:hint="eastAsia"/>
          <w:color w:val="auto"/>
          <w:highlight w:val="none"/>
        </w:rPr>
        <w:t>－调减合同价格；</w:t>
      </w:r>
    </w:p>
    <w:p>
      <w:pPr>
        <w:tabs>
          <w:tab w:val="left" w:pos="1620"/>
          <w:tab w:val="left" w:pos="2340"/>
        </w:tabs>
        <w:adjustRightInd w:val="0"/>
        <w:snapToGrid w:val="0"/>
        <w:spacing w:line="360" w:lineRule="auto"/>
        <w:ind w:left="1440"/>
        <w:rPr>
          <w:color w:val="auto"/>
          <w:highlight w:val="none"/>
        </w:rPr>
      </w:pPr>
      <w:r>
        <w:rPr>
          <w:rFonts w:hint="eastAsia"/>
          <w:color w:val="auto"/>
          <w:highlight w:val="none"/>
        </w:rPr>
        <w:t>Q</w:t>
      </w:r>
      <w:r>
        <w:rPr>
          <w:rFonts w:hint="eastAsia"/>
          <w:color w:val="auto"/>
          <w:highlight w:val="none"/>
          <w:vertAlign w:val="subscript"/>
        </w:rPr>
        <w:t>总</w:t>
      </w:r>
      <w:r>
        <w:rPr>
          <w:rFonts w:hint="eastAsia"/>
          <w:color w:val="auto"/>
          <w:highlight w:val="none"/>
        </w:rPr>
        <w:t>－本项目已完工程合格产品的某材料总用量（其中消耗量因素在</w:t>
      </w:r>
      <w:r>
        <w:rPr>
          <w:rFonts w:hint="eastAsia"/>
          <w:b/>
          <w:i/>
          <w:color w:val="auto"/>
          <w:highlight w:val="none"/>
        </w:rPr>
        <w:t>专用条款</w:t>
      </w:r>
      <w:r>
        <w:rPr>
          <w:rFonts w:hint="eastAsia"/>
          <w:color w:val="auto"/>
          <w:highlight w:val="none"/>
        </w:rPr>
        <w:t>约定）。</w:t>
      </w:r>
    </w:p>
    <w:p>
      <w:pPr>
        <w:tabs>
          <w:tab w:val="left" w:pos="1620"/>
          <w:tab w:val="left" w:pos="2340"/>
        </w:tabs>
        <w:adjustRightInd w:val="0"/>
        <w:snapToGrid w:val="0"/>
        <w:spacing w:line="360" w:lineRule="auto"/>
        <w:ind w:firstLine="1440" w:firstLineChars="600"/>
        <w:rPr>
          <w:color w:val="auto"/>
          <w:highlight w:val="none"/>
        </w:rPr>
      </w:pPr>
      <w:r>
        <w:rPr>
          <w:rFonts w:ascii="Symbol" w:hAnsi="Symbol"/>
          <w:i/>
          <w:color w:val="auto"/>
          <w:highlight w:val="none"/>
        </w:rPr>
        <w:sym w:font="Symbol" w:char="F060"/>
      </w:r>
      <w:r>
        <w:rPr>
          <w:i/>
          <w:color w:val="auto"/>
          <w:highlight w:val="none"/>
        </w:rPr>
        <w:t>P</w:t>
      </w:r>
      <w:r>
        <w:rPr>
          <w:rFonts w:hint="eastAsia"/>
          <w:color w:val="auto"/>
          <w:highlight w:val="none"/>
        </w:rPr>
        <w:t>－</w:t>
      </w:r>
      <w:r>
        <w:rPr>
          <w:color w:val="auto"/>
          <w:highlight w:val="none"/>
        </w:rPr>
        <w:t>计算</w:t>
      </w:r>
      <w:r>
        <w:rPr>
          <w:rFonts w:hint="eastAsia"/>
          <w:color w:val="auto"/>
          <w:highlight w:val="none"/>
        </w:rPr>
        <w:t>方式如下（或按</w:t>
      </w:r>
      <w:r>
        <w:rPr>
          <w:b/>
          <w:i/>
          <w:color w:val="auto"/>
          <w:highlight w:val="none"/>
        </w:rPr>
        <w:t>专用条款</w:t>
      </w:r>
      <w:r>
        <w:rPr>
          <w:color w:val="auto"/>
          <w:highlight w:val="none"/>
        </w:rPr>
        <w:t>中约定</w:t>
      </w:r>
      <w:r>
        <w:rPr>
          <w:rFonts w:hint="eastAsia"/>
          <w:color w:val="auto"/>
          <w:highlight w:val="none"/>
        </w:rPr>
        <w:t>的</w:t>
      </w:r>
      <w:r>
        <w:rPr>
          <w:color w:val="auto"/>
          <w:highlight w:val="none"/>
        </w:rPr>
        <w:t>方法</w:t>
      </w:r>
      <w:r>
        <w:rPr>
          <w:rFonts w:hint="eastAsia"/>
          <w:color w:val="auto"/>
          <w:highlight w:val="none"/>
        </w:rPr>
        <w:t>）</w:t>
      </w:r>
      <w:r>
        <w:rPr>
          <w:color w:val="auto"/>
          <w:highlight w:val="none"/>
        </w:rPr>
        <w:t>：</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①加权平均法：</w:t>
      </w:r>
    </w:p>
    <w:p>
      <w:pPr>
        <w:adjustRightInd w:val="0"/>
        <w:snapToGrid w:val="0"/>
        <w:spacing w:line="360" w:lineRule="auto"/>
        <w:ind w:left="1440"/>
        <w:rPr>
          <w:color w:val="auto"/>
          <w:highlight w:val="none"/>
        </w:rPr>
      </w:pPr>
      <w:r>
        <w:rPr>
          <w:rFonts w:ascii="Symbol" w:hAnsi="Symbol"/>
          <w:i/>
          <w:color w:val="auto"/>
          <w:highlight w:val="none"/>
        </w:rPr>
        <w:sym w:font="Symbol" w:char="F060"/>
      </w:r>
      <w:r>
        <w:rPr>
          <w:i/>
          <w:color w:val="auto"/>
          <w:highlight w:val="none"/>
        </w:rPr>
        <w:t>P</w:t>
      </w:r>
      <w:r>
        <w:rPr>
          <w:color w:val="auto"/>
          <w:highlight w:val="none"/>
        </w:rPr>
        <w:t xml:space="preserve"> </w:t>
      </w:r>
      <w:r>
        <w:rPr>
          <w:rFonts w:hint="eastAsia"/>
          <w:color w:val="auto"/>
          <w:highlight w:val="none"/>
        </w:rPr>
        <w:t>-施工期加权平均价格，即∑(Q</w:t>
      </w:r>
      <w:r>
        <w:rPr>
          <w:rFonts w:hint="eastAsia"/>
          <w:color w:val="auto"/>
          <w:highlight w:val="none"/>
          <w:vertAlign w:val="subscript"/>
        </w:rPr>
        <w:t>i</w:t>
      </w:r>
      <w:r>
        <w:rPr>
          <w:rFonts w:hint="eastAsia"/>
          <w:color w:val="auto"/>
          <w:highlight w:val="none"/>
        </w:rPr>
        <w:t>×P</w:t>
      </w:r>
      <w:r>
        <w:rPr>
          <w:rFonts w:hint="eastAsia"/>
          <w:color w:val="auto"/>
          <w:highlight w:val="none"/>
          <w:vertAlign w:val="subscript"/>
        </w:rPr>
        <w:t>i</w:t>
      </w:r>
      <w:r>
        <w:rPr>
          <w:rFonts w:hint="eastAsia"/>
          <w:color w:val="auto"/>
          <w:highlight w:val="none"/>
        </w:rPr>
        <w:t>)/Q</w:t>
      </w:r>
      <w:r>
        <w:rPr>
          <w:rFonts w:hint="eastAsia"/>
          <w:color w:val="auto"/>
          <w:highlight w:val="none"/>
          <w:vertAlign w:val="subscript"/>
        </w:rPr>
        <w:t>总</w:t>
      </w:r>
      <w:r>
        <w:rPr>
          <w:rFonts w:hint="eastAsia"/>
          <w:color w:val="auto"/>
          <w:highlight w:val="none"/>
        </w:rPr>
        <w:t>，其中Q</w:t>
      </w:r>
      <w:r>
        <w:rPr>
          <w:rFonts w:hint="eastAsia"/>
          <w:color w:val="auto"/>
          <w:highlight w:val="none"/>
          <w:vertAlign w:val="subscript"/>
        </w:rPr>
        <w:t>i</w:t>
      </w:r>
      <w:r>
        <w:rPr>
          <w:rFonts w:hint="eastAsia"/>
          <w:color w:val="auto"/>
          <w:highlight w:val="none"/>
        </w:rPr>
        <w:t>为施工期第i个月某材料用量（消耗量因素在</w:t>
      </w:r>
      <w:r>
        <w:rPr>
          <w:rFonts w:hint="eastAsia"/>
          <w:b/>
          <w:i/>
          <w:color w:val="auto"/>
          <w:highlight w:val="none"/>
        </w:rPr>
        <w:t>专用条款</w:t>
      </w:r>
      <w:r>
        <w:rPr>
          <w:rFonts w:hint="eastAsia"/>
          <w:color w:val="auto"/>
          <w:highlight w:val="none"/>
        </w:rPr>
        <w:t>约定）；P</w:t>
      </w:r>
      <w:r>
        <w:rPr>
          <w:rFonts w:hint="eastAsia"/>
          <w:color w:val="auto"/>
          <w:highlight w:val="none"/>
          <w:vertAlign w:val="subscript"/>
        </w:rPr>
        <w:t>i</w:t>
      </w:r>
      <w:r>
        <w:rPr>
          <w:rFonts w:hint="eastAsia"/>
          <w:color w:val="auto"/>
          <w:highlight w:val="none"/>
        </w:rPr>
        <w:t>为施工期第i个月当月《深圳建设工程价格信息》某材料价格。例如施工期第i个月是2018年6月，则对应2018年6月《深圳建设工程价格信息》。</w:t>
      </w:r>
    </w:p>
    <w:p>
      <w:pPr>
        <w:tabs>
          <w:tab w:val="left" w:pos="1620"/>
          <w:tab w:val="left" w:pos="2340"/>
        </w:tabs>
        <w:adjustRightInd w:val="0"/>
        <w:snapToGrid w:val="0"/>
        <w:spacing w:line="360" w:lineRule="auto"/>
        <w:ind w:firstLine="1200" w:firstLineChars="500"/>
        <w:rPr>
          <w:color w:val="auto"/>
          <w:highlight w:val="none"/>
        </w:rPr>
      </w:pPr>
      <w:r>
        <w:rPr>
          <w:rFonts w:hint="eastAsia"/>
          <w:color w:val="auto"/>
          <w:highlight w:val="none"/>
        </w:rPr>
        <w:t>或者②算术平均法：</w:t>
      </w:r>
    </w:p>
    <w:p>
      <w:pPr>
        <w:adjustRightInd w:val="0"/>
        <w:snapToGrid w:val="0"/>
        <w:spacing w:line="360" w:lineRule="auto"/>
        <w:ind w:left="1440"/>
        <w:rPr>
          <w:color w:val="auto"/>
          <w:highlight w:val="none"/>
        </w:rPr>
      </w:pPr>
      <w:r>
        <w:rPr>
          <w:rFonts w:ascii="Symbol" w:hAnsi="Symbol"/>
          <w:i/>
          <w:color w:val="auto"/>
          <w:highlight w:val="none"/>
        </w:rPr>
        <w:sym w:font="Symbol" w:char="F060"/>
      </w:r>
      <w:r>
        <w:rPr>
          <w:i/>
          <w:color w:val="auto"/>
          <w:highlight w:val="none"/>
        </w:rPr>
        <w:t>P</w:t>
      </w:r>
      <w:r>
        <w:rPr>
          <w:color w:val="auto"/>
          <w:highlight w:val="none"/>
        </w:rPr>
        <w:t xml:space="preserve"> </w:t>
      </w:r>
      <w:r>
        <w:rPr>
          <w:rFonts w:hint="eastAsia"/>
          <w:color w:val="auto"/>
          <w:highlight w:val="none"/>
        </w:rPr>
        <w:t>-本工程有某材料投入月份对应《深圳建设工程价格信息》某材料价格的算术平均值。例如有某材料投入月份是指2018年6月至8月，则对应2018年6月至8月《深圳建设工程价格信息》某材料价格之和除以3。</w:t>
      </w:r>
    </w:p>
    <w:p>
      <w:pPr>
        <w:adjustRightInd w:val="0"/>
        <w:snapToGrid w:val="0"/>
        <w:spacing w:line="360" w:lineRule="auto"/>
        <w:ind w:left="359"/>
        <w:rPr>
          <w:color w:val="auto"/>
          <w:highlight w:val="none"/>
        </w:rPr>
      </w:pPr>
      <w:r>
        <w:rPr>
          <w:b/>
          <w:color w:val="auto"/>
          <w:highlight w:val="none"/>
        </w:rPr>
        <w:t>20.6</w:t>
      </w:r>
      <w:r>
        <w:rPr>
          <w:rFonts w:hint="eastAsia"/>
          <w:b/>
          <w:color w:val="auto"/>
          <w:highlight w:val="none"/>
        </w:rPr>
        <w:t>人工、机械使用调差方法</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⑴用于本工程的机械使用发生价格波动时，按照20.5款调差公式，将公式中的材料价格替换为机械使用价格，调整合同价格。</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⑵用于本工程的人工发生价格波动时，可在</w:t>
      </w:r>
      <w:r>
        <w:rPr>
          <w:rFonts w:hint="eastAsia"/>
          <w:b/>
          <w:i/>
          <w:color w:val="auto"/>
          <w:highlight w:val="none"/>
        </w:rPr>
        <w:t>专用条款</w:t>
      </w:r>
      <w:r>
        <w:rPr>
          <w:rFonts w:hint="eastAsia"/>
          <w:color w:val="auto"/>
          <w:highlight w:val="none"/>
        </w:rPr>
        <w:t>中约定一种调差方式：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①按照20.5款调差公式，将公式中的材料价格替换为人工价格，调整合同价格。其中，P</w:t>
      </w:r>
      <w:r>
        <w:rPr>
          <w:rFonts w:hint="eastAsia"/>
          <w:color w:val="auto"/>
          <w:highlight w:val="none"/>
          <w:vertAlign w:val="subscript"/>
        </w:rPr>
        <w:t>0</w:t>
      </w:r>
      <w:r>
        <w:rPr>
          <w:rFonts w:hint="eastAsia"/>
          <w:color w:val="auto"/>
          <w:highlight w:val="none"/>
        </w:rPr>
        <w:t>为投标截止日期前35天的当月或专用条款约定月份《深圳建设工程价格信息》某人工定额工日价格；P</w:t>
      </w:r>
      <w:r>
        <w:rPr>
          <w:rFonts w:hint="eastAsia"/>
          <w:color w:val="auto"/>
          <w:highlight w:val="none"/>
          <w:vertAlign w:val="subscript"/>
        </w:rPr>
        <w:t>i</w:t>
      </w:r>
      <w:r>
        <w:rPr>
          <w:rFonts w:hint="eastAsia"/>
          <w:color w:val="auto"/>
          <w:highlight w:val="none"/>
        </w:rPr>
        <w:t>为施工期第i个月《深圳建设工程价格信息》某人工定额工日价格。或；</w:t>
      </w:r>
    </w:p>
    <w:p>
      <w:pPr>
        <w:adjustRightInd w:val="0"/>
        <w:snapToGrid w:val="0"/>
        <w:spacing w:line="360" w:lineRule="auto"/>
        <w:ind w:firstLine="1080" w:firstLineChars="450"/>
        <w:rPr>
          <w:rFonts w:ascii="Calibri" w:hAnsi="Calibri"/>
          <w:color w:val="auto"/>
          <w:szCs w:val="22"/>
          <w:highlight w:val="none"/>
        </w:rPr>
      </w:pPr>
      <w:r>
        <w:rPr>
          <w:rFonts w:hint="eastAsia"/>
          <w:color w:val="auto"/>
          <w:szCs w:val="21"/>
          <w:highlight w:val="none"/>
        </w:rPr>
        <w:t>②按照人工费指数调差：</w:t>
      </w:r>
    </w:p>
    <w:p>
      <w:pPr>
        <w:adjustRightInd w:val="0"/>
        <w:snapToGrid w:val="0"/>
        <w:spacing w:line="360" w:lineRule="auto"/>
        <w:ind w:firstLine="1080" w:firstLineChars="450"/>
        <w:rPr>
          <w:color w:val="auto"/>
          <w:szCs w:val="21"/>
          <w:highlight w:val="none"/>
        </w:rPr>
      </w:pPr>
      <w:r>
        <w:rPr>
          <w:color w:val="auto"/>
          <w:szCs w:val="21"/>
          <w:highlight w:val="none"/>
        </w:rPr>
        <w:t>当</w:t>
      </w:r>
      <w:r>
        <w:rPr>
          <w:rFonts w:ascii="Symbol" w:hAnsi="Symbol"/>
          <w:color w:val="auto"/>
          <w:szCs w:val="21"/>
          <w:highlight w:val="none"/>
        </w:rPr>
        <w:sym w:font="Symbol" w:char="F060"/>
      </w:r>
      <w:r>
        <w:rPr>
          <w:i/>
          <w:color w:val="auto"/>
          <w:szCs w:val="21"/>
          <w:highlight w:val="none"/>
        </w:rPr>
        <w:t>I</w:t>
      </w:r>
      <w:r>
        <w:rPr>
          <w:rFonts w:hint="eastAsia"/>
          <w:i/>
          <w:color w:val="auto"/>
          <w:szCs w:val="21"/>
          <w:highlight w:val="none"/>
        </w:rPr>
        <w:t xml:space="preserve"> </w:t>
      </w:r>
      <w:r>
        <w:rPr>
          <w:color w:val="auto"/>
          <w:szCs w:val="21"/>
          <w:highlight w:val="none"/>
        </w:rPr>
        <w:t>/I</w:t>
      </w:r>
      <w:r>
        <w:rPr>
          <w:color w:val="auto"/>
          <w:szCs w:val="21"/>
          <w:highlight w:val="none"/>
          <w:vertAlign w:val="subscript"/>
        </w:rPr>
        <w:t>o</w:t>
      </w:r>
      <w:r>
        <w:rPr>
          <w:color w:val="auto"/>
          <w:szCs w:val="21"/>
          <w:highlight w:val="none"/>
        </w:rPr>
        <w:t>﹥1.05时，则：C</w:t>
      </w:r>
      <w:r>
        <w:rPr>
          <w:color w:val="auto"/>
          <w:szCs w:val="21"/>
          <w:highlight w:val="none"/>
          <w:vertAlign w:val="subscript"/>
        </w:rPr>
        <w:t>增</w:t>
      </w:r>
      <w:r>
        <w:rPr>
          <w:color w:val="auto"/>
          <w:szCs w:val="21"/>
          <w:highlight w:val="none"/>
        </w:rPr>
        <w:t>=L</w:t>
      </w:r>
      <w:r>
        <w:rPr>
          <w:color w:val="auto"/>
          <w:szCs w:val="21"/>
          <w:highlight w:val="none"/>
          <w:vertAlign w:val="subscript"/>
        </w:rPr>
        <w:t>总</w:t>
      </w:r>
      <w:r>
        <w:rPr>
          <w:rFonts w:hint="eastAsia"/>
          <w:color w:val="auto"/>
          <w:szCs w:val="21"/>
          <w:highlight w:val="none"/>
        </w:rPr>
        <w:t>×(</w:t>
      </w:r>
      <w:r>
        <w:rPr>
          <w:rFonts w:ascii="Symbol" w:hAnsi="Symbol"/>
          <w:color w:val="auto"/>
          <w:szCs w:val="21"/>
          <w:highlight w:val="none"/>
        </w:rPr>
        <w:sym w:font="Symbol" w:char="F060"/>
      </w:r>
      <w:r>
        <w:rPr>
          <w:i/>
          <w:color w:val="auto"/>
          <w:szCs w:val="21"/>
          <w:highlight w:val="none"/>
        </w:rPr>
        <w:t>I</w:t>
      </w:r>
      <w:r>
        <w:rPr>
          <w:rFonts w:hint="eastAsia"/>
          <w:i/>
          <w:color w:val="auto"/>
          <w:szCs w:val="21"/>
          <w:highlight w:val="none"/>
        </w:rPr>
        <w:t xml:space="preserve"> </w:t>
      </w:r>
      <w:r>
        <w:rPr>
          <w:color w:val="auto"/>
          <w:szCs w:val="21"/>
          <w:highlight w:val="none"/>
        </w:rPr>
        <w:t>/I</w:t>
      </w:r>
      <w:r>
        <w:rPr>
          <w:color w:val="auto"/>
          <w:szCs w:val="21"/>
          <w:highlight w:val="none"/>
          <w:vertAlign w:val="subscript"/>
        </w:rPr>
        <w:t>o</w:t>
      </w:r>
      <w:r>
        <w:rPr>
          <w:color w:val="auto"/>
          <w:szCs w:val="21"/>
          <w:highlight w:val="none"/>
        </w:rPr>
        <w:t>-1.05</w:t>
      </w:r>
      <w:r>
        <w:rPr>
          <w:rFonts w:hint="eastAsia"/>
          <w:color w:val="auto"/>
          <w:szCs w:val="21"/>
          <w:highlight w:val="none"/>
        </w:rPr>
        <w:t>)；</w:t>
      </w:r>
    </w:p>
    <w:p>
      <w:pPr>
        <w:adjustRightInd w:val="0"/>
        <w:snapToGrid w:val="0"/>
        <w:spacing w:line="360" w:lineRule="auto"/>
        <w:ind w:firstLine="1080" w:firstLineChars="450"/>
        <w:rPr>
          <w:color w:val="auto"/>
          <w:szCs w:val="21"/>
          <w:highlight w:val="none"/>
        </w:rPr>
      </w:pPr>
      <w:r>
        <w:rPr>
          <w:color w:val="auto"/>
          <w:szCs w:val="21"/>
          <w:highlight w:val="none"/>
        </w:rPr>
        <w:t>当</w:t>
      </w:r>
      <w:r>
        <w:rPr>
          <w:rFonts w:ascii="Symbol" w:hAnsi="Symbol"/>
          <w:color w:val="auto"/>
          <w:szCs w:val="21"/>
          <w:highlight w:val="none"/>
        </w:rPr>
        <w:sym w:font="Symbol" w:char="F060"/>
      </w:r>
      <w:r>
        <w:rPr>
          <w:i/>
          <w:color w:val="auto"/>
          <w:szCs w:val="21"/>
          <w:highlight w:val="none"/>
        </w:rPr>
        <w:t>I</w:t>
      </w:r>
      <w:r>
        <w:rPr>
          <w:rFonts w:hint="eastAsia"/>
          <w:i/>
          <w:color w:val="auto"/>
          <w:szCs w:val="21"/>
          <w:highlight w:val="none"/>
        </w:rPr>
        <w:t xml:space="preserve"> </w:t>
      </w:r>
      <w:r>
        <w:rPr>
          <w:color w:val="auto"/>
          <w:szCs w:val="21"/>
          <w:highlight w:val="none"/>
        </w:rPr>
        <w:t>/I</w:t>
      </w:r>
      <w:r>
        <w:rPr>
          <w:color w:val="auto"/>
          <w:szCs w:val="21"/>
          <w:highlight w:val="none"/>
          <w:vertAlign w:val="subscript"/>
        </w:rPr>
        <w:t>o</w:t>
      </w:r>
      <w:r>
        <w:rPr>
          <w:color w:val="auto"/>
          <w:szCs w:val="21"/>
          <w:highlight w:val="none"/>
        </w:rPr>
        <w:t>﹤0.95时，则：C</w:t>
      </w:r>
      <w:r>
        <w:rPr>
          <w:color w:val="auto"/>
          <w:szCs w:val="21"/>
          <w:highlight w:val="none"/>
          <w:vertAlign w:val="subscript"/>
        </w:rPr>
        <w:t>减</w:t>
      </w:r>
      <w:r>
        <w:rPr>
          <w:color w:val="auto"/>
          <w:szCs w:val="21"/>
          <w:highlight w:val="none"/>
        </w:rPr>
        <w:t>=L</w:t>
      </w:r>
      <w:r>
        <w:rPr>
          <w:color w:val="auto"/>
          <w:szCs w:val="21"/>
          <w:highlight w:val="none"/>
          <w:vertAlign w:val="subscript"/>
        </w:rPr>
        <w:t>总</w:t>
      </w:r>
      <w:r>
        <w:rPr>
          <w:rFonts w:hint="eastAsia"/>
          <w:color w:val="auto"/>
          <w:szCs w:val="21"/>
          <w:highlight w:val="none"/>
        </w:rPr>
        <w:t>×(</w:t>
      </w:r>
      <w:r>
        <w:rPr>
          <w:color w:val="auto"/>
          <w:szCs w:val="21"/>
          <w:highlight w:val="none"/>
        </w:rPr>
        <w:t>0.95-</w:t>
      </w:r>
      <w:r>
        <w:rPr>
          <w:rFonts w:ascii="Symbol" w:hAnsi="Symbol"/>
          <w:color w:val="auto"/>
          <w:szCs w:val="21"/>
          <w:highlight w:val="none"/>
        </w:rPr>
        <w:sym w:font="Symbol" w:char="F060"/>
      </w:r>
      <w:r>
        <w:rPr>
          <w:i/>
          <w:color w:val="auto"/>
          <w:szCs w:val="21"/>
          <w:highlight w:val="none"/>
        </w:rPr>
        <w:t>I</w:t>
      </w:r>
      <w:r>
        <w:rPr>
          <w:rFonts w:hint="eastAsia"/>
          <w:i/>
          <w:color w:val="auto"/>
          <w:szCs w:val="21"/>
          <w:highlight w:val="none"/>
        </w:rPr>
        <w:t xml:space="preserve"> </w:t>
      </w:r>
      <w:r>
        <w:rPr>
          <w:color w:val="auto"/>
          <w:szCs w:val="21"/>
          <w:highlight w:val="none"/>
        </w:rPr>
        <w:t>/I</w:t>
      </w:r>
      <w:r>
        <w:rPr>
          <w:color w:val="auto"/>
          <w:szCs w:val="21"/>
          <w:highlight w:val="none"/>
          <w:vertAlign w:val="subscript"/>
        </w:rPr>
        <w:t>o</w:t>
      </w:r>
      <w:r>
        <w:rPr>
          <w:rFonts w:hint="eastAsia"/>
          <w:color w:val="auto"/>
          <w:szCs w:val="21"/>
          <w:highlight w:val="none"/>
        </w:rPr>
        <w:t>)</w:t>
      </w:r>
    </w:p>
    <w:p>
      <w:pPr>
        <w:adjustRightInd w:val="0"/>
        <w:snapToGrid w:val="0"/>
        <w:spacing w:line="360" w:lineRule="auto"/>
        <w:ind w:firstLine="1080" w:firstLineChars="450"/>
        <w:rPr>
          <w:color w:val="auto"/>
          <w:szCs w:val="21"/>
          <w:highlight w:val="none"/>
        </w:rPr>
      </w:pPr>
      <w:r>
        <w:rPr>
          <w:rFonts w:hint="eastAsia"/>
          <w:color w:val="auto"/>
          <w:szCs w:val="21"/>
          <w:highlight w:val="none"/>
        </w:rPr>
        <w:t>式中：</w:t>
      </w:r>
    </w:p>
    <w:p>
      <w:pPr>
        <w:adjustRightInd w:val="0"/>
        <w:snapToGrid w:val="0"/>
        <w:spacing w:line="360" w:lineRule="auto"/>
        <w:ind w:left="1200" w:leftChars="500"/>
        <w:rPr>
          <w:color w:val="auto"/>
          <w:highlight w:val="none"/>
        </w:rPr>
      </w:pPr>
      <w:r>
        <w:rPr>
          <w:rFonts w:ascii="Symbol" w:hAnsi="Symbol"/>
          <w:i/>
          <w:color w:val="auto"/>
          <w:szCs w:val="21"/>
          <w:highlight w:val="none"/>
        </w:rPr>
        <w:sym w:font="Symbol" w:char="F060"/>
      </w:r>
      <w:r>
        <w:rPr>
          <w:rFonts w:hint="eastAsia"/>
          <w:i/>
          <w:color w:val="auto"/>
          <w:szCs w:val="21"/>
          <w:highlight w:val="none"/>
        </w:rPr>
        <w:t>I</w:t>
      </w:r>
      <w:r>
        <w:rPr>
          <w:i/>
          <w:color w:val="auto"/>
          <w:szCs w:val="21"/>
          <w:highlight w:val="none"/>
        </w:rPr>
        <w:t xml:space="preserve"> </w:t>
      </w:r>
      <w:r>
        <w:rPr>
          <w:rFonts w:hint="eastAsia"/>
          <w:color w:val="auto"/>
          <w:highlight w:val="none"/>
        </w:rPr>
        <w:fldChar w:fldCharType="begin"/>
      </w:r>
      <w:r>
        <w:rPr>
          <w:rFonts w:hint="eastAsia"/>
          <w:color w:val="auto"/>
          <w:highlight w:val="none"/>
        </w:rPr>
        <w:instrText xml:space="preserve"> QUOTE </w:instrText>
      </w:r>
      <w:r>
        <w:rPr>
          <w:color w:val="auto"/>
          <w:position w:val="-5"/>
          <w:highlight w:val="none"/>
        </w:rPr>
        <w:pict>
          <v:shape id="_x0000_i1025" o:spt="75" type="#_x0000_t75" style="height:16.4pt;width:7.3pt;" filled="f" o:preferrelative="t" stroked="f" coordsize="21600,2160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0湔? aml:createdate=&quot;2016-03-22T19:42:00Z&quot;&gt;&lt;aml:content&gt;&lt;w:rPr&gt;&lt;w:rFonts w:ascii=&quot;Cambria Math&quot; w:fareast=&quot;宋体&quot; w:h-ansi=&quot;Cambria Math&quot;/&gt;&lt;wx:font wx:val=&quot;Cambria Math&quot;/&gt;&lt;w:sz w:val=&quot;24&quot;/&gt;&lt;/w:rPr&gt;&lt;/aml:content&gt;&lt;/aml:annotation&gt;&lt;/m:ctrlPr&gt;&lt;/m:accPl:al:al:ar&gt;&lt;mtho:e&gt;r=&quot;?=&quot;?=&quot;?=&quot;?=&quot;?=&quot;?=&quot;?=&quot;?=&quot;?=&quot;?=&quot;?=&quot;?=&quot;?=&quot;?=&quot;?=&quot;?=&quot;?=&quot;?=&quot;?=&quot;?=&quot;?=&quot;?=&quot;?=&quot;?=&quot;?=&quot;?=&quot;?=&quot;?=&quot;?=&quot;?=&quot;?=&quot;?=&quot;?=&quot;?=&quot;?=&quot;?=&quot;?=&quot;?=&quot;?=&quot;?=&quot;?=&quot;?=&quot;?=&quot;?=&quot;?=&quot;?=&quot;?=&quot;?&lt;m&quot;孔?0:r&gt;&lt;aml:annotation aml:id=&quot;1&quot; w:type=&quot;Word.Insertion&quot; aml:author=&quot;孔珍珍&quot; aml:createdatPl:ae=&quot;Pl:a201Pl:a6-03-22mthoT19:42:r=&quot;?00Zr=&quot;?&quot;&gt;&lt;r=&quot;?amlr=&quot;?:cor=&quot;?nter=&quot;?nt&gt;r=&quot;?&lt;w:r=&quot;?rPrr=&quot;?&gt;&lt;wr=&quot;?:rFr=&quot;?ontr=&quot;?s wr=&quot;?:asr=&quot;?ciir=&quot;?=&quot;Cr=&quot;?ambr=&quot;?riar=&quot;? Mar=&quot;?th&quot;r=&quot;? w:r=&quot;?farr=&quot;?easr=&quot;?t=&quot;r=&quot;?宋?&gt;r=&quot;?? e&gt;r=&quot;?w:he&gt;r=&quot;?-ane&gt;r=&quot;?si=e&gt;r=&quot;?&quot;Cae&gt;r=&quot;?mbre&gt;ra=&quot;?ia ea&gt;r=&quot;?Maate&gt;r=&quot;?h&quot;/eo&gt;r=&quot;?&gt;&lt;we&gt;r?=&quot;?x:fe?&gt;r=&quot;?on?te&gt;r=&quot;?? wxe&gt;r=?&quot;?:vae&gt;?r=&quot;?l=&quot;?e&gt;r=&quot;?C?ame&gt;r=&quot;??brie&gt;r?=&quot;?a Me?&gt;r=&quot;?at?he&gt;r=&quot;??&quot;/&gt;e&gt;r=?&quot;?&lt;w:e&gt;?r=&quot;?i/&gt;?e&gt;r=&quot;?&lt;?w:e&gt;r=&quot;??sz w:v?am&quot;孔?0&quot;?l=&quot;24&quot;/&quot;?&gt;&lt;/w:rP&quot;?r&gt;&lt;m:t&gt;&quot;?P&lt;/m:t&gt;&quot;?&lt;/aml:c&quot;?ontent&gt;&lt;/?aml:annaot?ationa&gt;&lt;/m?:r&gt;a&lt;/m:e&gt;?&lt;/m:ao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hint="eastAsia"/>
          <w:color w:val="auto"/>
          <w:highlight w:val="none"/>
        </w:rPr>
        <w:instrText xml:space="preserve"> </w:instrText>
      </w:r>
      <w:r>
        <w:rPr>
          <w:color w:val="auto"/>
          <w:highlight w:val="none"/>
        </w:rPr>
        <w:fldChar w:fldCharType="separate"/>
      </w:r>
      <w:r>
        <w:rPr>
          <w:rFonts w:hint="eastAsia"/>
          <w:color w:val="auto"/>
          <w:highlight w:val="none"/>
        </w:rPr>
        <w:fldChar w:fldCharType="end"/>
      </w:r>
      <w:r>
        <w:rPr>
          <w:rFonts w:hint="eastAsia"/>
          <w:color w:val="auto"/>
          <w:szCs w:val="21"/>
          <w:highlight w:val="none"/>
        </w:rPr>
        <w:t>─</w:t>
      </w:r>
      <w:r>
        <w:rPr>
          <w:rFonts w:hint="eastAsia"/>
          <w:color w:val="auto"/>
          <w:highlight w:val="none"/>
        </w:rPr>
        <w:t>施工期平均定额人工费指数（即∑</w:t>
      </w:r>
      <w:r>
        <w:rPr>
          <w:color w:val="auto"/>
          <w:szCs w:val="21"/>
          <w:highlight w:val="none"/>
        </w:rPr>
        <w:t>(L</w:t>
      </w:r>
      <w:r>
        <w:rPr>
          <w:color w:val="auto"/>
          <w:szCs w:val="21"/>
          <w:highlight w:val="none"/>
          <w:vertAlign w:val="subscript"/>
        </w:rPr>
        <w:t>i</w:t>
      </w:r>
      <w:r>
        <w:rPr>
          <w:rFonts w:hint="eastAsia"/>
          <w:color w:val="auto"/>
          <w:szCs w:val="21"/>
          <w:highlight w:val="none"/>
        </w:rPr>
        <w:t>×</w:t>
      </w:r>
      <w:r>
        <w:rPr>
          <w:color w:val="auto"/>
          <w:szCs w:val="21"/>
          <w:highlight w:val="none"/>
        </w:rPr>
        <w:t>I</w:t>
      </w:r>
      <w:r>
        <w:rPr>
          <w:color w:val="auto"/>
          <w:szCs w:val="21"/>
          <w:highlight w:val="none"/>
          <w:vertAlign w:val="subscript"/>
        </w:rPr>
        <w:t>i</w:t>
      </w:r>
      <w:r>
        <w:rPr>
          <w:color w:val="auto"/>
          <w:szCs w:val="21"/>
          <w:highlight w:val="none"/>
        </w:rPr>
        <w:t>)/L</w:t>
      </w:r>
      <w:r>
        <w:rPr>
          <w:color w:val="auto"/>
          <w:szCs w:val="21"/>
          <w:highlight w:val="none"/>
          <w:vertAlign w:val="subscript"/>
        </w:rPr>
        <w:t>总</w:t>
      </w:r>
      <w:r>
        <w:rPr>
          <w:rFonts w:hint="eastAsia"/>
          <w:color w:val="auto"/>
          <w:szCs w:val="21"/>
          <w:highlight w:val="none"/>
        </w:rPr>
        <w:t>，</w:t>
      </w:r>
      <w:r>
        <w:rPr>
          <w:color w:val="auto"/>
          <w:szCs w:val="21"/>
          <w:highlight w:val="none"/>
        </w:rPr>
        <w:t>L</w:t>
      </w:r>
      <w:r>
        <w:rPr>
          <w:color w:val="auto"/>
          <w:szCs w:val="21"/>
          <w:highlight w:val="none"/>
          <w:vertAlign w:val="subscript"/>
        </w:rPr>
        <w:t>i</w:t>
      </w:r>
      <w:r>
        <w:rPr>
          <w:rFonts w:hint="eastAsia"/>
          <w:color w:val="auto"/>
          <w:szCs w:val="21"/>
          <w:highlight w:val="none"/>
        </w:rPr>
        <w:t>为施工期第</w:t>
      </w:r>
      <w:r>
        <w:rPr>
          <w:color w:val="auto"/>
          <w:szCs w:val="21"/>
          <w:highlight w:val="none"/>
        </w:rPr>
        <w:t>i</w:t>
      </w:r>
      <w:r>
        <w:rPr>
          <w:rFonts w:hint="eastAsia"/>
          <w:color w:val="auto"/>
          <w:szCs w:val="21"/>
          <w:highlight w:val="none"/>
        </w:rPr>
        <w:t>个月某工种人工费</w:t>
      </w:r>
      <w:r>
        <w:rPr>
          <w:rFonts w:hint="eastAsia"/>
          <w:color w:val="auto"/>
          <w:highlight w:val="none"/>
        </w:rPr>
        <w:t>，</w:t>
      </w:r>
      <w:r>
        <w:rPr>
          <w:color w:val="auto"/>
          <w:szCs w:val="21"/>
          <w:highlight w:val="none"/>
        </w:rPr>
        <w:t>I</w:t>
      </w:r>
      <w:r>
        <w:rPr>
          <w:color w:val="auto"/>
          <w:szCs w:val="21"/>
          <w:highlight w:val="none"/>
          <w:vertAlign w:val="subscript"/>
        </w:rPr>
        <w:t>i</w:t>
      </w:r>
      <w:r>
        <w:rPr>
          <w:rFonts w:hint="eastAsia"/>
          <w:color w:val="auto"/>
          <w:szCs w:val="21"/>
          <w:highlight w:val="none"/>
        </w:rPr>
        <w:t>为施工期第i个月当月《深圳建设工程价格信息》某工种定额人工费指数</w:t>
      </w:r>
      <w:r>
        <w:rPr>
          <w:rFonts w:hint="eastAsia"/>
          <w:color w:val="auto"/>
          <w:highlight w:val="none"/>
        </w:rPr>
        <w:t>）；</w:t>
      </w:r>
    </w:p>
    <w:p>
      <w:pPr>
        <w:adjustRightInd w:val="0"/>
        <w:snapToGrid w:val="0"/>
        <w:spacing w:line="360" w:lineRule="auto"/>
        <w:ind w:left="1200" w:leftChars="500"/>
        <w:rPr>
          <w:color w:val="auto"/>
          <w:szCs w:val="21"/>
          <w:highlight w:val="none"/>
        </w:rPr>
      </w:pPr>
      <w:r>
        <w:rPr>
          <w:color w:val="auto"/>
          <w:szCs w:val="21"/>
          <w:highlight w:val="none"/>
        </w:rPr>
        <w:t>I</w:t>
      </w:r>
      <w:r>
        <w:rPr>
          <w:color w:val="auto"/>
          <w:szCs w:val="21"/>
          <w:highlight w:val="none"/>
          <w:vertAlign w:val="subscript"/>
        </w:rPr>
        <w:t>o</w:t>
      </w:r>
      <w:r>
        <w:rPr>
          <w:rFonts w:hint="eastAsia"/>
          <w:color w:val="auto"/>
          <w:szCs w:val="21"/>
          <w:highlight w:val="none"/>
        </w:rPr>
        <w:t>─投标截止日期前35天的当月或</w:t>
      </w:r>
      <w:r>
        <w:rPr>
          <w:rFonts w:hint="eastAsia"/>
          <w:b/>
          <w:i/>
          <w:color w:val="auto"/>
          <w:szCs w:val="21"/>
          <w:highlight w:val="none"/>
        </w:rPr>
        <w:t>专用条款</w:t>
      </w:r>
      <w:r>
        <w:rPr>
          <w:rFonts w:hint="eastAsia"/>
          <w:color w:val="auto"/>
          <w:szCs w:val="21"/>
          <w:highlight w:val="none"/>
        </w:rPr>
        <w:t>约定月份《深圳建设工程价格信息》某工种定额人工费指数；</w:t>
      </w:r>
    </w:p>
    <w:p>
      <w:pPr>
        <w:adjustRightInd w:val="0"/>
        <w:snapToGrid w:val="0"/>
        <w:spacing w:line="360" w:lineRule="auto"/>
        <w:ind w:firstLine="1200" w:firstLineChars="500"/>
        <w:rPr>
          <w:color w:val="auto"/>
          <w:szCs w:val="21"/>
          <w:highlight w:val="none"/>
        </w:rPr>
      </w:pPr>
      <w:r>
        <w:rPr>
          <w:color w:val="auto"/>
          <w:szCs w:val="21"/>
          <w:highlight w:val="none"/>
        </w:rPr>
        <w:t>C</w:t>
      </w:r>
      <w:r>
        <w:rPr>
          <w:rFonts w:hint="eastAsia"/>
          <w:color w:val="auto"/>
          <w:szCs w:val="21"/>
          <w:highlight w:val="none"/>
          <w:vertAlign w:val="subscript"/>
        </w:rPr>
        <w:t>增</w:t>
      </w:r>
      <w:r>
        <w:rPr>
          <w:rFonts w:hint="eastAsia"/>
          <w:color w:val="auto"/>
          <w:szCs w:val="21"/>
          <w:highlight w:val="none"/>
        </w:rPr>
        <w:t>─调增合同价格；</w:t>
      </w:r>
    </w:p>
    <w:p>
      <w:pPr>
        <w:adjustRightInd w:val="0"/>
        <w:snapToGrid w:val="0"/>
        <w:spacing w:line="360" w:lineRule="auto"/>
        <w:ind w:firstLine="1200" w:firstLineChars="500"/>
        <w:rPr>
          <w:color w:val="auto"/>
          <w:szCs w:val="21"/>
          <w:highlight w:val="none"/>
        </w:rPr>
      </w:pPr>
      <w:r>
        <w:rPr>
          <w:color w:val="auto"/>
          <w:szCs w:val="21"/>
          <w:highlight w:val="none"/>
        </w:rPr>
        <w:t>C</w:t>
      </w:r>
      <w:r>
        <w:rPr>
          <w:rFonts w:hint="eastAsia"/>
          <w:color w:val="auto"/>
          <w:szCs w:val="21"/>
          <w:highlight w:val="none"/>
          <w:vertAlign w:val="subscript"/>
        </w:rPr>
        <w:t>减</w:t>
      </w:r>
      <w:r>
        <w:rPr>
          <w:rFonts w:hint="eastAsia"/>
          <w:color w:val="auto"/>
          <w:szCs w:val="21"/>
          <w:highlight w:val="none"/>
        </w:rPr>
        <w:t>─调减合同价格；</w:t>
      </w:r>
    </w:p>
    <w:p>
      <w:pPr>
        <w:tabs>
          <w:tab w:val="left" w:pos="1620"/>
          <w:tab w:val="left" w:pos="2340"/>
        </w:tabs>
        <w:adjustRightInd w:val="0"/>
        <w:snapToGrid w:val="0"/>
        <w:spacing w:line="360" w:lineRule="auto"/>
        <w:ind w:firstLine="1200" w:firstLineChars="500"/>
        <w:rPr>
          <w:color w:val="auto"/>
          <w:szCs w:val="21"/>
          <w:highlight w:val="none"/>
        </w:rPr>
      </w:pPr>
      <w:r>
        <w:rPr>
          <w:color w:val="auto"/>
          <w:szCs w:val="21"/>
          <w:highlight w:val="none"/>
        </w:rPr>
        <w:t>L</w:t>
      </w:r>
      <w:r>
        <w:rPr>
          <w:rFonts w:hint="eastAsia"/>
          <w:color w:val="auto"/>
          <w:szCs w:val="21"/>
          <w:highlight w:val="none"/>
          <w:vertAlign w:val="subscript"/>
        </w:rPr>
        <w:t>总</w:t>
      </w:r>
      <w:r>
        <w:rPr>
          <w:rFonts w:hint="eastAsia"/>
          <w:color w:val="auto"/>
          <w:szCs w:val="21"/>
          <w:highlight w:val="none"/>
        </w:rPr>
        <w:t>─本工程某工种总人工费，具体在</w:t>
      </w:r>
      <w:r>
        <w:rPr>
          <w:rFonts w:hint="eastAsia"/>
          <w:b/>
          <w:i/>
          <w:color w:val="auto"/>
          <w:szCs w:val="21"/>
          <w:highlight w:val="none"/>
        </w:rPr>
        <w:t>专用条款</w:t>
      </w:r>
      <w:r>
        <w:rPr>
          <w:rFonts w:hint="eastAsia"/>
          <w:color w:val="auto"/>
          <w:szCs w:val="21"/>
          <w:highlight w:val="none"/>
        </w:rPr>
        <w:t>约定。</w:t>
      </w:r>
    </w:p>
    <w:p>
      <w:pPr>
        <w:adjustRightInd w:val="0"/>
        <w:snapToGrid w:val="0"/>
        <w:spacing w:line="360" w:lineRule="auto"/>
        <w:ind w:left="359"/>
        <w:rPr>
          <w:color w:val="auto"/>
          <w:highlight w:val="none"/>
        </w:rPr>
      </w:pPr>
      <w:r>
        <w:rPr>
          <w:b/>
          <w:color w:val="auto"/>
          <w:highlight w:val="none"/>
        </w:rPr>
        <w:t>20.7</w:t>
      </w:r>
      <w:r>
        <w:rPr>
          <w:rFonts w:hint="eastAsia"/>
          <w:b/>
          <w:color w:val="auto"/>
          <w:highlight w:val="none"/>
        </w:rPr>
        <w:t>合同价格调整程序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⑴承包人应在20.2款约定的合同价格调整情况发生后14天内，将调整原因、金额书面提交给</w:t>
      </w:r>
      <w:r>
        <w:rPr>
          <w:color w:val="auto"/>
          <w:highlight w:val="none"/>
        </w:rPr>
        <w:t>监理人</w:t>
      </w:r>
      <w:r>
        <w:rPr>
          <w:rFonts w:hint="eastAsia"/>
          <w:color w:val="auto"/>
          <w:highlight w:val="none"/>
        </w:rPr>
        <w:t>，</w:t>
      </w:r>
      <w:r>
        <w:rPr>
          <w:color w:val="auto"/>
          <w:highlight w:val="none"/>
        </w:rPr>
        <w:t>监理人</w:t>
      </w:r>
      <w:r>
        <w:rPr>
          <w:rFonts w:hint="eastAsia"/>
          <w:color w:val="auto"/>
          <w:highlight w:val="none"/>
        </w:rPr>
        <w:t>审核调整金额，并报发包人确认后作为追加(减)合同价格，与工程进度款同期支付。发包人收到通知后14天内未确认也未提出异议的，视为已经同意该项合同价格调整。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⑵当20.2款约定的合同价格调整情况持续进行时，承包人应阶段性向</w:t>
      </w:r>
      <w:r>
        <w:rPr>
          <w:color w:val="auto"/>
          <w:highlight w:val="none"/>
        </w:rPr>
        <w:t>监理人</w:t>
      </w:r>
      <w:r>
        <w:rPr>
          <w:rFonts w:hint="eastAsia"/>
          <w:color w:val="auto"/>
          <w:highlight w:val="none"/>
        </w:rPr>
        <w:t>书面提交</w:t>
      </w:r>
      <w:r>
        <w:rPr>
          <w:color w:val="auto"/>
          <w:highlight w:val="none"/>
        </w:rPr>
        <w:t>调整合同价格</w:t>
      </w:r>
      <w:r>
        <w:rPr>
          <w:rFonts w:hint="eastAsia"/>
          <w:color w:val="auto"/>
          <w:highlight w:val="none"/>
        </w:rPr>
        <w:t>报告，并在该情况终了后28天内，向监理人提交最终的</w:t>
      </w:r>
      <w:r>
        <w:rPr>
          <w:color w:val="auto"/>
          <w:highlight w:val="none"/>
        </w:rPr>
        <w:t>调整合同价格</w:t>
      </w:r>
      <w:r>
        <w:rPr>
          <w:rFonts w:hint="eastAsia"/>
          <w:color w:val="auto"/>
          <w:highlight w:val="none"/>
        </w:rPr>
        <w:t>报告，</w:t>
      </w:r>
      <w:r>
        <w:rPr>
          <w:color w:val="auto"/>
          <w:highlight w:val="none"/>
        </w:rPr>
        <w:t>监理人</w:t>
      </w:r>
      <w:r>
        <w:rPr>
          <w:rFonts w:hint="eastAsia"/>
          <w:color w:val="auto"/>
          <w:highlight w:val="none"/>
        </w:rPr>
        <w:t>审核和发包人确认程序与20.7⑴款约定相同。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⑶当承包人未按20.7⑴、⑵款约定的时间内提出</w:t>
      </w:r>
      <w:r>
        <w:rPr>
          <w:color w:val="auto"/>
          <w:highlight w:val="none"/>
        </w:rPr>
        <w:t>调整合同价格</w:t>
      </w:r>
      <w:r>
        <w:rPr>
          <w:rFonts w:hint="eastAsia"/>
          <w:color w:val="auto"/>
          <w:highlight w:val="none"/>
        </w:rPr>
        <w:t>报告的，发包人可自行决定是否</w:t>
      </w:r>
      <w:r>
        <w:rPr>
          <w:color w:val="auto"/>
          <w:highlight w:val="none"/>
        </w:rPr>
        <w:t>调整合同价格</w:t>
      </w:r>
      <w:r>
        <w:rPr>
          <w:rFonts w:hint="eastAsia"/>
          <w:color w:val="auto"/>
          <w:highlight w:val="none"/>
        </w:rPr>
        <w:t>。发包人应在约定的</w:t>
      </w:r>
      <w:r>
        <w:rPr>
          <w:color w:val="auto"/>
          <w:highlight w:val="none"/>
        </w:rPr>
        <w:t>合同价格调整</w:t>
      </w:r>
      <w:r>
        <w:rPr>
          <w:rFonts w:hint="eastAsia"/>
          <w:color w:val="auto"/>
          <w:highlight w:val="none"/>
        </w:rPr>
        <w:t>情况发生后28天内将不</w:t>
      </w:r>
      <w:r>
        <w:rPr>
          <w:color w:val="auto"/>
          <w:highlight w:val="none"/>
        </w:rPr>
        <w:t>调整合同价格</w:t>
      </w:r>
      <w:r>
        <w:rPr>
          <w:rFonts w:hint="eastAsia"/>
          <w:color w:val="auto"/>
          <w:highlight w:val="none"/>
        </w:rPr>
        <w:t>的决定书面通知承包人；或将</w:t>
      </w:r>
      <w:r>
        <w:rPr>
          <w:color w:val="auto"/>
          <w:highlight w:val="none"/>
        </w:rPr>
        <w:t>调整合同价格</w:t>
      </w:r>
      <w:r>
        <w:rPr>
          <w:rFonts w:hint="eastAsia"/>
          <w:color w:val="auto"/>
          <w:highlight w:val="none"/>
        </w:rPr>
        <w:t>报告提交给承包人确认。承包人收到报告14天内未确认也未提出异议的，视为已经同意该项</w:t>
      </w:r>
      <w:r>
        <w:rPr>
          <w:color w:val="auto"/>
          <w:highlight w:val="none"/>
        </w:rPr>
        <w:t>合同价格调整</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⑷当约定的</w:t>
      </w:r>
      <w:r>
        <w:rPr>
          <w:color w:val="auto"/>
          <w:highlight w:val="none"/>
        </w:rPr>
        <w:t>合同价格调整</w:t>
      </w:r>
      <w:r>
        <w:rPr>
          <w:rFonts w:hint="eastAsia"/>
          <w:color w:val="auto"/>
          <w:highlight w:val="none"/>
        </w:rPr>
        <w:t>情况发生后，发包人和承包人均未在前款约定时间内提出</w:t>
      </w:r>
      <w:r>
        <w:rPr>
          <w:color w:val="auto"/>
          <w:highlight w:val="none"/>
        </w:rPr>
        <w:t>调整合同价格</w:t>
      </w:r>
      <w:r>
        <w:rPr>
          <w:rFonts w:hint="eastAsia"/>
          <w:color w:val="auto"/>
          <w:highlight w:val="none"/>
        </w:rPr>
        <w:t>意见，视为该调整情况的发生不涉及合同价格的调整。</w:t>
      </w:r>
    </w:p>
    <w:p>
      <w:pPr>
        <w:tabs>
          <w:tab w:val="left" w:pos="1620"/>
          <w:tab w:val="left" w:pos="2340"/>
        </w:tabs>
        <w:adjustRightInd w:val="0"/>
        <w:snapToGrid w:val="0"/>
        <w:spacing w:line="360" w:lineRule="auto"/>
        <w:ind w:left="899"/>
        <w:rPr>
          <w:color w:val="auto"/>
          <w:highlight w:val="none"/>
        </w:rPr>
      </w:pPr>
      <w:r>
        <w:rPr>
          <w:color w:val="auto"/>
          <w:highlight w:val="none"/>
        </w:rPr>
        <w:t>⑸</w:t>
      </w:r>
      <w:r>
        <w:rPr>
          <w:rFonts w:hint="eastAsia"/>
          <w:color w:val="auto"/>
          <w:highlight w:val="none"/>
        </w:rPr>
        <w:t>上述</w:t>
      </w:r>
      <w:r>
        <w:rPr>
          <w:color w:val="auto"/>
          <w:highlight w:val="none"/>
        </w:rPr>
        <w:t>合同价格调整</w:t>
      </w:r>
      <w:r>
        <w:rPr>
          <w:rFonts w:hint="eastAsia"/>
          <w:color w:val="auto"/>
          <w:highlight w:val="none"/>
        </w:rPr>
        <w:t>有关文件的编制和审核均须经注册造价工程师签字盖章确认。经发包人和承包人确认调整的合同价格，作为追加(减)合同价款，应与工程进度款同期支付。</w:t>
      </w:r>
    </w:p>
    <w:p>
      <w:pPr>
        <w:adjustRightInd w:val="0"/>
        <w:snapToGrid w:val="0"/>
        <w:spacing w:line="360" w:lineRule="auto"/>
        <w:ind w:left="359"/>
        <w:rPr>
          <w:color w:val="auto"/>
          <w:highlight w:val="none"/>
        </w:rPr>
      </w:pPr>
      <w:r>
        <w:rPr>
          <w:b/>
          <w:color w:val="auto"/>
          <w:highlight w:val="none"/>
        </w:rPr>
        <w:t>20.8</w:t>
      </w:r>
      <w:r>
        <w:rPr>
          <w:rFonts w:hint="eastAsia"/>
          <w:b/>
          <w:color w:val="auto"/>
          <w:highlight w:val="none"/>
        </w:rPr>
        <w:t>中标净下浮率</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b/>
          <w:i/>
          <w:color w:val="auto"/>
          <w:highlight w:val="none"/>
        </w:rPr>
        <w:t>专用条款</w:t>
      </w:r>
      <w:r>
        <w:rPr>
          <w:rFonts w:hint="eastAsia"/>
          <w:color w:val="auto"/>
          <w:highlight w:val="none"/>
        </w:rPr>
        <w:t>中明确。</w:t>
      </w:r>
    </w:p>
    <w:p>
      <w:pPr>
        <w:adjustRightInd w:val="0"/>
        <w:snapToGrid w:val="0"/>
        <w:spacing w:line="360" w:lineRule="auto"/>
        <w:ind w:left="359"/>
        <w:rPr>
          <w:color w:val="auto"/>
          <w:highlight w:val="none"/>
        </w:rPr>
      </w:pPr>
      <w:r>
        <w:rPr>
          <w:b/>
          <w:color w:val="auto"/>
          <w:highlight w:val="none"/>
        </w:rPr>
        <w:t>20.9</w:t>
      </w:r>
      <w:r>
        <w:rPr>
          <w:rFonts w:hint="eastAsia"/>
          <w:b/>
          <w:color w:val="auto"/>
          <w:highlight w:val="none"/>
        </w:rPr>
        <w:t>询价采购</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⑴未经招标竞价的材料设备同时满足下列情形的，承包人应当进行询价采购：</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①因工程变更而增加的材料设备、暂估价中包含的材料设备等依法不需要另行招标的；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②采购期前一年内《深圳建设工程价格信息》上未刊登价格；</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③采购估算价超过二十万元。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⑵承包人担任上述材料设备的采购人，采购活动在</w:t>
      </w:r>
      <w:r>
        <w:rPr>
          <w:rFonts w:hint="eastAsia"/>
          <w:b/>
          <w:i/>
          <w:color w:val="auto"/>
          <w:highlight w:val="none"/>
        </w:rPr>
        <w:t>专用条款</w:t>
      </w:r>
      <w:r>
        <w:rPr>
          <w:rFonts w:hint="eastAsia"/>
          <w:color w:val="auto"/>
          <w:highlight w:val="none"/>
        </w:rPr>
        <w:t>约定的询价采购网络服务平台进行。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⑶询价采购活动按以下程序进行，询价采购确定的成交价格可作为工程计价、造价审查及审计的依据。</w:t>
      </w:r>
    </w:p>
    <w:p>
      <w:pPr>
        <w:pStyle w:val="21"/>
        <w:numPr>
          <w:ilvl w:val="0"/>
          <w:numId w:val="3"/>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询价采购前，采购人按专用条款约定成立询价采购小组，小组由五人以上单数组成，成员可从与询价采购活动相关的发包人、承包人、监理人、设计人、造价咨询单位中选取；</w:t>
      </w:r>
    </w:p>
    <w:p>
      <w:pPr>
        <w:pStyle w:val="21"/>
        <w:numPr>
          <w:ilvl w:val="0"/>
          <w:numId w:val="3"/>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采购人按相关办法规定及专用条款约定编制询价采购文件，并在询价采购网络服务平台发布；</w:t>
      </w:r>
    </w:p>
    <w:p>
      <w:pPr>
        <w:pStyle w:val="21"/>
        <w:numPr>
          <w:ilvl w:val="0"/>
          <w:numId w:val="3"/>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符合询价采购文件要求的供应商在报价截止日期前，通过询价采购网络服务平台一次性报出不得更改的价格；</w:t>
      </w:r>
    </w:p>
    <w:p>
      <w:pPr>
        <w:pStyle w:val="21"/>
        <w:numPr>
          <w:ilvl w:val="0"/>
          <w:numId w:val="3"/>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询价采购小组在评审时间内统一评审报价文件，在满足询价采购文件各项要求的情况下，按照性价比最优原则推荐不少于三家供应商。评审完成后，询价采购小组向采购人提交评审报告；</w:t>
      </w:r>
    </w:p>
    <w:p>
      <w:pPr>
        <w:pStyle w:val="21"/>
        <w:numPr>
          <w:ilvl w:val="0"/>
          <w:numId w:val="3"/>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采购人根据询价采购小组意见及相关规定，确定供应商及成交价格；</w:t>
      </w:r>
    </w:p>
    <w:p>
      <w:pPr>
        <w:pStyle w:val="21"/>
        <w:numPr>
          <w:ilvl w:val="0"/>
          <w:numId w:val="3"/>
        </w:numPr>
        <w:tabs>
          <w:tab w:val="left" w:pos="1620"/>
          <w:tab w:val="left" w:pos="2340"/>
        </w:tabs>
        <w:adjustRightInd w:val="0"/>
        <w:snapToGrid w:val="0"/>
        <w:spacing w:line="360" w:lineRule="auto"/>
        <w:ind w:firstLineChars="0"/>
        <w:rPr>
          <w:color w:val="auto"/>
          <w:highlight w:val="none"/>
        </w:rPr>
      </w:pPr>
      <w:r>
        <w:rPr>
          <w:rFonts w:hint="eastAsia"/>
          <w:color w:val="auto"/>
          <w:highlight w:val="none"/>
        </w:rPr>
        <w:t>采购人按相关办法规定对询价采购结果在询价采购网络服务平台进行公示。</w:t>
      </w:r>
    </w:p>
    <w:p>
      <w:pPr>
        <w:adjustRightInd w:val="0"/>
        <w:snapToGrid w:val="0"/>
        <w:spacing w:line="360" w:lineRule="auto"/>
        <w:ind w:left="178"/>
        <w:rPr>
          <w:color w:val="auto"/>
          <w:sz w:val="28"/>
          <w:highlight w:val="none"/>
        </w:rPr>
      </w:pPr>
      <w:r>
        <w:rPr>
          <w:b/>
          <w:color w:val="auto"/>
          <w:sz w:val="28"/>
          <w:highlight w:val="none"/>
        </w:rPr>
        <w:t>21</w:t>
      </w:r>
      <w:r>
        <w:rPr>
          <w:rFonts w:hint="eastAsia"/>
          <w:b/>
          <w:color w:val="auto"/>
          <w:sz w:val="28"/>
          <w:highlight w:val="none"/>
        </w:rPr>
        <w:t>暂估价和暂列金额</w:t>
      </w:r>
    </w:p>
    <w:p>
      <w:pPr>
        <w:adjustRightInd w:val="0"/>
        <w:snapToGrid w:val="0"/>
        <w:spacing w:line="360" w:lineRule="auto"/>
        <w:ind w:left="359"/>
        <w:rPr>
          <w:color w:val="auto"/>
          <w:highlight w:val="none"/>
        </w:rPr>
      </w:pPr>
      <w:r>
        <w:rPr>
          <w:b/>
          <w:color w:val="auto"/>
          <w:highlight w:val="none"/>
        </w:rPr>
        <w:t>21.1</w:t>
      </w:r>
      <w:r>
        <w:rPr>
          <w:rFonts w:hint="eastAsia"/>
          <w:b/>
          <w:color w:val="auto"/>
          <w:highlight w:val="none"/>
        </w:rPr>
        <w:t>材料设备暂估价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⑴材料设备暂估价是发包人在工程量清单中提供的用于支付必然发生但暂时不能确定的材料设备的单价。发包人、承包人应在</w:t>
      </w:r>
      <w:r>
        <w:rPr>
          <w:rFonts w:hint="eastAsia"/>
          <w:b/>
          <w:i/>
          <w:color w:val="auto"/>
          <w:highlight w:val="none"/>
        </w:rPr>
        <w:t>专用条款</w:t>
      </w:r>
      <w:r>
        <w:rPr>
          <w:rFonts w:hint="eastAsia"/>
          <w:color w:val="auto"/>
          <w:highlight w:val="none"/>
        </w:rPr>
        <w:t>中就上述材料设备的名称、规格、单位和暂估单价进行约定。该材料设备暂估价不作为竣工结算依据。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⑵如21.1⑴款所述暂估的材料设备属按规定必须招标的，应由发包人提出技术标准和最高限价，由承包人通过招标方式确定该材料设备单价。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如21.1⑴款所述暂估的材料设备不属于按规定必须招标的，由承发包双方按专用条款中约定的方式确定该材料设备单价。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⑷材料设备暂估价应按承发包双方最终确认的价格调整价差，价差调整部分不计利润。</w:t>
      </w:r>
    </w:p>
    <w:p>
      <w:pPr>
        <w:adjustRightInd w:val="0"/>
        <w:snapToGrid w:val="0"/>
        <w:spacing w:line="360" w:lineRule="auto"/>
        <w:ind w:left="359"/>
        <w:rPr>
          <w:color w:val="auto"/>
          <w:highlight w:val="none"/>
        </w:rPr>
      </w:pPr>
      <w:r>
        <w:rPr>
          <w:b/>
          <w:color w:val="auto"/>
          <w:highlight w:val="none"/>
        </w:rPr>
        <w:t>21.2</w:t>
      </w:r>
      <w:r>
        <w:rPr>
          <w:rFonts w:hint="eastAsia"/>
          <w:b/>
          <w:color w:val="auto"/>
          <w:highlight w:val="none"/>
        </w:rPr>
        <w:t>专业工程暂估价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⑴专业工程暂估价是发包人在工程量清单中提供的用于支付必然发生但暂时不能确定的专业工程金额。发包人、承包人应在</w:t>
      </w:r>
      <w:r>
        <w:rPr>
          <w:rFonts w:hint="eastAsia"/>
          <w:b/>
          <w:i/>
          <w:color w:val="auto"/>
          <w:highlight w:val="none"/>
        </w:rPr>
        <w:t>专用条款</w:t>
      </w:r>
      <w:r>
        <w:rPr>
          <w:rFonts w:hint="eastAsia"/>
          <w:color w:val="auto"/>
          <w:highlight w:val="none"/>
        </w:rPr>
        <w:t>中就上述专业工程的名称和暂估价款进行约定。该专业工程暂估价不作为结算依据。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⑵如21.2⑴款所述暂估的专业工程属按规定必须招标的，应由发包人通过招标方式确定该专业工程结算价款。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⑶如21.2⑴款所述暂估的专业工程不属于按规定必须招标的，除</w:t>
      </w:r>
      <w:r>
        <w:rPr>
          <w:rFonts w:hint="eastAsia"/>
          <w:b/>
          <w:i/>
          <w:color w:val="auto"/>
          <w:highlight w:val="none"/>
        </w:rPr>
        <w:t>专用条款</w:t>
      </w:r>
      <w:r>
        <w:rPr>
          <w:rFonts w:hint="eastAsia"/>
          <w:color w:val="auto"/>
          <w:highlight w:val="none"/>
        </w:rPr>
        <w:t>另有约定外，发包人和承包人应按照本工程招标控制价的编制方法，根据专业工程施工图等计算，并按本工程净下浮率进行下浮调整确定该专业工程结算价款。</w:t>
      </w:r>
    </w:p>
    <w:p>
      <w:pPr>
        <w:adjustRightInd w:val="0"/>
        <w:snapToGrid w:val="0"/>
        <w:spacing w:line="360" w:lineRule="auto"/>
        <w:ind w:left="359"/>
        <w:rPr>
          <w:color w:val="auto"/>
          <w:highlight w:val="none"/>
        </w:rPr>
      </w:pPr>
      <w:r>
        <w:rPr>
          <w:b/>
          <w:color w:val="auto"/>
          <w:highlight w:val="none"/>
        </w:rPr>
        <w:t>21.3</w:t>
      </w:r>
      <w:r>
        <w:rPr>
          <w:rFonts w:hint="eastAsia"/>
          <w:b/>
          <w:color w:val="auto"/>
          <w:highlight w:val="none"/>
        </w:rPr>
        <w:t>暂列金额</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⑴暂列金额是发包人在工程量清单中暂定并包括在签约合同价中的一笔款项，用于下列事项的费用支出：</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①本合同签订时尚未确定或不可预见的所需材料、设备、服务的采购；</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②施工中可能发生的工程变更；</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③合同约定调整因素出现时对合同价格所作的调整；</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⑤现场签证。</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⑵暂列金额是发包人为可能发生的费用而预留的金额，并非支付给承包人的实际费用。</w:t>
      </w:r>
      <w:r>
        <w:rPr>
          <w:color w:val="auto"/>
          <w:highlight w:val="none"/>
        </w:rPr>
        <w:t>暂列金额应按照发包人的要求使用，发包人的要求应通过监理人发出。</w:t>
      </w:r>
      <w:r>
        <w:rPr>
          <w:rFonts w:hint="eastAsia"/>
          <w:color w:val="auto"/>
          <w:highlight w:val="none"/>
        </w:rPr>
        <w:t>暂列金额不作为结算的依据。暂列金额的最终确定按本合同有关21.3⑴款有关事项的具体条款执行。</w:t>
      </w:r>
    </w:p>
    <w:p>
      <w:pPr>
        <w:adjustRightInd w:val="0"/>
        <w:snapToGrid w:val="0"/>
        <w:spacing w:line="360" w:lineRule="auto"/>
        <w:ind w:left="178"/>
        <w:rPr>
          <w:color w:val="auto"/>
          <w:sz w:val="28"/>
          <w:highlight w:val="none"/>
        </w:rPr>
      </w:pPr>
      <w:r>
        <w:rPr>
          <w:b/>
          <w:color w:val="auto"/>
          <w:sz w:val="28"/>
          <w:highlight w:val="none"/>
        </w:rPr>
        <w:t>22</w:t>
      </w:r>
      <w:r>
        <w:rPr>
          <w:rFonts w:hint="eastAsia"/>
          <w:b/>
          <w:color w:val="auto"/>
          <w:sz w:val="28"/>
          <w:highlight w:val="none"/>
        </w:rPr>
        <w:t>工程量计量</w:t>
      </w:r>
    </w:p>
    <w:p>
      <w:pPr>
        <w:adjustRightInd w:val="0"/>
        <w:snapToGrid w:val="0"/>
        <w:spacing w:line="360" w:lineRule="auto"/>
        <w:ind w:left="359"/>
        <w:rPr>
          <w:color w:val="auto"/>
          <w:highlight w:val="none"/>
        </w:rPr>
      </w:pPr>
      <w:r>
        <w:rPr>
          <w:b/>
          <w:color w:val="auto"/>
          <w:highlight w:val="none"/>
        </w:rPr>
        <w:t>22.1</w:t>
      </w:r>
      <w:r>
        <w:rPr>
          <w:rFonts w:hint="eastAsia"/>
          <w:b/>
          <w:color w:val="auto"/>
          <w:highlight w:val="none"/>
        </w:rPr>
        <w:t>工程量清单</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在本工程招标文件中提供的工程量清单所开列的工程量是根据本工程的设计图纸提供的预计工程量，不能作为承包人在履行合同义务过程中应予完成的实际和准确的工程量，不作为期中结算和竣工结算时确认工程量的依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⑵承包人实际应予完成的工程量以本工程图纸和技术规范为准。期中结算和竣工结算时的结算工程量按第22</w:t>
      </w:r>
      <w:r>
        <w:rPr>
          <w:color w:val="auto"/>
          <w:highlight w:val="none"/>
        </w:rPr>
        <w:t>.</w:t>
      </w:r>
      <w:r>
        <w:rPr>
          <w:rFonts w:hint="eastAsia"/>
          <w:color w:val="auto"/>
          <w:highlight w:val="none"/>
        </w:rPr>
        <w:t>5款有关工程量计量的结果确认。</w:t>
      </w:r>
    </w:p>
    <w:p>
      <w:pPr>
        <w:adjustRightInd w:val="0"/>
        <w:snapToGrid w:val="0"/>
        <w:spacing w:line="360" w:lineRule="auto"/>
        <w:ind w:left="359"/>
        <w:rPr>
          <w:color w:val="auto"/>
          <w:highlight w:val="none"/>
        </w:rPr>
      </w:pPr>
      <w:r>
        <w:rPr>
          <w:b/>
          <w:color w:val="auto"/>
          <w:highlight w:val="none"/>
        </w:rPr>
        <w:t>22.2</w:t>
      </w:r>
      <w:r>
        <w:rPr>
          <w:rFonts w:hint="eastAsia"/>
          <w:b/>
          <w:color w:val="auto"/>
          <w:highlight w:val="none"/>
        </w:rPr>
        <w:t>工程量清单缺项和项目特征不符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⑴本合同签订后</w:t>
      </w:r>
      <w:r>
        <w:rPr>
          <w:rFonts w:hint="eastAsia"/>
          <w:b/>
          <w:color w:val="auto"/>
          <w:highlight w:val="none"/>
        </w:rPr>
        <w:t>56天</w:t>
      </w:r>
      <w:r>
        <w:rPr>
          <w:rFonts w:hint="eastAsia"/>
          <w:color w:val="auto"/>
          <w:highlight w:val="none"/>
        </w:rPr>
        <w:t>内，承包人应根据招标时发包人提供的图纸对发包人提供的工程量清单进行复核，复核结果报</w:t>
      </w:r>
      <w:r>
        <w:rPr>
          <w:color w:val="auto"/>
          <w:highlight w:val="none"/>
        </w:rPr>
        <w:t>监理人</w:t>
      </w:r>
      <w:r>
        <w:rPr>
          <w:rFonts w:hint="eastAsia"/>
          <w:color w:val="auto"/>
          <w:highlight w:val="none"/>
        </w:rPr>
        <w:t>核对、发包人确认。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⑵若发包人提供的工程量清单相比招标时发包人提供的图纸，出现缺项或项目特征描述与图纸不符时，发包人应对工程量清单进行补充或调整，补充或调整的工程量清单项目的综合单价按25.1款的约定确定。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⑶出现工程量清单中措施项目缺项的，或按前款补充分部分项工程清单项目后引起措施项目发生变化的，应当按25.1款的约定，在承包人提交的实施方案被发包人批准后对合同价格进行调整。</w:t>
      </w:r>
    </w:p>
    <w:p>
      <w:pPr>
        <w:adjustRightInd w:val="0"/>
        <w:snapToGrid w:val="0"/>
        <w:spacing w:line="360" w:lineRule="auto"/>
        <w:ind w:left="359"/>
        <w:rPr>
          <w:color w:val="auto"/>
          <w:highlight w:val="none"/>
        </w:rPr>
      </w:pPr>
      <w:r>
        <w:rPr>
          <w:b/>
          <w:color w:val="auto"/>
          <w:highlight w:val="none"/>
        </w:rPr>
        <w:t>22.3</w:t>
      </w:r>
      <w:r>
        <w:rPr>
          <w:rFonts w:hint="eastAsia"/>
          <w:b/>
          <w:color w:val="auto"/>
          <w:highlight w:val="none"/>
        </w:rPr>
        <w:t>工程量计算规则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发包人和承包人应以</w:t>
      </w:r>
      <w:r>
        <w:rPr>
          <w:rFonts w:hint="eastAsia"/>
          <w:b/>
          <w:i/>
          <w:color w:val="auto"/>
          <w:highlight w:val="none"/>
        </w:rPr>
        <w:t>专用条款</w:t>
      </w:r>
      <w:r>
        <w:rPr>
          <w:rFonts w:hint="eastAsia"/>
          <w:color w:val="auto"/>
          <w:highlight w:val="none"/>
        </w:rPr>
        <w:t>中约定的工程量计算规则，作为本工程期中结算、竣工结算以及20.2款约定的</w:t>
      </w:r>
      <w:r>
        <w:rPr>
          <w:color w:val="auto"/>
          <w:highlight w:val="none"/>
        </w:rPr>
        <w:t>合同价格调整</w:t>
      </w:r>
      <w:r>
        <w:rPr>
          <w:rFonts w:hint="eastAsia"/>
          <w:color w:val="auto"/>
          <w:highlight w:val="none"/>
        </w:rPr>
        <w:t>情形发生时涉及工程量的计算规则。</w:t>
      </w:r>
    </w:p>
    <w:p>
      <w:pPr>
        <w:adjustRightInd w:val="0"/>
        <w:snapToGrid w:val="0"/>
        <w:spacing w:line="360" w:lineRule="auto"/>
        <w:ind w:left="359"/>
        <w:rPr>
          <w:color w:val="auto"/>
          <w:highlight w:val="none"/>
        </w:rPr>
      </w:pPr>
      <w:r>
        <w:rPr>
          <w:b/>
          <w:color w:val="auto"/>
          <w:highlight w:val="none"/>
        </w:rPr>
        <w:t>22.4</w:t>
      </w:r>
      <w:r>
        <w:rPr>
          <w:rFonts w:hint="eastAsia"/>
          <w:b/>
          <w:color w:val="auto"/>
          <w:highlight w:val="none"/>
        </w:rPr>
        <w:t>工程量计量的程序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⑴承包人应按照23.2款约定的期中结算时间间隔要求，根据本工程进展情况及时就已完工程量向</w:t>
      </w:r>
      <w:r>
        <w:rPr>
          <w:color w:val="auto"/>
          <w:highlight w:val="none"/>
        </w:rPr>
        <w:t>监理人</w:t>
      </w:r>
      <w:r>
        <w:rPr>
          <w:rFonts w:hint="eastAsia"/>
          <w:color w:val="auto"/>
          <w:highlight w:val="none"/>
        </w:rPr>
        <w:t>提交计量报告，</w:t>
      </w:r>
      <w:r>
        <w:rPr>
          <w:color w:val="auto"/>
          <w:highlight w:val="none"/>
        </w:rPr>
        <w:t>监理人</w:t>
      </w:r>
      <w:r>
        <w:rPr>
          <w:rFonts w:hint="eastAsia"/>
          <w:color w:val="auto"/>
          <w:highlight w:val="none"/>
        </w:rPr>
        <w:t>应在收到计量报告后7天内对承包人提出的工程量报表审核并报送发包人。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⑵需要使用记录和图纸进行计量的工程，承包人应在工作过程中准备好该工程的记录和图纸，并提交给</w:t>
      </w:r>
      <w:r>
        <w:rPr>
          <w:color w:val="auto"/>
          <w:highlight w:val="none"/>
        </w:rPr>
        <w:t>监理人</w:t>
      </w:r>
      <w:r>
        <w:rPr>
          <w:rFonts w:hint="eastAsia"/>
          <w:color w:val="auto"/>
          <w:highlight w:val="none"/>
        </w:rPr>
        <w:t>，</w:t>
      </w:r>
      <w:r>
        <w:rPr>
          <w:color w:val="auto"/>
          <w:highlight w:val="none"/>
        </w:rPr>
        <w:t>监理人</w:t>
      </w:r>
      <w:r>
        <w:rPr>
          <w:rFonts w:hint="eastAsia"/>
          <w:color w:val="auto"/>
          <w:highlight w:val="none"/>
        </w:rPr>
        <w:t>应在收到计量报告后7天内对承包人提出的工程量报表及有关记录和图纸审核并报送发包人。</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监理人对工程量有异议的，有权要求承包人进行共同复核或抽样复测。承包人应协助监理人进行复核或抽样复测，并按监理人要求提供补充计量资料。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⑷有关工程量计量的文件的编制和审核均须经注册造价工程师签字盖章确认。</w:t>
      </w:r>
    </w:p>
    <w:p>
      <w:pPr>
        <w:adjustRightInd w:val="0"/>
        <w:snapToGrid w:val="0"/>
        <w:spacing w:line="360" w:lineRule="auto"/>
        <w:ind w:left="359"/>
        <w:rPr>
          <w:color w:val="auto"/>
          <w:highlight w:val="none"/>
        </w:rPr>
      </w:pPr>
      <w:r>
        <w:rPr>
          <w:b/>
          <w:color w:val="auto"/>
          <w:highlight w:val="none"/>
        </w:rPr>
        <w:t>22.5</w:t>
      </w:r>
      <w:r>
        <w:rPr>
          <w:rFonts w:hint="eastAsia"/>
          <w:b/>
          <w:color w:val="auto"/>
          <w:highlight w:val="none"/>
        </w:rPr>
        <w:t>工程量计量的结果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⑴如承包人未按22.4款的约定参加计量，则由</w:t>
      </w:r>
      <w:r>
        <w:rPr>
          <w:color w:val="auto"/>
          <w:highlight w:val="none"/>
        </w:rPr>
        <w:t>监理人</w:t>
      </w:r>
      <w:r>
        <w:rPr>
          <w:rFonts w:hint="eastAsia"/>
          <w:color w:val="auto"/>
          <w:highlight w:val="none"/>
        </w:rPr>
        <w:t>所作的或由他批准的计量应认为是对工程的正确计量。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⑵如</w:t>
      </w:r>
      <w:r>
        <w:rPr>
          <w:color w:val="auto"/>
          <w:highlight w:val="none"/>
        </w:rPr>
        <w:t>监理人</w:t>
      </w:r>
      <w:r>
        <w:rPr>
          <w:rFonts w:hint="eastAsia"/>
          <w:color w:val="auto"/>
          <w:highlight w:val="none"/>
        </w:rPr>
        <w:t>未在22.4款约定的时间内进行计量，则承包人提交的计量报告中所列工程量即视为被确认。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⑶如</w:t>
      </w:r>
      <w:r>
        <w:rPr>
          <w:color w:val="auto"/>
          <w:highlight w:val="none"/>
        </w:rPr>
        <w:t>监理人</w:t>
      </w:r>
      <w:r>
        <w:rPr>
          <w:rFonts w:hint="eastAsia"/>
          <w:color w:val="auto"/>
          <w:highlight w:val="none"/>
        </w:rPr>
        <w:t>未按22.4款约定的时间内通知承包人，致使承包人未能参加计量，则由</w:t>
      </w:r>
      <w:r>
        <w:rPr>
          <w:color w:val="auto"/>
          <w:highlight w:val="none"/>
        </w:rPr>
        <w:t>监理人</w:t>
      </w:r>
      <w:r>
        <w:rPr>
          <w:rFonts w:hint="eastAsia"/>
          <w:color w:val="auto"/>
          <w:highlight w:val="none"/>
        </w:rPr>
        <w:t>所作的或由他批准的计量结果无效。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⑷对于因承包人原因造成的超出本合同工程承包范围的增加工程量及返工工程量，</w:t>
      </w:r>
      <w:r>
        <w:rPr>
          <w:color w:val="auto"/>
          <w:highlight w:val="none"/>
        </w:rPr>
        <w:t>监理人</w:t>
      </w:r>
      <w:r>
        <w:rPr>
          <w:rFonts w:hint="eastAsia"/>
          <w:color w:val="auto"/>
          <w:highlight w:val="none"/>
        </w:rPr>
        <w:t>不予计量。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⑸如承包人不同意</w:t>
      </w:r>
      <w:r>
        <w:rPr>
          <w:color w:val="auto"/>
          <w:highlight w:val="none"/>
        </w:rPr>
        <w:t>监理人</w:t>
      </w:r>
      <w:r>
        <w:rPr>
          <w:rFonts w:hint="eastAsia"/>
          <w:color w:val="auto"/>
          <w:highlight w:val="none"/>
        </w:rPr>
        <w:t>计量的结果，应在收到上述结果后7天内向</w:t>
      </w:r>
      <w:r>
        <w:rPr>
          <w:color w:val="auto"/>
          <w:highlight w:val="none"/>
        </w:rPr>
        <w:t>监理人</w:t>
      </w:r>
      <w:r>
        <w:rPr>
          <w:rFonts w:hint="eastAsia"/>
          <w:color w:val="auto"/>
          <w:highlight w:val="none"/>
        </w:rPr>
        <w:t>提出书面意见，并附上其认为正确的计量结果和计算资料。</w:t>
      </w:r>
      <w:r>
        <w:rPr>
          <w:color w:val="auto"/>
          <w:highlight w:val="none"/>
        </w:rPr>
        <w:t>监理人</w:t>
      </w:r>
      <w:r>
        <w:rPr>
          <w:rFonts w:hint="eastAsia"/>
          <w:color w:val="auto"/>
          <w:highlight w:val="none"/>
        </w:rPr>
        <w:t>收到上述书面意见后，应在7天内对承包人的计量结果进行复核后通知承包人。承包人对复核计量结果仍有异议的，按照合同约定的争议解决办法处理。</w:t>
      </w:r>
    </w:p>
    <w:p>
      <w:pPr>
        <w:adjustRightInd w:val="0"/>
        <w:snapToGrid w:val="0"/>
        <w:spacing w:line="360" w:lineRule="auto"/>
        <w:ind w:left="178"/>
        <w:rPr>
          <w:color w:val="auto"/>
          <w:sz w:val="28"/>
          <w:highlight w:val="none"/>
        </w:rPr>
      </w:pPr>
      <w:r>
        <w:rPr>
          <w:b/>
          <w:color w:val="auto"/>
          <w:sz w:val="28"/>
          <w:highlight w:val="none"/>
        </w:rPr>
        <w:t>23</w:t>
      </w:r>
      <w:r>
        <w:rPr>
          <w:rFonts w:hint="eastAsia"/>
          <w:b/>
          <w:color w:val="auto"/>
          <w:sz w:val="28"/>
          <w:highlight w:val="none"/>
        </w:rPr>
        <w:t>工程款支付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本项目无须承包人带资施工，工程款按以下方式支付。</w:t>
      </w:r>
    </w:p>
    <w:p>
      <w:pPr>
        <w:adjustRightInd w:val="0"/>
        <w:snapToGrid w:val="0"/>
        <w:spacing w:line="360" w:lineRule="auto"/>
        <w:ind w:left="359"/>
        <w:rPr>
          <w:color w:val="auto"/>
          <w:highlight w:val="none"/>
        </w:rPr>
      </w:pPr>
      <w:r>
        <w:rPr>
          <w:b/>
          <w:color w:val="auto"/>
          <w:highlight w:val="none"/>
        </w:rPr>
        <w:t>23.1</w:t>
      </w:r>
      <w:r>
        <w:rPr>
          <w:rFonts w:hint="eastAsia"/>
          <w:b/>
          <w:color w:val="auto"/>
          <w:highlight w:val="none"/>
        </w:rPr>
        <w:t>工程预付款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⑴发包人和承包人应在</w:t>
      </w:r>
      <w:r>
        <w:rPr>
          <w:rFonts w:hint="eastAsia"/>
          <w:b/>
          <w:i/>
          <w:color w:val="auto"/>
          <w:highlight w:val="none"/>
        </w:rPr>
        <w:t>专用条款</w:t>
      </w:r>
      <w:r>
        <w:rPr>
          <w:rFonts w:hint="eastAsia"/>
          <w:color w:val="auto"/>
          <w:highlight w:val="none"/>
        </w:rPr>
        <w:t>中约定一定比例的工程预付款，用于施工准备，金额一般为签约合同价的10</w:t>
      </w:r>
      <w:r>
        <w:rPr>
          <w:color w:val="auto"/>
          <w:highlight w:val="none"/>
        </w:rPr>
        <w:t>～</w:t>
      </w:r>
      <w:r>
        <w:rPr>
          <w:rFonts w:hint="eastAsia"/>
          <w:color w:val="auto"/>
          <w:highlight w:val="none"/>
        </w:rPr>
        <w:t>30%。其中施工现场安全文明措施费预付款金额：合同工期在一年以内的，不得低于该费用总额的50%；合同工期在一年以上的(含一年)，不得低于该费用总额的30%。</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⑵发包人应按</w:t>
      </w:r>
      <w:r>
        <w:rPr>
          <w:rFonts w:hint="eastAsia"/>
          <w:b/>
          <w:i/>
          <w:color w:val="auto"/>
          <w:highlight w:val="none"/>
        </w:rPr>
        <w:t>专用条款</w:t>
      </w:r>
      <w:r>
        <w:rPr>
          <w:rFonts w:hint="eastAsia"/>
          <w:color w:val="auto"/>
          <w:highlight w:val="none"/>
        </w:rPr>
        <w:t>约定的时间向承包人支付工程预付款，预付的时间应不迟于约定的开工日期前7天。但发包人支付预付款之前，还应具备</w:t>
      </w:r>
      <w:r>
        <w:rPr>
          <w:rFonts w:hint="eastAsia"/>
          <w:b/>
          <w:i/>
          <w:color w:val="auto"/>
          <w:highlight w:val="none"/>
        </w:rPr>
        <w:t>专用条款</w:t>
      </w:r>
      <w:r>
        <w:rPr>
          <w:rFonts w:hint="eastAsia"/>
          <w:color w:val="auto"/>
          <w:highlight w:val="none"/>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⑶发包人和承包人应在</w:t>
      </w:r>
      <w:r>
        <w:rPr>
          <w:rFonts w:hint="eastAsia"/>
          <w:b/>
          <w:i/>
          <w:color w:val="auto"/>
          <w:highlight w:val="none"/>
        </w:rPr>
        <w:t>专用条款</w:t>
      </w:r>
      <w:r>
        <w:rPr>
          <w:rFonts w:hint="eastAsia"/>
          <w:color w:val="auto"/>
          <w:highlight w:val="none"/>
        </w:rPr>
        <w:t>约定工程预付款扣回的起扣点和扣回比例。在未达到起扣点之前，预付款不予扣回；达到起扣点之后，预付款按约定比例根据工程进度分期从期中支付款中扣回。</w:t>
      </w:r>
    </w:p>
    <w:p>
      <w:pPr>
        <w:adjustRightInd w:val="0"/>
        <w:snapToGrid w:val="0"/>
        <w:spacing w:line="360" w:lineRule="auto"/>
        <w:ind w:left="359"/>
        <w:rPr>
          <w:color w:val="auto"/>
          <w:highlight w:val="none"/>
        </w:rPr>
      </w:pPr>
      <w:r>
        <w:rPr>
          <w:b/>
          <w:color w:val="auto"/>
          <w:highlight w:val="none"/>
        </w:rPr>
        <w:t>23.2</w:t>
      </w:r>
      <w:r>
        <w:rPr>
          <w:rFonts w:hint="eastAsia"/>
          <w:b/>
          <w:color w:val="auto"/>
          <w:highlight w:val="none"/>
        </w:rPr>
        <w:t>期中结算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⑴除</w:t>
      </w:r>
      <w:r>
        <w:rPr>
          <w:rFonts w:hint="eastAsia"/>
          <w:b/>
          <w:i/>
          <w:color w:val="auto"/>
          <w:highlight w:val="none"/>
        </w:rPr>
        <w:t>专用条款</w:t>
      </w:r>
      <w:r>
        <w:rPr>
          <w:rFonts w:hint="eastAsia"/>
          <w:color w:val="auto"/>
          <w:highlight w:val="none"/>
        </w:rPr>
        <w:t>另有约定外，发包人和承包人应按月办理期中结算。其中，工人工资支付周期不得超过</w:t>
      </w:r>
      <w:r>
        <w:rPr>
          <w:color w:val="auto"/>
          <w:highlight w:val="none"/>
        </w:rPr>
        <w:t>1个月，具体按23.5款约定执行。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⑵承包人应根据本期内工程实际完成情况，按照22条有关工程量计量的约定，计算本期完成工程量，结合合同价格构成中的工程量清单项目单价，编制期中结算。</w:t>
      </w:r>
    </w:p>
    <w:p>
      <w:pPr>
        <w:adjustRightInd w:val="0"/>
        <w:snapToGrid w:val="0"/>
        <w:spacing w:line="360" w:lineRule="auto"/>
        <w:ind w:left="359"/>
        <w:rPr>
          <w:color w:val="auto"/>
          <w:highlight w:val="none"/>
        </w:rPr>
      </w:pPr>
      <w:r>
        <w:rPr>
          <w:b/>
          <w:color w:val="auto"/>
          <w:highlight w:val="none"/>
        </w:rPr>
        <w:t>23.3</w:t>
      </w:r>
      <w:r>
        <w:rPr>
          <w:rFonts w:hint="eastAsia"/>
          <w:b/>
          <w:color w:val="auto"/>
          <w:highlight w:val="none"/>
        </w:rPr>
        <w:t>期中结算书的提交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承包人应按时向</w:t>
      </w:r>
      <w:r>
        <w:rPr>
          <w:color w:val="auto"/>
          <w:highlight w:val="none"/>
        </w:rPr>
        <w:t>监理人</w:t>
      </w:r>
      <w:r>
        <w:rPr>
          <w:rFonts w:hint="eastAsia"/>
          <w:color w:val="auto"/>
          <w:highlight w:val="none"/>
        </w:rPr>
        <w:t>提交由其项目经理签署的期中结算书，期中结算书应包括以下内容：</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⑴本期已完成工程的价款；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⑵自开工截止本期末累计已完成(已实际结算)工程价款；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⑶自开工截止上期末累计已支付的工程价款；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⑷本期已完成的(按20.2款经确认的)</w:t>
      </w:r>
      <w:r>
        <w:rPr>
          <w:color w:val="auto"/>
          <w:highlight w:val="none"/>
        </w:rPr>
        <w:t>调整</w:t>
      </w:r>
      <w:r>
        <w:rPr>
          <w:rFonts w:hint="eastAsia"/>
          <w:color w:val="auto"/>
          <w:highlight w:val="none"/>
        </w:rPr>
        <w:t>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⑸本期已完成的(按21.1、2款经确定的)材料设备、专业工程暂估价价款；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⑹本期应抵扣的(按23.1款)工程预付款；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⑺本期应扣减的(按31.4款)质量保证金；</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⑻</w:t>
      </w:r>
      <w:r>
        <w:rPr>
          <w:color w:val="auto"/>
          <w:highlight w:val="none"/>
        </w:rPr>
        <w:t>对已签发的进度款支付证书中出现错误的修正，应在本次进度付款中支付或扣除的金额；</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⑼本期根据合同应增加和扣减的其他金额；</w:t>
      </w:r>
    </w:p>
    <w:p>
      <w:pPr>
        <w:tabs>
          <w:tab w:val="left" w:pos="1620"/>
          <w:tab w:val="left" w:pos="2340"/>
        </w:tabs>
        <w:adjustRightInd w:val="0"/>
        <w:snapToGrid w:val="0"/>
        <w:spacing w:line="360" w:lineRule="auto"/>
        <w:ind w:left="1079"/>
        <w:rPr>
          <w:color w:val="auto"/>
          <w:highlight w:val="none"/>
        </w:rPr>
      </w:pPr>
      <w:r>
        <w:rPr>
          <w:color w:val="auto"/>
          <w:highlight w:val="none"/>
        </w:rPr>
        <w:t>⑽</w:t>
      </w:r>
      <w:r>
        <w:rPr>
          <w:rFonts w:hint="eastAsia"/>
          <w:color w:val="auto"/>
          <w:highlight w:val="none"/>
        </w:rPr>
        <w:t>本期应支付的工程价款。</w:t>
      </w:r>
    </w:p>
    <w:p>
      <w:pPr>
        <w:adjustRightInd w:val="0"/>
        <w:snapToGrid w:val="0"/>
        <w:spacing w:line="360" w:lineRule="auto"/>
        <w:ind w:left="359"/>
        <w:rPr>
          <w:color w:val="auto"/>
          <w:highlight w:val="none"/>
        </w:rPr>
      </w:pPr>
      <w:r>
        <w:rPr>
          <w:b/>
          <w:color w:val="auto"/>
          <w:highlight w:val="none"/>
        </w:rPr>
        <w:t>23.4</w:t>
      </w:r>
      <w:r>
        <w:rPr>
          <w:rFonts w:hint="eastAsia"/>
          <w:b/>
          <w:color w:val="auto"/>
          <w:highlight w:val="none"/>
        </w:rPr>
        <w:t>期中支付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监理人</w:t>
      </w:r>
      <w:r>
        <w:rPr>
          <w:rFonts w:hint="eastAsia"/>
          <w:color w:val="auto"/>
          <w:highlight w:val="none"/>
        </w:rPr>
        <w:t>应在收到期中结算书后14天内签发期中支付证书，签发时应写明到期应结算的价款及需要扣留和扣回的价款并报发包人批准。如该期应结算的价款经扣留和扣回后的价款少于</w:t>
      </w:r>
      <w:r>
        <w:rPr>
          <w:rFonts w:hint="eastAsia"/>
          <w:b/>
          <w:i/>
          <w:color w:val="auto"/>
          <w:highlight w:val="none"/>
        </w:rPr>
        <w:t>专用条款</w:t>
      </w:r>
      <w:r>
        <w:rPr>
          <w:rFonts w:hint="eastAsia"/>
          <w:color w:val="auto"/>
          <w:highlight w:val="none"/>
        </w:rPr>
        <w:t>约定的期中支付的最低金额，则</w:t>
      </w:r>
      <w:r>
        <w:rPr>
          <w:color w:val="auto"/>
          <w:highlight w:val="none"/>
        </w:rPr>
        <w:t>监理人</w:t>
      </w:r>
      <w:r>
        <w:rPr>
          <w:rFonts w:hint="eastAsia"/>
          <w:color w:val="auto"/>
          <w:highlight w:val="none"/>
        </w:rPr>
        <w:t>可不签发支付证书，该期工程价款将按期结转，直到累计应支付的价款达到</w:t>
      </w:r>
      <w:r>
        <w:rPr>
          <w:rFonts w:hint="eastAsia"/>
          <w:b/>
          <w:i/>
          <w:color w:val="auto"/>
          <w:highlight w:val="none"/>
        </w:rPr>
        <w:t>专用条款</w:t>
      </w:r>
      <w:r>
        <w:rPr>
          <w:rFonts w:hint="eastAsia"/>
          <w:color w:val="auto"/>
          <w:highlight w:val="none"/>
        </w:rPr>
        <w:t>约定的期中支付的最低金额为止。累计期中支付价款达到合同价格总额的90%时暂停支付。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⑵若承包人未按照23.2⑴款约定的时间提交期中结算书，</w:t>
      </w:r>
      <w:r>
        <w:rPr>
          <w:color w:val="auto"/>
          <w:highlight w:val="none"/>
        </w:rPr>
        <w:t>监理人</w:t>
      </w:r>
      <w:r>
        <w:rPr>
          <w:rFonts w:hint="eastAsia"/>
          <w:color w:val="auto"/>
          <w:highlight w:val="none"/>
        </w:rPr>
        <w:t>可自行按照工程实际进度情况编制期中结算书，报发包人批准后签发期中支付证书，承包人对此应予以认可。</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发包人和监理人对承包人的</w:t>
      </w:r>
      <w:r>
        <w:rPr>
          <w:rFonts w:hint="eastAsia"/>
          <w:color w:val="auto"/>
          <w:highlight w:val="none"/>
        </w:rPr>
        <w:t>期中结算书</w:t>
      </w:r>
      <w:r>
        <w:rPr>
          <w:color w:val="auto"/>
          <w:highlight w:val="none"/>
        </w:rPr>
        <w:t>有异议的，有权要求承包人修正和提供补充资料，承包人应提交修正后的</w:t>
      </w:r>
      <w:r>
        <w:rPr>
          <w:rFonts w:hint="eastAsia"/>
          <w:color w:val="auto"/>
          <w:highlight w:val="none"/>
        </w:rPr>
        <w:t>期中结算书</w:t>
      </w:r>
      <w:r>
        <w:rPr>
          <w:color w:val="auto"/>
          <w:highlight w:val="none"/>
        </w:rPr>
        <w:t>。监理人应在收到承包人修正后的</w:t>
      </w:r>
      <w:r>
        <w:rPr>
          <w:rFonts w:hint="eastAsia"/>
          <w:color w:val="auto"/>
          <w:highlight w:val="none"/>
        </w:rPr>
        <w:t>期中结算书</w:t>
      </w:r>
      <w:r>
        <w:rPr>
          <w:color w:val="auto"/>
          <w:highlight w:val="none"/>
        </w:rPr>
        <w:t>及相关资料后7天内完成审查并报送发包人，发包人应在收到监理人报送的</w:t>
      </w:r>
      <w:r>
        <w:rPr>
          <w:rFonts w:hint="eastAsia"/>
          <w:color w:val="auto"/>
          <w:highlight w:val="none"/>
        </w:rPr>
        <w:t>期中结算书</w:t>
      </w:r>
      <w:r>
        <w:rPr>
          <w:color w:val="auto"/>
          <w:highlight w:val="none"/>
        </w:rPr>
        <w:t>及相关资料后7天内，向承包人签发无异议部分的支付证书。存在争议的部分，按照第</w:t>
      </w:r>
      <w:r>
        <w:rPr>
          <w:rFonts w:hint="eastAsia"/>
          <w:color w:val="auto"/>
          <w:highlight w:val="none"/>
        </w:rPr>
        <w:t>3</w:t>
      </w:r>
      <w:r>
        <w:rPr>
          <w:color w:val="auto"/>
          <w:highlight w:val="none"/>
        </w:rPr>
        <w:t>0条</w:t>
      </w:r>
      <w:r>
        <w:rPr>
          <w:rFonts w:hint="eastAsia"/>
          <w:color w:val="auto"/>
          <w:highlight w:val="none"/>
        </w:rPr>
        <w:t>〔</w:t>
      </w:r>
      <w:r>
        <w:rPr>
          <w:color w:val="auto"/>
          <w:highlight w:val="none"/>
        </w:rPr>
        <w:t>争议解决</w:t>
      </w:r>
      <w:r>
        <w:rPr>
          <w:rFonts w:hint="eastAsia"/>
          <w:color w:val="auto"/>
          <w:highlight w:val="none"/>
        </w:rPr>
        <w:t>〕</w:t>
      </w:r>
      <w:r>
        <w:rPr>
          <w:color w:val="auto"/>
          <w:highlight w:val="none"/>
        </w:rPr>
        <w:t>的约定处理。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w:t>
      </w:r>
      <w:r>
        <w:rPr>
          <w:color w:val="auto"/>
          <w:highlight w:val="none"/>
        </w:rPr>
        <w:t>在对已签发的</w:t>
      </w:r>
      <w:r>
        <w:rPr>
          <w:rFonts w:hint="eastAsia"/>
          <w:color w:val="auto"/>
          <w:highlight w:val="none"/>
        </w:rPr>
        <w:t>期中</w:t>
      </w:r>
      <w:r>
        <w:rPr>
          <w:color w:val="auto"/>
          <w:highlight w:val="none"/>
        </w:rPr>
        <w:t>支付证书进行阶段汇总和复核中发现错误、遗漏或重复的，发包人和承包人均有权提出修正申请。经发包人和承包人同意的修正，应在下期进度付款中支付或扣除。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⑺上述有关工程款支付的文件的编制和审核均须经注册造价工程师签字盖章确认。</w:t>
      </w:r>
    </w:p>
    <w:p>
      <w:pPr>
        <w:adjustRightInd w:val="0"/>
        <w:snapToGrid w:val="0"/>
        <w:spacing w:line="360" w:lineRule="auto"/>
        <w:ind w:left="359"/>
        <w:rPr>
          <w:color w:val="auto"/>
          <w:highlight w:val="none"/>
        </w:rPr>
      </w:pPr>
      <w:r>
        <w:rPr>
          <w:b/>
          <w:color w:val="auto"/>
          <w:highlight w:val="none"/>
        </w:rPr>
        <w:t>23.5</w:t>
      </w:r>
      <w:r>
        <w:rPr>
          <w:rFonts w:hint="eastAsia"/>
          <w:b/>
          <w:color w:val="auto"/>
          <w:highlight w:val="none"/>
        </w:rPr>
        <w:t>工人工资支付</w:t>
      </w:r>
    </w:p>
    <w:p>
      <w:pPr>
        <w:adjustRightInd w:val="0"/>
        <w:snapToGrid w:val="0"/>
        <w:spacing w:line="360" w:lineRule="auto"/>
        <w:ind w:left="357" w:firstLine="480" w:firstLineChars="200"/>
        <w:rPr>
          <w:color w:val="auto"/>
          <w:highlight w:val="none"/>
        </w:rPr>
      </w:pPr>
      <w:r>
        <w:rPr>
          <w:rFonts w:hint="eastAsia"/>
          <w:color w:val="auto"/>
          <w:highlight w:val="none"/>
        </w:rPr>
        <w:t>发包人和承包人应按照《保障农民工工资支付条例》、《国务院关于解决农民工若干问题的意见》、《建设领域农民工工资支付管理暂行办法》和深圳市建设行政主管部门的相关规定，实施用工实名制和分账制管理，在专用条款中约定工人工资支付方式，保障工人工资及时支付和足额发放。</w:t>
      </w:r>
    </w:p>
    <w:p>
      <w:pPr>
        <w:adjustRightInd w:val="0"/>
        <w:snapToGrid w:val="0"/>
        <w:spacing w:line="360" w:lineRule="auto"/>
        <w:ind w:left="359"/>
        <w:rPr>
          <w:color w:val="auto"/>
          <w:highlight w:val="none"/>
        </w:rPr>
      </w:pPr>
      <w:r>
        <w:rPr>
          <w:b/>
          <w:color w:val="auto"/>
          <w:highlight w:val="none"/>
        </w:rPr>
        <w:t>23.6</w:t>
      </w:r>
      <w:r>
        <w:rPr>
          <w:rFonts w:hint="eastAsia"/>
          <w:b/>
          <w:color w:val="auto"/>
          <w:highlight w:val="none"/>
        </w:rPr>
        <w:t>工程款专款专用</w:t>
      </w:r>
    </w:p>
    <w:p>
      <w:pPr>
        <w:tabs>
          <w:tab w:val="left" w:pos="1620"/>
          <w:tab w:val="left" w:pos="2340"/>
        </w:tabs>
        <w:adjustRightInd w:val="0"/>
        <w:snapToGrid w:val="0"/>
        <w:spacing w:line="360" w:lineRule="auto"/>
        <w:ind w:firstLine="480" w:firstLineChars="200"/>
        <w:rPr>
          <w:color w:val="auto"/>
          <w:highlight w:val="none"/>
        </w:rPr>
      </w:pPr>
      <w:r>
        <w:rPr>
          <w:rFonts w:hint="eastAsia"/>
          <w:color w:val="auto"/>
          <w:highlight w:val="none"/>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b/>
          <w:i/>
          <w:color w:val="auto"/>
          <w:highlight w:val="none"/>
        </w:rPr>
        <w:t>专用条款</w:t>
      </w:r>
      <w:r>
        <w:rPr>
          <w:rFonts w:hint="eastAsia"/>
          <w:color w:val="auto"/>
          <w:highlight w:val="none"/>
        </w:rPr>
        <w:t>约定的措施对承包人的工程款使用情况进行监管。</w:t>
      </w:r>
    </w:p>
    <w:p>
      <w:pPr>
        <w:adjustRightInd w:val="0"/>
        <w:snapToGrid w:val="0"/>
        <w:spacing w:line="360" w:lineRule="auto"/>
        <w:ind w:left="178"/>
        <w:rPr>
          <w:color w:val="auto"/>
          <w:sz w:val="28"/>
          <w:highlight w:val="none"/>
        </w:rPr>
      </w:pPr>
      <w:r>
        <w:rPr>
          <w:b/>
          <w:color w:val="auto"/>
          <w:sz w:val="28"/>
          <w:highlight w:val="none"/>
        </w:rPr>
        <w:t>24</w:t>
      </w:r>
      <w:r>
        <w:rPr>
          <w:rFonts w:hint="eastAsia"/>
          <w:b/>
          <w:color w:val="auto"/>
          <w:sz w:val="28"/>
          <w:highlight w:val="none"/>
        </w:rPr>
        <w:t>工程变更</w:t>
      </w:r>
    </w:p>
    <w:p>
      <w:pPr>
        <w:adjustRightInd w:val="0"/>
        <w:snapToGrid w:val="0"/>
        <w:spacing w:line="360" w:lineRule="auto"/>
        <w:ind w:left="359"/>
        <w:rPr>
          <w:color w:val="auto"/>
          <w:highlight w:val="none"/>
        </w:rPr>
      </w:pPr>
      <w:r>
        <w:rPr>
          <w:b/>
          <w:color w:val="auto"/>
          <w:highlight w:val="none"/>
        </w:rPr>
        <w:t>24.1</w:t>
      </w:r>
      <w:r>
        <w:rPr>
          <w:rFonts w:hint="eastAsia"/>
          <w:b/>
          <w:color w:val="auto"/>
          <w:highlight w:val="none"/>
        </w:rPr>
        <w:t>工程变更的范围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在施工过程中，出现以下情况，视为工程变更：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⑴本工程图纸包括的任何工作内容的数量、质量或其他特征的改变；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⑵本工程技术规范内容或要求的改变；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⑶本工程任何部分的标高、线形、位置和尺寸的改变；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⑷本工程任何部分施工的约定顺序或时间安排的改变；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⑸为进行工程变更需要的任何附加工作、材料或设备。</w:t>
      </w:r>
    </w:p>
    <w:p>
      <w:pPr>
        <w:adjustRightInd w:val="0"/>
        <w:snapToGrid w:val="0"/>
        <w:spacing w:line="360" w:lineRule="auto"/>
        <w:ind w:left="359"/>
        <w:rPr>
          <w:color w:val="auto"/>
          <w:highlight w:val="none"/>
        </w:rPr>
      </w:pPr>
      <w:r>
        <w:rPr>
          <w:b/>
          <w:color w:val="auto"/>
          <w:highlight w:val="none"/>
        </w:rPr>
        <w:t>24.2</w:t>
      </w:r>
      <w:r>
        <w:rPr>
          <w:rFonts w:hint="eastAsia"/>
          <w:b/>
          <w:color w:val="auto"/>
          <w:highlight w:val="none"/>
        </w:rPr>
        <w:t>变更权</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⑵涉及设计变更的，应由设计人提供变更后的图纸和说明。</w:t>
      </w:r>
    </w:p>
    <w:p>
      <w:pPr>
        <w:adjustRightInd w:val="0"/>
        <w:snapToGrid w:val="0"/>
        <w:spacing w:line="360" w:lineRule="auto"/>
        <w:ind w:left="359"/>
        <w:rPr>
          <w:color w:val="auto"/>
          <w:highlight w:val="none"/>
        </w:rPr>
      </w:pPr>
      <w:r>
        <w:rPr>
          <w:b/>
          <w:color w:val="auto"/>
          <w:highlight w:val="none"/>
        </w:rPr>
        <w:t>24.3</w:t>
      </w:r>
      <w:r>
        <w:rPr>
          <w:rFonts w:hint="eastAsia"/>
          <w:b/>
          <w:color w:val="auto"/>
          <w:highlight w:val="none"/>
        </w:rPr>
        <w:t>工程变更程序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工程变更应按以下程序及</w:t>
      </w:r>
      <w:r>
        <w:rPr>
          <w:rFonts w:hint="eastAsia"/>
          <w:b/>
          <w:i/>
          <w:color w:val="auto"/>
          <w:highlight w:val="none"/>
        </w:rPr>
        <w:t>专用条款</w:t>
      </w:r>
      <w:r>
        <w:rPr>
          <w:rFonts w:hint="eastAsia"/>
          <w:color w:val="auto"/>
          <w:highlight w:val="none"/>
        </w:rPr>
        <w:t>的约定办理，并由</w:t>
      </w:r>
      <w:r>
        <w:rPr>
          <w:color w:val="auto"/>
          <w:highlight w:val="none"/>
        </w:rPr>
        <w:t>监理人</w:t>
      </w:r>
      <w:r>
        <w:rPr>
          <w:rFonts w:hint="eastAsia"/>
          <w:color w:val="auto"/>
          <w:highlight w:val="none"/>
        </w:rPr>
        <w:t>提前14天向承包人发出变更指令。</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⑴发包人提出变更建议，经</w:t>
      </w:r>
      <w:r>
        <w:rPr>
          <w:color w:val="auto"/>
          <w:highlight w:val="none"/>
        </w:rPr>
        <w:t>监理人</w:t>
      </w:r>
      <w:r>
        <w:rPr>
          <w:rFonts w:hint="eastAsia"/>
          <w:color w:val="auto"/>
          <w:highlight w:val="none"/>
        </w:rPr>
        <w:t>审核，涉及施工图调整时应经</w:t>
      </w:r>
      <w:r>
        <w:rPr>
          <w:color w:val="auto"/>
          <w:highlight w:val="none"/>
        </w:rPr>
        <w:t>设计人</w:t>
      </w:r>
      <w:r>
        <w:rPr>
          <w:rFonts w:hint="eastAsia"/>
          <w:color w:val="auto"/>
          <w:highlight w:val="none"/>
        </w:rPr>
        <w:t>同意并提交相应变更设计；</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w:t>
      </w:r>
      <w:r>
        <w:rPr>
          <w:color w:val="auto"/>
          <w:highlight w:val="none"/>
        </w:rPr>
        <w:t>设计人</w:t>
      </w:r>
      <w:r>
        <w:rPr>
          <w:rFonts w:hint="eastAsia"/>
          <w:color w:val="auto"/>
          <w:highlight w:val="none"/>
        </w:rPr>
        <w:t>提出变更建议，涉及施工图调整时应提交相应变更设计，经</w:t>
      </w:r>
      <w:r>
        <w:rPr>
          <w:color w:val="auto"/>
          <w:highlight w:val="none"/>
        </w:rPr>
        <w:t>监理人</w:t>
      </w:r>
      <w:r>
        <w:rPr>
          <w:rFonts w:hint="eastAsia"/>
          <w:color w:val="auto"/>
          <w:highlight w:val="none"/>
        </w:rPr>
        <w:t>审核并报发包人同意；</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w:t>
      </w:r>
      <w:r>
        <w:rPr>
          <w:color w:val="auto"/>
          <w:highlight w:val="none"/>
        </w:rPr>
        <w:t>监理人</w:t>
      </w:r>
      <w:r>
        <w:rPr>
          <w:rFonts w:hint="eastAsia"/>
          <w:color w:val="auto"/>
          <w:highlight w:val="none"/>
        </w:rPr>
        <w:t>提出变更建议，涉及施工图调整时应经</w:t>
      </w:r>
      <w:r>
        <w:rPr>
          <w:color w:val="auto"/>
          <w:highlight w:val="none"/>
        </w:rPr>
        <w:t>设计人</w:t>
      </w:r>
      <w:r>
        <w:rPr>
          <w:rFonts w:hint="eastAsia"/>
          <w:color w:val="auto"/>
          <w:highlight w:val="none"/>
        </w:rPr>
        <w:t>同意并提交相应变更设计，报发包人同意；</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⑷承包人提出变更建议，涉及施工图调整时应经</w:t>
      </w:r>
      <w:r>
        <w:rPr>
          <w:color w:val="auto"/>
          <w:highlight w:val="none"/>
        </w:rPr>
        <w:t>设计人</w:t>
      </w:r>
      <w:r>
        <w:rPr>
          <w:rFonts w:hint="eastAsia"/>
          <w:color w:val="auto"/>
          <w:highlight w:val="none"/>
        </w:rPr>
        <w:t>同意并提交相应变更设计，经</w:t>
      </w:r>
      <w:r>
        <w:rPr>
          <w:color w:val="auto"/>
          <w:highlight w:val="none"/>
        </w:rPr>
        <w:t>监理人</w:t>
      </w:r>
      <w:r>
        <w:rPr>
          <w:rFonts w:hint="eastAsia"/>
          <w:color w:val="auto"/>
          <w:highlight w:val="none"/>
        </w:rPr>
        <w:t>审核并报发包人同意；</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⑸以上变更建议涉及到结构、外墙等影响本工程及公众安全的，必须经</w:t>
      </w:r>
      <w:r>
        <w:rPr>
          <w:color w:val="auto"/>
          <w:highlight w:val="none"/>
        </w:rPr>
        <w:t>设计人</w:t>
      </w:r>
      <w:r>
        <w:rPr>
          <w:rFonts w:hint="eastAsia"/>
          <w:color w:val="auto"/>
          <w:highlight w:val="none"/>
        </w:rPr>
        <w:t>同意并提交相应变更设计；</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⑹以上变更超过原设计标准或批准的建设规模需要有关部门审批时，发包人应在</w:t>
      </w:r>
      <w:r>
        <w:rPr>
          <w:rFonts w:hint="eastAsia"/>
          <w:b/>
          <w:i/>
          <w:color w:val="auto"/>
          <w:highlight w:val="none"/>
        </w:rPr>
        <w:t>专用条款</w:t>
      </w:r>
      <w:r>
        <w:rPr>
          <w:rFonts w:hint="eastAsia"/>
          <w:color w:val="auto"/>
          <w:highlight w:val="none"/>
        </w:rPr>
        <w:t>约定期限内报规划管理部门和其他有关部门重新审查批准，并提供由</w:t>
      </w:r>
      <w:r>
        <w:rPr>
          <w:color w:val="auto"/>
          <w:highlight w:val="none"/>
        </w:rPr>
        <w:t>设计人</w:t>
      </w:r>
      <w:r>
        <w:rPr>
          <w:rFonts w:hint="eastAsia"/>
          <w:color w:val="auto"/>
          <w:highlight w:val="none"/>
        </w:rPr>
        <w:t>出具的相应变更设计。</w:t>
      </w:r>
    </w:p>
    <w:p>
      <w:pPr>
        <w:adjustRightInd w:val="0"/>
        <w:snapToGrid w:val="0"/>
        <w:spacing w:line="360" w:lineRule="auto"/>
        <w:ind w:left="359"/>
        <w:rPr>
          <w:color w:val="auto"/>
          <w:highlight w:val="none"/>
        </w:rPr>
      </w:pPr>
      <w:r>
        <w:rPr>
          <w:b/>
          <w:color w:val="auto"/>
          <w:highlight w:val="none"/>
        </w:rPr>
        <w:t>24.4</w:t>
      </w:r>
      <w:r>
        <w:rPr>
          <w:rFonts w:hint="eastAsia"/>
          <w:b/>
          <w:color w:val="auto"/>
          <w:highlight w:val="none"/>
        </w:rPr>
        <w:t>其他变更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⑴如发出本工程变更指令是因为承包人过错、承包人违反本合同等造成的，则由此引起的任何额外费用由承包人承担。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⑵如承包人为了便于组织施工，或为了施工安全、避免干扰等原因需采取相应的技术措施而提出的局部变更设计，除须得到</w:t>
      </w:r>
      <w:r>
        <w:rPr>
          <w:color w:val="auto"/>
          <w:highlight w:val="none"/>
        </w:rPr>
        <w:t>监理人</w:t>
      </w:r>
      <w:r>
        <w:rPr>
          <w:rFonts w:hint="eastAsia"/>
          <w:color w:val="auto"/>
          <w:highlight w:val="none"/>
        </w:rPr>
        <w:t>的批准外，由此而增加的费用由承包人自行负担。因承包人擅自变更设计发生的费用和由此导致发包人的直接损失，由承包人承担，延误的工期不予顺延。</w:t>
      </w:r>
    </w:p>
    <w:p>
      <w:pPr>
        <w:adjustRightInd w:val="0"/>
        <w:snapToGrid w:val="0"/>
        <w:spacing w:line="360" w:lineRule="auto"/>
        <w:ind w:left="359"/>
        <w:rPr>
          <w:color w:val="auto"/>
          <w:highlight w:val="none"/>
        </w:rPr>
      </w:pPr>
      <w:r>
        <w:rPr>
          <w:b/>
          <w:color w:val="auto"/>
          <w:highlight w:val="none"/>
        </w:rPr>
        <w:t>24.5</w:t>
      </w:r>
      <w:r>
        <w:rPr>
          <w:rFonts w:hint="eastAsia"/>
          <w:b/>
          <w:color w:val="auto"/>
          <w:highlight w:val="none"/>
        </w:rPr>
        <w:t>计日工现场签证</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⑴在本工程施工过程中，承包人完成发包人或</w:t>
      </w:r>
      <w:r>
        <w:rPr>
          <w:color w:val="auto"/>
          <w:highlight w:val="none"/>
        </w:rPr>
        <w:t>监理人</w:t>
      </w:r>
      <w:r>
        <w:rPr>
          <w:rFonts w:hint="eastAsia"/>
          <w:color w:val="auto"/>
          <w:highlight w:val="none"/>
        </w:rPr>
        <w:t>提出的施工图以外的零星项目或工作，</w:t>
      </w:r>
      <w:r>
        <w:rPr>
          <w:color w:val="auto"/>
          <w:highlight w:val="none"/>
        </w:rPr>
        <w:t>其价款按列入已标价工程量清单或预算书中的计日工计价项目及其单价进行计算；已标价工程量清单或预算书中无相应的计日工单价的，按照合理的成本与利润构成的原则，由承发包双方</w:t>
      </w:r>
      <w:r>
        <w:rPr>
          <w:rFonts w:hint="eastAsia"/>
          <w:color w:val="auto"/>
          <w:highlight w:val="none"/>
        </w:rPr>
        <w:t>协商</w:t>
      </w:r>
      <w:r>
        <w:rPr>
          <w:color w:val="auto"/>
          <w:highlight w:val="none"/>
        </w:rPr>
        <w:t>确定变更工作的单价</w:t>
      </w:r>
      <w:r>
        <w:rPr>
          <w:rFonts w:hint="eastAsia"/>
          <w:color w:val="auto"/>
          <w:highlight w:val="none"/>
        </w:rPr>
        <w:t>，协商不成的，按第30条［争议解决］的约定处理。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⑵发包人或</w:t>
      </w:r>
      <w:r>
        <w:rPr>
          <w:color w:val="auto"/>
          <w:highlight w:val="none"/>
        </w:rPr>
        <w:t>监理人</w:t>
      </w:r>
      <w:r>
        <w:rPr>
          <w:rFonts w:hint="eastAsia"/>
          <w:color w:val="auto"/>
          <w:highlight w:val="none"/>
        </w:rPr>
        <w:t>如认为必要时，可以指令承包人按计日工完成工作。对所有按计日工方式施工的工程，承包人应在该工程持续进行过程中，每天向</w:t>
      </w:r>
      <w:r>
        <w:rPr>
          <w:color w:val="auto"/>
          <w:highlight w:val="none"/>
        </w:rPr>
        <w:t>监理人</w:t>
      </w:r>
      <w:r>
        <w:rPr>
          <w:rFonts w:hint="eastAsia"/>
          <w:color w:val="auto"/>
          <w:highlight w:val="none"/>
        </w:rPr>
        <w:t>提交以下报表及有关凭证一式两份，经</w:t>
      </w:r>
      <w:r>
        <w:rPr>
          <w:color w:val="auto"/>
          <w:highlight w:val="none"/>
        </w:rPr>
        <w:t>监理人</w:t>
      </w:r>
      <w:r>
        <w:rPr>
          <w:rFonts w:hint="eastAsia"/>
          <w:color w:val="auto"/>
          <w:highlight w:val="none"/>
        </w:rPr>
        <w:t>确认签字后，退还其中一份给承包人。</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w:t>
      </w:r>
      <w:r>
        <w:rPr>
          <w:color w:val="auto"/>
          <w:highlight w:val="none"/>
        </w:rPr>
        <w:t>工作名称、内容和数量；</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w:t>
      </w:r>
      <w:r>
        <w:rPr>
          <w:color w:val="auto"/>
          <w:highlight w:val="none"/>
        </w:rPr>
        <w:t>投入该工作的所有人员的姓名、专业、工种、级别和耗用工时；</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w:t>
      </w:r>
      <w:r>
        <w:rPr>
          <w:color w:val="auto"/>
          <w:highlight w:val="none"/>
        </w:rPr>
        <w:t>投入该工作的材料类别和数量；</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w:t>
      </w:r>
      <w:r>
        <w:rPr>
          <w:color w:val="auto"/>
          <w:highlight w:val="none"/>
        </w:rPr>
        <w:t>投入该工作的施工设备型号和耗用</w:t>
      </w:r>
      <w:r>
        <w:rPr>
          <w:rFonts w:hint="eastAsia"/>
          <w:color w:val="auto"/>
          <w:highlight w:val="none"/>
        </w:rPr>
        <w:t>台班</w:t>
      </w:r>
      <w:r>
        <w:rPr>
          <w:color w:val="auto"/>
          <w:highlight w:val="none"/>
        </w:rPr>
        <w:t>；</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⑤</w:t>
      </w:r>
      <w:r>
        <w:rPr>
          <w:color w:val="auto"/>
          <w:highlight w:val="none"/>
        </w:rPr>
        <w:t>其他有关资料和凭证。</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⑶在期中结算的同时，承包人应按照</w:t>
      </w:r>
      <w:r>
        <w:rPr>
          <w:color w:val="auto"/>
          <w:highlight w:val="none"/>
        </w:rPr>
        <w:t>监理人</w:t>
      </w:r>
      <w:r>
        <w:rPr>
          <w:rFonts w:hint="eastAsia"/>
          <w:color w:val="auto"/>
          <w:highlight w:val="none"/>
        </w:rPr>
        <w:t>确认的本期累计所用劳务、材料和承包人装备的数量，向</w:t>
      </w:r>
      <w:r>
        <w:rPr>
          <w:color w:val="auto"/>
          <w:highlight w:val="none"/>
        </w:rPr>
        <w:t>监理人</w:t>
      </w:r>
      <w:r>
        <w:rPr>
          <w:rFonts w:hint="eastAsia"/>
          <w:color w:val="auto"/>
          <w:highlight w:val="none"/>
        </w:rPr>
        <w:t>申报本期所用计日工费用，经</w:t>
      </w:r>
      <w:r>
        <w:rPr>
          <w:color w:val="auto"/>
          <w:highlight w:val="none"/>
        </w:rPr>
        <w:t>监理人</w:t>
      </w:r>
      <w:r>
        <w:rPr>
          <w:rFonts w:hint="eastAsia"/>
          <w:color w:val="auto"/>
          <w:highlight w:val="none"/>
        </w:rPr>
        <w:t>审核并报发包人确认后，与期中支付同期支付。</w:t>
      </w:r>
    </w:p>
    <w:p>
      <w:pPr>
        <w:adjustRightInd w:val="0"/>
        <w:snapToGrid w:val="0"/>
        <w:spacing w:line="360" w:lineRule="auto"/>
        <w:ind w:left="359"/>
        <w:rPr>
          <w:color w:val="auto"/>
          <w:highlight w:val="none"/>
        </w:rPr>
      </w:pPr>
      <w:r>
        <w:rPr>
          <w:b/>
          <w:color w:val="auto"/>
          <w:highlight w:val="none"/>
        </w:rPr>
        <w:t>24.6</w:t>
      </w:r>
      <w:r>
        <w:rPr>
          <w:rFonts w:hint="eastAsia"/>
          <w:b/>
          <w:color w:val="auto"/>
          <w:highlight w:val="none"/>
        </w:rPr>
        <w:t>价值工程</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⑴施工过程中承包人可随时提出其认为可满足下列要求的合理化建议：</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①使本工程提前竣工；</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②降低发包人的工程施工、维护或运营的费用；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③提高本工程的价值；</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④为发包人带来其它利益。</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监理人</w:t>
      </w:r>
      <w:r>
        <w:rPr>
          <w:rFonts w:hint="eastAsia"/>
          <w:color w:val="auto"/>
          <w:highlight w:val="none"/>
        </w:rPr>
        <w:t>收到此类建议后，应尽快提出针对性的回复，在此期间，承包人应继续按照本合同约定进行相应工作。若该合理化建议涉及到对设计图纸或施工组织设计的更改及对材料、设备的换用，须经</w:t>
      </w:r>
      <w:r>
        <w:rPr>
          <w:color w:val="auto"/>
          <w:highlight w:val="none"/>
        </w:rPr>
        <w:t>监理人</w:t>
      </w:r>
      <w:r>
        <w:rPr>
          <w:rFonts w:hint="eastAsia"/>
          <w:color w:val="auto"/>
          <w:highlight w:val="none"/>
        </w:rPr>
        <w:t>审查并报经发包人批准。未经批准擅自更改或换用时，承包人承担由此发生的费用，并赔偿发包人的有关损失，延误的工期不予顺延。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⑶若发包人同意采用承包人合理化建议，所发生的费用和获得的收益，发包人和承包人按</w:t>
      </w:r>
      <w:r>
        <w:rPr>
          <w:rFonts w:hint="eastAsia"/>
          <w:b/>
          <w:i/>
          <w:color w:val="auto"/>
          <w:highlight w:val="none"/>
        </w:rPr>
        <w:t>专用条款</w:t>
      </w:r>
      <w:r>
        <w:rPr>
          <w:rFonts w:hint="eastAsia"/>
          <w:color w:val="auto"/>
          <w:highlight w:val="none"/>
        </w:rPr>
        <w:t>的约定分担或分享。</w:t>
      </w:r>
    </w:p>
    <w:p>
      <w:pPr>
        <w:adjustRightInd w:val="0"/>
        <w:snapToGrid w:val="0"/>
        <w:spacing w:line="360" w:lineRule="auto"/>
        <w:ind w:left="359"/>
        <w:rPr>
          <w:color w:val="auto"/>
          <w:highlight w:val="none"/>
        </w:rPr>
      </w:pPr>
      <w:r>
        <w:rPr>
          <w:b/>
          <w:color w:val="auto"/>
          <w:highlight w:val="none"/>
        </w:rPr>
        <w:t>24.7变更引起的工期调整</w:t>
      </w:r>
    </w:p>
    <w:p>
      <w:pPr>
        <w:tabs>
          <w:tab w:val="left" w:pos="1620"/>
          <w:tab w:val="left" w:pos="2340"/>
        </w:tabs>
        <w:adjustRightInd w:val="0"/>
        <w:snapToGrid w:val="0"/>
        <w:spacing w:line="360" w:lineRule="auto"/>
        <w:ind w:left="899"/>
        <w:rPr>
          <w:color w:val="auto"/>
          <w:highlight w:val="none"/>
        </w:rPr>
      </w:pPr>
      <w:r>
        <w:rPr>
          <w:color w:val="auto"/>
          <w:highlight w:val="none"/>
        </w:rPr>
        <w:t>因变更引起工期变化的，承发包双方均可要求调整合同工期，由承发包双方参考工期定额标准</w:t>
      </w:r>
      <w:r>
        <w:rPr>
          <w:rFonts w:hint="eastAsia"/>
          <w:color w:val="auto"/>
          <w:highlight w:val="none"/>
        </w:rPr>
        <w:t>协商</w:t>
      </w:r>
      <w:r>
        <w:rPr>
          <w:color w:val="auto"/>
          <w:highlight w:val="none"/>
        </w:rPr>
        <w:t>确定增减工期天数。</w:t>
      </w:r>
    </w:p>
    <w:p>
      <w:pPr>
        <w:adjustRightInd w:val="0"/>
        <w:snapToGrid w:val="0"/>
        <w:spacing w:line="360" w:lineRule="auto"/>
        <w:ind w:left="178"/>
        <w:rPr>
          <w:color w:val="auto"/>
          <w:sz w:val="28"/>
          <w:highlight w:val="none"/>
        </w:rPr>
      </w:pPr>
      <w:r>
        <w:rPr>
          <w:b/>
          <w:color w:val="auto"/>
          <w:sz w:val="28"/>
          <w:highlight w:val="none"/>
        </w:rPr>
        <w:t>25</w:t>
      </w:r>
      <w:r>
        <w:rPr>
          <w:rFonts w:hint="eastAsia"/>
          <w:b/>
          <w:color w:val="auto"/>
          <w:sz w:val="28"/>
          <w:highlight w:val="none"/>
        </w:rPr>
        <w:t>工程变更价款</w:t>
      </w:r>
    </w:p>
    <w:p>
      <w:pPr>
        <w:adjustRightInd w:val="0"/>
        <w:snapToGrid w:val="0"/>
        <w:spacing w:line="360" w:lineRule="auto"/>
        <w:ind w:left="359"/>
        <w:rPr>
          <w:color w:val="auto"/>
          <w:highlight w:val="none"/>
        </w:rPr>
      </w:pPr>
      <w:r>
        <w:rPr>
          <w:b/>
          <w:color w:val="auto"/>
          <w:highlight w:val="none"/>
        </w:rPr>
        <w:t>25.1</w:t>
      </w:r>
      <w:r>
        <w:rPr>
          <w:rFonts w:hint="eastAsia"/>
          <w:b/>
          <w:color w:val="auto"/>
          <w:highlight w:val="none"/>
        </w:rPr>
        <w:t>工程变更价款的确定方法</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⑴合同价格构成中的工程量清单项目单价中已有适用于变更工程的工程量清单项目单价，按已有的工程量清单项目单价确定变更价款。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⑵除</w:t>
      </w:r>
      <w:r>
        <w:rPr>
          <w:rFonts w:hint="eastAsia"/>
          <w:b/>
          <w:i/>
          <w:color w:val="auto"/>
          <w:highlight w:val="none"/>
        </w:rPr>
        <w:t>专用条款</w:t>
      </w:r>
      <w:r>
        <w:rPr>
          <w:rFonts w:hint="eastAsia"/>
          <w:color w:val="auto"/>
          <w:highlight w:val="none"/>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⑶合同价格构成中的工程量清单项目单价中没有适用或类似于变更工程的工程量清单项目单价，除</w:t>
      </w:r>
      <w:r>
        <w:rPr>
          <w:rFonts w:hint="eastAsia"/>
          <w:b/>
          <w:i/>
          <w:color w:val="auto"/>
          <w:highlight w:val="none"/>
        </w:rPr>
        <w:t>专用条款</w:t>
      </w:r>
      <w:r>
        <w:rPr>
          <w:rFonts w:hint="eastAsia"/>
          <w:color w:val="auto"/>
          <w:highlight w:val="none"/>
        </w:rPr>
        <w:t>另有约定外，发包人和承包人应按照本工程招标控制价的编制方法，根据工程变更资料计算，并按本工程净下浮率进行下浮调整确定该工程变更价款。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⑷如工程变更造成工程量清单中某项目的工程量增减超过15%或承发包双方在</w:t>
      </w:r>
      <w:r>
        <w:rPr>
          <w:rFonts w:hint="eastAsia"/>
          <w:b/>
          <w:i/>
          <w:color w:val="auto"/>
          <w:highlight w:val="none"/>
        </w:rPr>
        <w:t>专用条款</w:t>
      </w:r>
      <w:r>
        <w:rPr>
          <w:rFonts w:hint="eastAsia"/>
          <w:color w:val="auto"/>
          <w:highlight w:val="none"/>
        </w:rPr>
        <w:t>中约定的幅度时，其工程量清单项目单价按第25.4款执行。</w:t>
      </w:r>
    </w:p>
    <w:p>
      <w:pPr>
        <w:adjustRightInd w:val="0"/>
        <w:snapToGrid w:val="0"/>
        <w:spacing w:line="360" w:lineRule="auto"/>
        <w:ind w:left="359"/>
        <w:rPr>
          <w:color w:val="auto"/>
          <w:highlight w:val="none"/>
        </w:rPr>
      </w:pPr>
      <w:r>
        <w:rPr>
          <w:b/>
          <w:color w:val="auto"/>
          <w:highlight w:val="none"/>
        </w:rPr>
        <w:t>25.2</w:t>
      </w:r>
      <w:r>
        <w:rPr>
          <w:rFonts w:hint="eastAsia"/>
          <w:b/>
          <w:color w:val="auto"/>
          <w:highlight w:val="none"/>
        </w:rPr>
        <w:t>工程变更引起措施项目的调整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⑴当工程变更引起措施项目发生变化，造成施工组织设计或施工方案变更时，承包人有权提出调整措施项目费。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⑵承包人提出调整措施项目费的，应事先将拟实施的方案提交</w:t>
      </w:r>
      <w:r>
        <w:rPr>
          <w:color w:val="auto"/>
          <w:highlight w:val="none"/>
        </w:rPr>
        <w:t>监理人</w:t>
      </w:r>
      <w:r>
        <w:rPr>
          <w:rFonts w:hint="eastAsia"/>
          <w:color w:val="auto"/>
          <w:highlight w:val="none"/>
        </w:rPr>
        <w:t>确认，并详细说明与原方案措施项目的变化情况。拟实施的方案经</w:t>
      </w:r>
      <w:r>
        <w:rPr>
          <w:color w:val="auto"/>
          <w:highlight w:val="none"/>
        </w:rPr>
        <w:t>监理人</w:t>
      </w:r>
      <w:r>
        <w:rPr>
          <w:rFonts w:hint="eastAsia"/>
          <w:color w:val="auto"/>
          <w:highlight w:val="none"/>
        </w:rPr>
        <w:t>认可，并报发包人批准后执行。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⑶除</w:t>
      </w:r>
      <w:r>
        <w:rPr>
          <w:rFonts w:hint="eastAsia"/>
          <w:b/>
          <w:i/>
          <w:color w:val="auto"/>
          <w:highlight w:val="none"/>
        </w:rPr>
        <w:t>专用条款</w:t>
      </w:r>
      <w:r>
        <w:rPr>
          <w:rFonts w:hint="eastAsia"/>
          <w:color w:val="auto"/>
          <w:highlight w:val="none"/>
        </w:rPr>
        <w:t>另有约定外，工程变更引起的措施项目费调整的计算方法为：</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①采用单价计算的措施项目费，按照实际发生变化的措施项目，按第25.1款［工程变更价款的确定方法］约定的方法确定单价；</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②除安全文明施工措施费外，采用以“项”计量计价的措施项目费，按照实际发生变化的措施项目以原措施费的组价方法调整；</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③安全文明施工措施费计算基数发生</w:t>
      </w:r>
      <w:r>
        <w:rPr>
          <w:rFonts w:hint="eastAsia"/>
          <w:b/>
          <w:i/>
          <w:color w:val="auto"/>
          <w:highlight w:val="none"/>
        </w:rPr>
        <w:t>专用条款</w:t>
      </w:r>
      <w:r>
        <w:rPr>
          <w:rFonts w:hint="eastAsia"/>
          <w:bCs/>
          <w:iCs/>
          <w:color w:val="auto"/>
          <w:highlight w:val="none"/>
        </w:rPr>
        <w:t>约定</w:t>
      </w:r>
      <w:r>
        <w:rPr>
          <w:rFonts w:hint="eastAsia"/>
          <w:color w:val="auto"/>
          <w:highlight w:val="none"/>
        </w:rPr>
        <w:t>变化</w:t>
      </w:r>
      <w:r>
        <w:rPr>
          <w:rFonts w:hint="eastAsia"/>
          <w:bCs/>
          <w:iCs/>
          <w:color w:val="auto"/>
          <w:highlight w:val="none"/>
        </w:rPr>
        <w:t>幅度</w:t>
      </w:r>
      <w:r>
        <w:rPr>
          <w:rFonts w:hint="eastAsia"/>
          <w:color w:val="auto"/>
          <w:highlight w:val="none"/>
        </w:rPr>
        <w:t>的，按照</w:t>
      </w:r>
      <w:r>
        <w:rPr>
          <w:rFonts w:hint="eastAsia"/>
          <w:b/>
          <w:i/>
          <w:color w:val="auto"/>
          <w:highlight w:val="none"/>
        </w:rPr>
        <w:t>专用条款</w:t>
      </w:r>
      <w:r>
        <w:rPr>
          <w:rFonts w:hint="eastAsia"/>
          <w:bCs/>
          <w:iCs/>
          <w:color w:val="auto"/>
          <w:highlight w:val="none"/>
        </w:rPr>
        <w:t>约定</w:t>
      </w:r>
      <w:r>
        <w:rPr>
          <w:rFonts w:hint="eastAsia"/>
          <w:color w:val="auto"/>
          <w:highlight w:val="none"/>
        </w:rPr>
        <w:t>的计算方法进行调整。</w:t>
      </w:r>
    </w:p>
    <w:p>
      <w:pPr>
        <w:tabs>
          <w:tab w:val="left" w:pos="1620"/>
          <w:tab w:val="left" w:pos="2340"/>
        </w:tabs>
        <w:adjustRightInd w:val="0"/>
        <w:snapToGrid w:val="0"/>
        <w:spacing w:line="360" w:lineRule="auto"/>
        <w:ind w:left="1134"/>
        <w:rPr>
          <w:color w:val="auto"/>
          <w:highlight w:val="none"/>
        </w:rPr>
      </w:pPr>
    </w:p>
    <w:p>
      <w:pPr>
        <w:adjustRightInd w:val="0"/>
        <w:snapToGrid w:val="0"/>
        <w:spacing w:line="360" w:lineRule="auto"/>
        <w:ind w:left="359"/>
        <w:rPr>
          <w:color w:val="auto"/>
          <w:highlight w:val="none"/>
        </w:rPr>
      </w:pPr>
      <w:r>
        <w:rPr>
          <w:b/>
          <w:color w:val="auto"/>
          <w:highlight w:val="none"/>
        </w:rPr>
        <w:t>25.3</w:t>
      </w:r>
      <w:r>
        <w:rPr>
          <w:rFonts w:hint="eastAsia"/>
          <w:b/>
          <w:color w:val="auto"/>
          <w:highlight w:val="none"/>
        </w:rPr>
        <w:t>工程变更价款的确定程序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除</w:t>
      </w:r>
      <w:r>
        <w:rPr>
          <w:rFonts w:hint="eastAsia"/>
          <w:b/>
          <w:i/>
          <w:color w:val="auto"/>
          <w:highlight w:val="none"/>
        </w:rPr>
        <w:t>专用条款</w:t>
      </w:r>
      <w:r>
        <w:rPr>
          <w:rFonts w:hint="eastAsia"/>
          <w:color w:val="auto"/>
          <w:highlight w:val="none"/>
        </w:rPr>
        <w:t>另有约定外，发包人和承包人应按以下程序确认工程变更价款：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⑴承包人应在收到工程变更指令后14天内将变更工程价款和(或)调整工期报告提交给</w:t>
      </w:r>
      <w:r>
        <w:rPr>
          <w:color w:val="auto"/>
          <w:highlight w:val="none"/>
        </w:rPr>
        <w:t>监理人</w:t>
      </w:r>
      <w:r>
        <w:rPr>
          <w:rFonts w:hint="eastAsia"/>
          <w:color w:val="auto"/>
          <w:highlight w:val="none"/>
        </w:rPr>
        <w:t>，</w:t>
      </w:r>
      <w:r>
        <w:rPr>
          <w:color w:val="auto"/>
          <w:highlight w:val="none"/>
        </w:rPr>
        <w:t>监理人</w:t>
      </w:r>
      <w:r>
        <w:rPr>
          <w:rFonts w:hint="eastAsia"/>
          <w:color w:val="auto"/>
          <w:highlight w:val="none"/>
        </w:rPr>
        <w:t>应及时予以确认，并报发包人批准。</w:t>
      </w:r>
      <w:r>
        <w:rPr>
          <w:color w:val="auto"/>
          <w:highlight w:val="none"/>
        </w:rPr>
        <w:t>监理人</w:t>
      </w:r>
      <w:r>
        <w:rPr>
          <w:rFonts w:hint="eastAsia"/>
          <w:color w:val="auto"/>
          <w:highlight w:val="none"/>
        </w:rPr>
        <w:t>收到报告后14天内未确认也未提出异议的，视为该报告已被确认。</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⑵承包人在收到工程变更指令后14天内不向</w:t>
      </w:r>
      <w:r>
        <w:rPr>
          <w:color w:val="auto"/>
          <w:highlight w:val="none"/>
        </w:rPr>
        <w:t>监理人</w:t>
      </w:r>
      <w:r>
        <w:rPr>
          <w:rFonts w:hint="eastAsia"/>
          <w:color w:val="auto"/>
          <w:highlight w:val="none"/>
        </w:rPr>
        <w:t>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⑶工程变更指令发出后，发包人与承包人均未在约定时间内提出变更工程价款和(或)顺延工期报告的，视为该项工程变更不涉及合同价格和(或)工期的调整。</w:t>
      </w:r>
    </w:p>
    <w:p>
      <w:pPr>
        <w:adjustRightInd w:val="0"/>
        <w:snapToGrid w:val="0"/>
        <w:spacing w:line="360" w:lineRule="auto"/>
        <w:ind w:left="359"/>
        <w:rPr>
          <w:color w:val="auto"/>
          <w:highlight w:val="none"/>
        </w:rPr>
      </w:pPr>
      <w:r>
        <w:rPr>
          <w:b/>
          <w:color w:val="auto"/>
          <w:highlight w:val="none"/>
        </w:rPr>
        <w:t>25.4</w:t>
      </w:r>
      <w:r>
        <w:rPr>
          <w:rFonts w:hint="eastAsia"/>
          <w:b/>
          <w:color w:val="auto"/>
          <w:highlight w:val="none"/>
        </w:rPr>
        <w:t>工程量变化调整项目单价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由于工程变更或按第22条工程量计量结果造成工程量清单中某项目的工程量增减超过15%或发、承包人在</w:t>
      </w:r>
      <w:r>
        <w:rPr>
          <w:rFonts w:hint="eastAsia"/>
          <w:b/>
          <w:i/>
          <w:color w:val="auto"/>
          <w:highlight w:val="none"/>
        </w:rPr>
        <w:t>专用条款</w:t>
      </w:r>
      <w:r>
        <w:rPr>
          <w:rFonts w:hint="eastAsia"/>
          <w:color w:val="auto"/>
          <w:highlight w:val="none"/>
        </w:rPr>
        <w:t>中约定的幅度时，除</w:t>
      </w:r>
      <w:r>
        <w:rPr>
          <w:rFonts w:hint="eastAsia"/>
          <w:b/>
          <w:i/>
          <w:color w:val="auto"/>
          <w:highlight w:val="none"/>
        </w:rPr>
        <w:t>专用条款</w:t>
      </w:r>
      <w:r>
        <w:rPr>
          <w:rFonts w:hint="eastAsia"/>
          <w:color w:val="auto"/>
          <w:highlight w:val="none"/>
        </w:rPr>
        <w:t>另有约定外，发包人和承包人应按照本工程招标控制价的编制方法，并按本工程中标净下浮率进行下浮调整确定该清单项目增加部分或减少后剩余部分工程量的项目单价。</w:t>
      </w:r>
    </w:p>
    <w:p>
      <w:pPr>
        <w:adjustRightInd w:val="0"/>
        <w:snapToGrid w:val="0"/>
        <w:spacing w:line="360" w:lineRule="auto"/>
        <w:ind w:left="359"/>
        <w:rPr>
          <w:color w:val="auto"/>
          <w:highlight w:val="none"/>
        </w:rPr>
      </w:pPr>
      <w:r>
        <w:rPr>
          <w:b/>
          <w:color w:val="auto"/>
          <w:highlight w:val="none"/>
        </w:rPr>
        <w:t>25.5</w:t>
      </w:r>
      <w:r>
        <w:rPr>
          <w:rFonts w:hint="eastAsia"/>
          <w:b/>
          <w:color w:val="auto"/>
          <w:highlight w:val="none"/>
        </w:rPr>
        <w:t>工程变更价款支付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⑴按第25.1、25.2款确认的增(减)工程变更价款作为追加(减)合同价款，与工程进度款同期同比例支付，达到追加</w:t>
      </w:r>
      <w:r>
        <w:rPr>
          <w:color w:val="auto"/>
          <w:highlight w:val="none"/>
        </w:rPr>
        <w:t>(</w:t>
      </w:r>
      <w:r>
        <w:rPr>
          <w:rFonts w:hint="eastAsia"/>
          <w:color w:val="auto"/>
          <w:highlight w:val="none"/>
        </w:rPr>
        <w:t>减</w:t>
      </w:r>
      <w:r>
        <w:rPr>
          <w:color w:val="auto"/>
          <w:highlight w:val="none"/>
        </w:rPr>
        <w:t>)</w:t>
      </w:r>
      <w:r>
        <w:rPr>
          <w:rFonts w:hint="eastAsia"/>
          <w:color w:val="auto"/>
          <w:highlight w:val="none"/>
        </w:rPr>
        <w:t>合同价款的一定比例时暂停支付，该比例在合同</w:t>
      </w:r>
      <w:r>
        <w:rPr>
          <w:rFonts w:hint="eastAsia"/>
          <w:b/>
          <w:i/>
          <w:color w:val="auto"/>
          <w:highlight w:val="none"/>
        </w:rPr>
        <w:t>专用条款</w:t>
      </w:r>
      <w:r>
        <w:rPr>
          <w:rFonts w:hint="eastAsia"/>
          <w:color w:val="auto"/>
          <w:highlight w:val="none"/>
        </w:rPr>
        <w:t>中明确。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⑵有关工程变更价款的文件的编制和审核均须经注册造价工程师签字盖章确认。</w:t>
      </w:r>
    </w:p>
    <w:p>
      <w:pPr>
        <w:adjustRightInd w:val="0"/>
        <w:snapToGrid w:val="0"/>
        <w:spacing w:line="360" w:lineRule="auto"/>
        <w:ind w:left="359"/>
        <w:rPr>
          <w:color w:val="auto"/>
          <w:highlight w:val="none"/>
        </w:rPr>
      </w:pPr>
      <w:r>
        <w:rPr>
          <w:b/>
          <w:color w:val="auto"/>
          <w:highlight w:val="none"/>
        </w:rPr>
        <w:t>25.6</w:t>
      </w:r>
      <w:r>
        <w:rPr>
          <w:rFonts w:hint="eastAsia"/>
          <w:b/>
          <w:color w:val="auto"/>
          <w:highlight w:val="none"/>
        </w:rPr>
        <w:t>删减工作或工程的补偿</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b/>
          <w:i/>
          <w:color w:val="auto"/>
          <w:highlight w:val="none"/>
        </w:rPr>
        <w:t>专用条款</w:t>
      </w:r>
      <w:r>
        <w:rPr>
          <w:rFonts w:hint="eastAsia"/>
          <w:color w:val="auto"/>
          <w:highlight w:val="none"/>
        </w:rPr>
        <w:t>约定的方法给予承包人补偿。</w:t>
      </w:r>
    </w:p>
    <w:p>
      <w:pPr>
        <w:adjustRightInd w:val="0"/>
        <w:snapToGrid w:val="0"/>
        <w:spacing w:line="360" w:lineRule="auto"/>
        <w:ind w:left="178"/>
        <w:rPr>
          <w:color w:val="auto"/>
          <w:sz w:val="28"/>
          <w:highlight w:val="none"/>
        </w:rPr>
      </w:pPr>
      <w:r>
        <w:rPr>
          <w:b/>
          <w:color w:val="auto"/>
          <w:sz w:val="28"/>
          <w:highlight w:val="none"/>
        </w:rPr>
        <w:t>26</w:t>
      </w:r>
      <w:r>
        <w:rPr>
          <w:rFonts w:hint="eastAsia"/>
          <w:b/>
          <w:color w:val="auto"/>
          <w:sz w:val="28"/>
          <w:highlight w:val="none"/>
        </w:rPr>
        <w:t>竣工验收</w:t>
      </w:r>
    </w:p>
    <w:p>
      <w:pPr>
        <w:adjustRightInd w:val="0"/>
        <w:snapToGrid w:val="0"/>
        <w:spacing w:line="360" w:lineRule="auto"/>
        <w:ind w:left="359"/>
        <w:rPr>
          <w:color w:val="auto"/>
          <w:highlight w:val="none"/>
        </w:rPr>
      </w:pPr>
      <w:r>
        <w:rPr>
          <w:b/>
          <w:color w:val="auto"/>
          <w:highlight w:val="none"/>
        </w:rPr>
        <w:t>26.1</w:t>
      </w:r>
      <w:r>
        <w:rPr>
          <w:rFonts w:hint="eastAsia"/>
          <w:b/>
          <w:color w:val="auto"/>
          <w:highlight w:val="none"/>
        </w:rPr>
        <w:t>竣工验收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工程具备以下条件的，承包人可以申请竣工验收：</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①</w:t>
      </w:r>
      <w:r>
        <w:rPr>
          <w:color w:val="auto"/>
          <w:highlight w:val="none"/>
        </w:rPr>
        <w:t>除发包人同意的甩项</w:t>
      </w:r>
      <w:r>
        <w:rPr>
          <w:rFonts w:hint="eastAsia"/>
          <w:color w:val="auto"/>
          <w:highlight w:val="none"/>
        </w:rPr>
        <w:t>工作</w:t>
      </w:r>
      <w:r>
        <w:rPr>
          <w:color w:val="auto"/>
          <w:highlight w:val="none"/>
        </w:rPr>
        <w:t>和缺陷修补工作外，合同范围内的全部工程以及有关工作，包括合同要求的试验、试运行以及检验均已完成，并符合合同要求；</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②</w:t>
      </w:r>
      <w:r>
        <w:rPr>
          <w:color w:val="auto"/>
          <w:highlight w:val="none"/>
        </w:rPr>
        <w:t>已按合同约定编制了甩项</w:t>
      </w:r>
      <w:r>
        <w:rPr>
          <w:rFonts w:hint="eastAsia"/>
          <w:color w:val="auto"/>
          <w:highlight w:val="none"/>
        </w:rPr>
        <w:t>工作</w:t>
      </w:r>
      <w:r>
        <w:rPr>
          <w:color w:val="auto"/>
          <w:highlight w:val="none"/>
        </w:rPr>
        <w:t>和缺陷修补工作清单以及相应的施工计划；</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③</w:t>
      </w:r>
      <w:r>
        <w:rPr>
          <w:color w:val="auto"/>
          <w:highlight w:val="none"/>
        </w:rPr>
        <w:t>已按合同约定的内容和份数备齐竣工资料。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⑵工程具备竣工验收条件后21天内，承包人应按工程竣工验收的有关规定和</w:t>
      </w:r>
      <w:r>
        <w:rPr>
          <w:rFonts w:hint="eastAsia"/>
          <w:b/>
          <w:i/>
          <w:color w:val="auto"/>
          <w:highlight w:val="none"/>
        </w:rPr>
        <w:t>专用条款</w:t>
      </w:r>
      <w:r>
        <w:rPr>
          <w:rFonts w:hint="eastAsia"/>
          <w:color w:val="auto"/>
          <w:highlight w:val="none"/>
        </w:rPr>
        <w:t>的约定向</w:t>
      </w:r>
      <w:r>
        <w:rPr>
          <w:color w:val="auto"/>
          <w:highlight w:val="none"/>
        </w:rPr>
        <w:t>监理人</w:t>
      </w:r>
      <w:r>
        <w:rPr>
          <w:rFonts w:hint="eastAsia"/>
          <w:color w:val="auto"/>
          <w:highlight w:val="none"/>
        </w:rPr>
        <w:t>申请竣工验收并提供竣工资料(如项目经理任命通知书、施工组织设计方案、施工质量技术交底、施工日志、各种验收记录表和检测报告、工程变更资料、工程质量事故处理报告、竣工图纸等)。</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监理人审查后认为尚不具备验收条件的，应通知承包人在竣工验收前承包人还需完成的工作内容，承包人应在完成监理人通知的全部工作内容后，再次提交竣工验收申请报告。</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监理人审查后认为已具备竣工验收条件的，应将竣工验收申请报告提交发包人，发包人应在收到</w:t>
      </w:r>
      <w:r>
        <w:rPr>
          <w:rFonts w:hint="eastAsia"/>
          <w:color w:val="auto"/>
          <w:highlight w:val="none"/>
        </w:rPr>
        <w:t>经</w:t>
      </w:r>
      <w:r>
        <w:rPr>
          <w:color w:val="auto"/>
          <w:highlight w:val="none"/>
        </w:rPr>
        <w:t>监理人审核的竣工验收申请报告后28天内</w:t>
      </w:r>
      <w:r>
        <w:rPr>
          <w:rFonts w:hint="eastAsia"/>
          <w:color w:val="auto"/>
          <w:highlight w:val="none"/>
        </w:rPr>
        <w:t>审批</w:t>
      </w:r>
      <w:r>
        <w:rPr>
          <w:color w:val="auto"/>
          <w:highlight w:val="none"/>
        </w:rPr>
        <w:t>完毕并组织监理人、承包人、设计人等相关单位完成竣工验收。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⑸发包人收到承包人提交的竣工验收申请后21天内不组织竣工验收，或竣工验收工作完毕后7天内不提出修改意见，均视为本工程通过竣工验收。发包人应承担此后本工程的一切保管责任。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⑹本工程未经竣工验收或竣工验收未通过的，发包人不得使用。如发包人擅自使用，由此发生的质量问题及其他问题，由发包人承担责任，并承担此后本工程的一切保管责任。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⑺根据</w:t>
      </w:r>
      <w:r>
        <w:rPr>
          <w:rFonts w:hint="eastAsia"/>
          <w:b/>
          <w:i/>
          <w:color w:val="auto"/>
          <w:highlight w:val="none"/>
        </w:rPr>
        <w:t>专用条款</w:t>
      </w:r>
      <w:r>
        <w:rPr>
          <w:rFonts w:hint="eastAsia"/>
          <w:color w:val="auto"/>
          <w:highlight w:val="none"/>
        </w:rPr>
        <w:t>的约定，本工程中某单项工程须单独进行竣工验收的，按本条有关竣工验收规定办理。</w:t>
      </w:r>
    </w:p>
    <w:p>
      <w:pPr>
        <w:adjustRightInd w:val="0"/>
        <w:snapToGrid w:val="0"/>
        <w:spacing w:line="360" w:lineRule="auto"/>
        <w:ind w:left="359"/>
        <w:rPr>
          <w:color w:val="auto"/>
          <w:highlight w:val="none"/>
        </w:rPr>
      </w:pPr>
      <w:r>
        <w:rPr>
          <w:b/>
          <w:color w:val="auto"/>
          <w:highlight w:val="none"/>
        </w:rPr>
        <w:t>26.2</w:t>
      </w:r>
      <w:r>
        <w:rPr>
          <w:rFonts w:hint="eastAsia"/>
          <w:b/>
          <w:color w:val="auto"/>
          <w:highlight w:val="none"/>
        </w:rPr>
        <w:t>竣工验收合格后的移交和清理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r>
        <w:rPr>
          <w:color w:val="auto"/>
          <w:highlight w:val="none"/>
        </w:rPr>
        <w:t>承包人无正当理由不移交工程的，</w:t>
      </w:r>
      <w:r>
        <w:rPr>
          <w:rFonts w:hint="eastAsia"/>
          <w:color w:val="auto"/>
          <w:highlight w:val="none"/>
        </w:rPr>
        <w:t>承包人应承担</w:t>
      </w:r>
      <w:r>
        <w:rPr>
          <w:color w:val="auto"/>
          <w:highlight w:val="none"/>
        </w:rPr>
        <w:t>工程照管、成品保护、保管等与工程有关的各项费用</w:t>
      </w:r>
      <w:r>
        <w:rPr>
          <w:rFonts w:hint="eastAsia"/>
          <w:color w:val="auto"/>
          <w:highlight w:val="none"/>
        </w:rPr>
        <w:t>，承发包双方可以在</w:t>
      </w:r>
      <w:r>
        <w:rPr>
          <w:rFonts w:hint="eastAsia"/>
          <w:b/>
          <w:i/>
          <w:color w:val="auto"/>
          <w:highlight w:val="none"/>
        </w:rPr>
        <w:t>专用条款</w:t>
      </w:r>
      <w:r>
        <w:rPr>
          <w:rFonts w:hint="eastAsia"/>
          <w:color w:val="auto"/>
          <w:highlight w:val="none"/>
        </w:rPr>
        <w:t>中另行约定承包人无正当理由不移交工程的违约责任</w:t>
      </w:r>
      <w:r>
        <w:rPr>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⑵在签发交接证书后，承包人应从施工现场清理并运出承包人装备、剩余材料设备、垃圾和各种临时工程，保持整个现场及工程整洁，达到竣工使用状态。如承包人未在发包人或</w:t>
      </w:r>
      <w:r>
        <w:rPr>
          <w:color w:val="auto"/>
          <w:highlight w:val="none"/>
        </w:rPr>
        <w:t>监理人</w:t>
      </w:r>
      <w:r>
        <w:rPr>
          <w:rFonts w:hint="eastAsia"/>
          <w:color w:val="auto"/>
          <w:highlight w:val="none"/>
        </w:rPr>
        <w:t>允许的合理时间内把所有的承包人装备、剩余材料设备、垃圾及各种临时工程运走，则发包人可以：</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①委托他人将承包人装备、剩余材料及承包人的其他财产觅地存放；</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②委托他人清除并运走垃圾、废料。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因上述工作而发生的费用由承包人承担，发包人可从应付承包人的任何款项内扣除。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发包人无正当理由不接收工程的，发包人自</w:t>
      </w:r>
      <w:r>
        <w:rPr>
          <w:rFonts w:hint="eastAsia"/>
          <w:color w:val="auto"/>
          <w:highlight w:val="none"/>
        </w:rPr>
        <w:t>应当接收工程</w:t>
      </w:r>
      <w:r>
        <w:rPr>
          <w:color w:val="auto"/>
          <w:highlight w:val="none"/>
        </w:rPr>
        <w:t>之日起，承担工程照管、成品保护、保管等与工程有关的各项费用</w:t>
      </w:r>
      <w:r>
        <w:rPr>
          <w:rFonts w:hint="eastAsia"/>
          <w:color w:val="auto"/>
          <w:highlight w:val="none"/>
        </w:rPr>
        <w:t>，承发包双方可以在</w:t>
      </w:r>
      <w:r>
        <w:rPr>
          <w:rFonts w:hint="eastAsia"/>
          <w:b/>
          <w:i/>
          <w:color w:val="auto"/>
          <w:highlight w:val="none"/>
        </w:rPr>
        <w:t>专用条款</w:t>
      </w:r>
      <w:r>
        <w:rPr>
          <w:rFonts w:hint="eastAsia"/>
          <w:color w:val="auto"/>
          <w:highlight w:val="none"/>
        </w:rPr>
        <w:t>中另行约定发包人逾期接收工程的违约责任</w:t>
      </w:r>
      <w:r>
        <w:rPr>
          <w:color w:val="auto"/>
          <w:highlight w:val="none"/>
        </w:rPr>
        <w:t>。</w:t>
      </w:r>
    </w:p>
    <w:p>
      <w:pPr>
        <w:adjustRightInd w:val="0"/>
        <w:snapToGrid w:val="0"/>
        <w:spacing w:line="360" w:lineRule="auto"/>
        <w:ind w:left="359"/>
        <w:rPr>
          <w:color w:val="auto"/>
          <w:highlight w:val="none"/>
        </w:rPr>
      </w:pPr>
      <w:r>
        <w:rPr>
          <w:b/>
          <w:color w:val="auto"/>
          <w:highlight w:val="none"/>
        </w:rPr>
        <w:t>26.3</w:t>
      </w:r>
      <w:r>
        <w:rPr>
          <w:rFonts w:hint="eastAsia"/>
          <w:b/>
          <w:color w:val="auto"/>
          <w:highlight w:val="none"/>
        </w:rPr>
        <w:t>竣工验收质量不合格和重新验收</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⑴如本工程竣工验收质量未达到合同约定的标准，承包人应按</w:t>
      </w:r>
      <w:r>
        <w:rPr>
          <w:rFonts w:hint="eastAsia"/>
          <w:b/>
          <w:i/>
          <w:color w:val="auto"/>
          <w:highlight w:val="none"/>
        </w:rPr>
        <w:t>专用条款</w:t>
      </w:r>
      <w:r>
        <w:rPr>
          <w:rFonts w:hint="eastAsia"/>
          <w:color w:val="auto"/>
          <w:highlight w:val="none"/>
        </w:rPr>
        <w:t>的约定承担违约责任。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⑵如本工程竣工验收质量未达到合同约定的标准，</w:t>
      </w:r>
      <w:r>
        <w:rPr>
          <w:color w:val="auto"/>
          <w:highlight w:val="none"/>
        </w:rPr>
        <w:t>监理人</w:t>
      </w:r>
      <w:r>
        <w:rPr>
          <w:rFonts w:hint="eastAsia"/>
          <w:color w:val="auto"/>
          <w:highlight w:val="none"/>
        </w:rPr>
        <w:t>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p>
    <w:p>
      <w:pPr>
        <w:adjustRightInd w:val="0"/>
        <w:snapToGrid w:val="0"/>
        <w:spacing w:line="360" w:lineRule="auto"/>
        <w:ind w:left="359"/>
        <w:rPr>
          <w:color w:val="auto"/>
          <w:highlight w:val="none"/>
        </w:rPr>
      </w:pPr>
      <w:r>
        <w:rPr>
          <w:b/>
          <w:color w:val="auto"/>
          <w:highlight w:val="none"/>
        </w:rPr>
        <w:t>26.4</w:t>
      </w:r>
      <w:r>
        <w:rPr>
          <w:rFonts w:hint="eastAsia"/>
          <w:b/>
          <w:color w:val="auto"/>
          <w:highlight w:val="none"/>
        </w:rPr>
        <w:t>竣工日期</w:t>
      </w:r>
    </w:p>
    <w:p>
      <w:pPr>
        <w:tabs>
          <w:tab w:val="left" w:pos="1620"/>
          <w:tab w:val="left" w:pos="2340"/>
        </w:tabs>
        <w:adjustRightInd w:val="0"/>
        <w:snapToGrid w:val="0"/>
        <w:spacing w:line="360" w:lineRule="auto"/>
        <w:ind w:left="899"/>
        <w:rPr>
          <w:color w:val="auto"/>
          <w:highlight w:val="none"/>
        </w:rPr>
      </w:pPr>
      <w:r>
        <w:rPr>
          <w:color w:val="auto"/>
          <w:highlight w:val="none"/>
        </w:rPr>
        <w:t>工程经竣工验收合格的，以</w:t>
      </w:r>
      <w:r>
        <w:rPr>
          <w:rFonts w:hint="eastAsia"/>
          <w:color w:val="auto"/>
          <w:highlight w:val="none"/>
        </w:rPr>
        <w:t>竣工验收合格</w:t>
      </w:r>
      <w:r>
        <w:rPr>
          <w:color w:val="auto"/>
          <w:highlight w:val="none"/>
        </w:rPr>
        <w:t>之日为实际竣工日期，并在工程接收证书中载明；因发包人原因，未在监理人收到承包人提交的竣工验收申请报告42天内完成</w:t>
      </w:r>
      <w:r>
        <w:rPr>
          <w:rFonts w:hint="eastAsia"/>
          <w:color w:val="auto"/>
          <w:highlight w:val="none"/>
        </w:rPr>
        <w:t>竣工</w:t>
      </w:r>
      <w:r>
        <w:rPr>
          <w:color w:val="auto"/>
          <w:highlight w:val="none"/>
        </w:rPr>
        <w:t>验收</w:t>
      </w:r>
      <w:r>
        <w:rPr>
          <w:rFonts w:hint="eastAsia"/>
          <w:color w:val="auto"/>
          <w:highlight w:val="none"/>
        </w:rPr>
        <w:t>，或完成竣工验收不予签发工程接收证书</w:t>
      </w:r>
      <w:r>
        <w:rPr>
          <w:color w:val="auto"/>
          <w:highlight w:val="none"/>
        </w:rPr>
        <w:t>的，以提交竣工验收申请报告的日期为实际竣工日期；工程未经竣工验收，发包人擅自使用的，以转移占有工程之日为实际竣工日期。</w:t>
      </w:r>
    </w:p>
    <w:p>
      <w:pPr>
        <w:adjustRightInd w:val="0"/>
        <w:snapToGrid w:val="0"/>
        <w:spacing w:line="360" w:lineRule="auto"/>
        <w:ind w:left="359"/>
        <w:rPr>
          <w:color w:val="auto"/>
          <w:highlight w:val="none"/>
        </w:rPr>
      </w:pPr>
      <w:r>
        <w:rPr>
          <w:b/>
          <w:color w:val="auto"/>
          <w:highlight w:val="none"/>
        </w:rPr>
        <w:t>26.5拒绝接收全部或部分工程</w:t>
      </w:r>
    </w:p>
    <w:p>
      <w:pPr>
        <w:tabs>
          <w:tab w:val="left" w:pos="1620"/>
          <w:tab w:val="left" w:pos="2340"/>
        </w:tabs>
        <w:adjustRightInd w:val="0"/>
        <w:snapToGrid w:val="0"/>
        <w:spacing w:line="360" w:lineRule="auto"/>
        <w:ind w:left="899"/>
        <w:rPr>
          <w:color w:val="auto"/>
          <w:highlight w:val="none"/>
        </w:rPr>
      </w:pPr>
      <w:r>
        <w:rPr>
          <w:color w:val="auto"/>
          <w:highlight w:val="none"/>
        </w:rPr>
        <w:t>对于竣工验收不合格的工程，承包人完成整改后，</w:t>
      </w:r>
      <w:r>
        <w:rPr>
          <w:rFonts w:hint="eastAsia"/>
          <w:color w:val="auto"/>
          <w:highlight w:val="none"/>
        </w:rPr>
        <w:t>应当</w:t>
      </w:r>
      <w:r>
        <w:rPr>
          <w:color w:val="auto"/>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napToGrid w:val="0"/>
        <w:spacing w:line="360" w:lineRule="auto"/>
        <w:ind w:left="359"/>
        <w:rPr>
          <w:color w:val="auto"/>
          <w:highlight w:val="none"/>
        </w:rPr>
      </w:pPr>
      <w:r>
        <w:rPr>
          <w:b/>
          <w:color w:val="auto"/>
          <w:highlight w:val="none"/>
        </w:rPr>
        <w:t>26.6</w:t>
      </w:r>
      <w:r>
        <w:rPr>
          <w:rFonts w:hint="eastAsia"/>
          <w:b/>
          <w:color w:val="auto"/>
          <w:highlight w:val="none"/>
        </w:rPr>
        <w:t>竣工验收工程质量争议处理</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除发包人同意降低合同约定的质量标准接收工程(但不得低于国家强制性质量标准)外，发包人对工程质量有异议，拒不签发工程交接证书的，发包人与承包人应将此质量争议共同委托</w:t>
      </w:r>
      <w:r>
        <w:rPr>
          <w:rFonts w:hint="eastAsia"/>
          <w:b/>
          <w:i/>
          <w:color w:val="auto"/>
          <w:highlight w:val="none"/>
        </w:rPr>
        <w:t>专用条款</w:t>
      </w:r>
      <w:r>
        <w:rPr>
          <w:rFonts w:hint="eastAsia"/>
          <w:color w:val="auto"/>
          <w:highlight w:val="none"/>
        </w:rPr>
        <w:t>约定的有资质的质量检测鉴定机构进行检测。若质量检测合格，检测费用由发包人承担；若质量检测不合格，检测费用由承包人承担，并同时负责无偿修复此质量缺陷。</w:t>
      </w:r>
    </w:p>
    <w:p>
      <w:pPr>
        <w:adjustRightInd w:val="0"/>
        <w:snapToGrid w:val="0"/>
        <w:spacing w:line="360" w:lineRule="auto"/>
        <w:ind w:left="359"/>
        <w:rPr>
          <w:color w:val="auto"/>
          <w:highlight w:val="none"/>
        </w:rPr>
      </w:pPr>
      <w:r>
        <w:rPr>
          <w:b/>
          <w:color w:val="auto"/>
          <w:highlight w:val="none"/>
        </w:rPr>
        <w:t>26.7</w:t>
      </w:r>
      <w:r>
        <w:rPr>
          <w:rFonts w:hint="eastAsia"/>
          <w:b/>
          <w:color w:val="auto"/>
          <w:highlight w:val="none"/>
        </w:rPr>
        <w:t>履约评价与优质优价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⑴发包人应按照</w:t>
      </w:r>
      <w:r>
        <w:rPr>
          <w:rFonts w:hint="eastAsia"/>
          <w:b/>
          <w:i/>
          <w:color w:val="auto"/>
          <w:highlight w:val="none"/>
        </w:rPr>
        <w:t>专用条款</w:t>
      </w:r>
      <w:r>
        <w:rPr>
          <w:rFonts w:hint="eastAsia"/>
          <w:color w:val="auto"/>
          <w:highlight w:val="none"/>
        </w:rPr>
        <w:t>中的约定对承包人进行履约评价。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⑵本工程实行优质优价，发包人与承包人应在</w:t>
      </w:r>
      <w:r>
        <w:rPr>
          <w:rFonts w:hint="eastAsia"/>
          <w:b/>
          <w:i/>
          <w:color w:val="auto"/>
          <w:highlight w:val="none"/>
        </w:rPr>
        <w:t>专用条款</w:t>
      </w:r>
      <w:r>
        <w:rPr>
          <w:rFonts w:hint="eastAsia"/>
          <w:color w:val="auto"/>
          <w:highlight w:val="none"/>
        </w:rPr>
        <w:t>中约定履约评价奖励及工程创优的奖励办法。</w:t>
      </w:r>
    </w:p>
    <w:p>
      <w:pPr>
        <w:adjustRightInd w:val="0"/>
        <w:snapToGrid w:val="0"/>
        <w:spacing w:line="360" w:lineRule="auto"/>
        <w:ind w:left="178"/>
        <w:rPr>
          <w:color w:val="auto"/>
          <w:sz w:val="28"/>
          <w:highlight w:val="none"/>
        </w:rPr>
      </w:pPr>
      <w:r>
        <w:rPr>
          <w:b/>
          <w:color w:val="auto"/>
          <w:sz w:val="28"/>
          <w:highlight w:val="none"/>
        </w:rPr>
        <w:t>27</w:t>
      </w:r>
      <w:r>
        <w:rPr>
          <w:rFonts w:hint="eastAsia"/>
          <w:b/>
          <w:color w:val="auto"/>
          <w:sz w:val="28"/>
          <w:highlight w:val="none"/>
        </w:rPr>
        <w:t>竣工结算</w:t>
      </w:r>
    </w:p>
    <w:p>
      <w:pPr>
        <w:adjustRightInd w:val="0"/>
        <w:snapToGrid w:val="0"/>
        <w:spacing w:line="360" w:lineRule="auto"/>
        <w:ind w:left="359"/>
        <w:rPr>
          <w:color w:val="auto"/>
          <w:highlight w:val="none"/>
        </w:rPr>
      </w:pPr>
      <w:r>
        <w:rPr>
          <w:b/>
          <w:color w:val="auto"/>
          <w:highlight w:val="none"/>
        </w:rPr>
        <w:t>27.1</w:t>
      </w:r>
      <w:r>
        <w:rPr>
          <w:rFonts w:hint="eastAsia"/>
          <w:b/>
          <w:color w:val="auto"/>
          <w:highlight w:val="none"/>
        </w:rPr>
        <w:t>竣工结算书的编制和提交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⑴承包人应按照第20.1款约定的签约合同价和第20.2款约定的</w:t>
      </w:r>
      <w:r>
        <w:rPr>
          <w:color w:val="auto"/>
          <w:highlight w:val="none"/>
        </w:rPr>
        <w:t>合同价格调整</w:t>
      </w:r>
      <w:r>
        <w:rPr>
          <w:rFonts w:hint="eastAsia"/>
          <w:color w:val="auto"/>
          <w:highlight w:val="none"/>
        </w:rPr>
        <w:t>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发包人与承包人开展施工过程结算的，双方确认的过程结算文件将作为竣工结算资料的组成部分，具体在</w:t>
      </w:r>
      <w:r>
        <w:rPr>
          <w:rFonts w:hint="eastAsia"/>
          <w:b/>
          <w:i/>
          <w:color w:val="auto"/>
          <w:highlight w:val="none"/>
        </w:rPr>
        <w:t>专用条款</w:t>
      </w:r>
      <w:r>
        <w:rPr>
          <w:rFonts w:hint="eastAsia"/>
          <w:color w:val="auto"/>
          <w:highlight w:val="none"/>
        </w:rPr>
        <w:t>约定。</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⑵工程竣工验收合格后，在</w:t>
      </w:r>
      <w:r>
        <w:rPr>
          <w:rFonts w:hint="eastAsia"/>
          <w:b/>
          <w:i/>
          <w:color w:val="auto"/>
          <w:highlight w:val="none"/>
        </w:rPr>
        <w:t>专用条款</w:t>
      </w:r>
      <w:r>
        <w:rPr>
          <w:rFonts w:hint="eastAsia"/>
          <w:color w:val="auto"/>
          <w:highlight w:val="none"/>
        </w:rPr>
        <w:t>约定的时间内，承包人应向发包人提交竣工结算书及完整的结算资料。政府投资项目应按《深圳经济特区政府投资项目管理条例》等相关规定执行。</w:t>
      </w:r>
    </w:p>
    <w:p>
      <w:pPr>
        <w:adjustRightInd w:val="0"/>
        <w:snapToGrid w:val="0"/>
        <w:spacing w:line="360" w:lineRule="auto"/>
        <w:ind w:left="359"/>
        <w:rPr>
          <w:color w:val="auto"/>
          <w:highlight w:val="none"/>
        </w:rPr>
      </w:pPr>
      <w:r>
        <w:rPr>
          <w:b/>
          <w:color w:val="auto"/>
          <w:highlight w:val="none"/>
        </w:rPr>
        <w:t>27.2</w:t>
      </w:r>
      <w:r>
        <w:rPr>
          <w:rFonts w:hint="eastAsia"/>
          <w:b/>
          <w:color w:val="auto"/>
          <w:highlight w:val="none"/>
        </w:rPr>
        <w:t>竣工结算书的核对和修改</w:t>
      </w:r>
    </w:p>
    <w:p>
      <w:pPr>
        <w:tabs>
          <w:tab w:val="left" w:pos="1620"/>
          <w:tab w:val="left" w:pos="2340"/>
        </w:tabs>
        <w:adjustRightInd w:val="0"/>
        <w:snapToGrid w:val="0"/>
        <w:spacing w:line="360" w:lineRule="auto"/>
        <w:ind w:left="899"/>
        <w:rPr>
          <w:color w:val="auto"/>
          <w:highlight w:val="none"/>
        </w:rPr>
      </w:pPr>
      <w:r>
        <w:rPr>
          <w:color w:val="auto"/>
          <w:highlight w:val="none"/>
        </w:rPr>
        <w:t>⑴</w:t>
      </w:r>
      <w:r>
        <w:rPr>
          <w:rFonts w:hint="eastAsia"/>
          <w:color w:val="auto"/>
          <w:highlight w:val="none"/>
        </w:rPr>
        <w:t>发包人在收到承包人提交的竣工结算书及结算资料后28天或</w:t>
      </w:r>
      <w:r>
        <w:rPr>
          <w:rFonts w:hint="eastAsia"/>
          <w:b/>
          <w:i/>
          <w:color w:val="auto"/>
          <w:highlight w:val="none"/>
        </w:rPr>
        <w:t>专用条款</w:t>
      </w:r>
      <w:r>
        <w:rPr>
          <w:rFonts w:hint="eastAsia"/>
          <w:color w:val="auto"/>
          <w:highlight w:val="none"/>
        </w:rPr>
        <w:t>约定的时间内，应按合同的有关约定，依据结算资料，在</w:t>
      </w:r>
      <w:r>
        <w:rPr>
          <w:color w:val="auto"/>
          <w:highlight w:val="none"/>
        </w:rPr>
        <w:t>监理人</w:t>
      </w:r>
      <w:r>
        <w:rPr>
          <w:rFonts w:hint="eastAsia"/>
          <w:color w:val="auto"/>
          <w:highlight w:val="none"/>
        </w:rPr>
        <w:t>的协助下，对承包人提交的竣工结算书进行核对：</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①认可承包人提交的竣工结算书，并确认工程竣工结算价款；或</w:t>
      </w:r>
    </w:p>
    <w:p>
      <w:pPr>
        <w:tabs>
          <w:tab w:val="left" w:pos="1620"/>
          <w:tab w:val="left" w:pos="2340"/>
        </w:tabs>
        <w:adjustRightInd w:val="0"/>
        <w:snapToGrid w:val="0"/>
        <w:spacing w:line="360" w:lineRule="auto"/>
        <w:ind w:left="899" w:firstLine="181"/>
        <w:rPr>
          <w:color w:val="auto"/>
          <w:highlight w:val="none"/>
        </w:rPr>
      </w:pPr>
      <w:r>
        <w:rPr>
          <w:rFonts w:hint="eastAsia"/>
          <w:color w:val="auto"/>
          <w:highlight w:val="none"/>
        </w:rPr>
        <w:t>②提出核对意见或要求补充结算资料。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⑵承包人应在收到发包人提出的核对意见后14天或</w:t>
      </w:r>
      <w:r>
        <w:rPr>
          <w:rFonts w:hint="eastAsia"/>
          <w:b/>
          <w:i/>
          <w:color w:val="auto"/>
          <w:highlight w:val="none"/>
        </w:rPr>
        <w:t>专用条款</w:t>
      </w:r>
      <w:r>
        <w:rPr>
          <w:rFonts w:hint="eastAsia"/>
          <w:color w:val="auto"/>
          <w:highlight w:val="none"/>
        </w:rPr>
        <w:t>约定的时间内，向发包人提交经修改的竣工结算书或补充结算资料。发包人应在收到后14天或</w:t>
      </w:r>
      <w:r>
        <w:rPr>
          <w:rFonts w:hint="eastAsia"/>
          <w:b/>
          <w:i/>
          <w:color w:val="auto"/>
          <w:highlight w:val="none"/>
        </w:rPr>
        <w:t>专用条款</w:t>
      </w:r>
      <w:r>
        <w:rPr>
          <w:rFonts w:hint="eastAsia"/>
          <w:color w:val="auto"/>
          <w:highlight w:val="none"/>
        </w:rPr>
        <w:t>约定的时间内，进行核对，经与承包人协商达成一致意见后确认工程竣工结算价款。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⑶承包人在收到发包人提出的核对意见后14天或</w:t>
      </w:r>
      <w:r>
        <w:rPr>
          <w:rFonts w:hint="eastAsia"/>
          <w:b/>
          <w:i/>
          <w:color w:val="auto"/>
          <w:highlight w:val="none"/>
        </w:rPr>
        <w:t>专用条款</w:t>
      </w:r>
      <w:r>
        <w:rPr>
          <w:rFonts w:hint="eastAsia"/>
          <w:color w:val="auto"/>
          <w:highlight w:val="none"/>
        </w:rPr>
        <w:t>约定的时间内未提出异议或没有明确答复的，视为发包人的核对意见被承包人认可且接受，竣工结算至此办理完毕。</w:t>
      </w:r>
    </w:p>
    <w:p>
      <w:pPr>
        <w:adjustRightInd w:val="0"/>
        <w:snapToGrid w:val="0"/>
        <w:spacing w:line="360" w:lineRule="auto"/>
        <w:ind w:left="359"/>
        <w:rPr>
          <w:color w:val="auto"/>
          <w:highlight w:val="none"/>
        </w:rPr>
      </w:pPr>
      <w:r>
        <w:rPr>
          <w:b/>
          <w:color w:val="auto"/>
          <w:highlight w:val="none"/>
        </w:rPr>
        <w:t>27.3</w:t>
      </w:r>
      <w:r>
        <w:rPr>
          <w:rFonts w:hint="eastAsia"/>
          <w:b/>
          <w:color w:val="auto"/>
          <w:highlight w:val="none"/>
        </w:rPr>
        <w:t>竣工结算书核对次数</w:t>
      </w:r>
    </w:p>
    <w:p>
      <w:pPr>
        <w:tabs>
          <w:tab w:val="left" w:pos="1620"/>
          <w:tab w:val="left" w:pos="2340"/>
        </w:tabs>
        <w:adjustRightInd w:val="0"/>
        <w:snapToGrid w:val="0"/>
        <w:spacing w:line="360" w:lineRule="auto"/>
        <w:ind w:left="899"/>
        <w:rPr>
          <w:color w:val="auto"/>
          <w:highlight w:val="none"/>
        </w:rPr>
      </w:pPr>
      <w:r>
        <w:rPr>
          <w:color w:val="auto"/>
          <w:highlight w:val="none"/>
        </w:rPr>
        <w:t>⑴</w:t>
      </w:r>
      <w:r>
        <w:rPr>
          <w:rFonts w:hint="eastAsia"/>
          <w:color w:val="auto"/>
          <w:highlight w:val="none"/>
        </w:rPr>
        <w:t>除</w:t>
      </w:r>
      <w:r>
        <w:rPr>
          <w:rFonts w:hint="eastAsia"/>
          <w:b/>
          <w:i/>
          <w:color w:val="auto"/>
          <w:highlight w:val="none"/>
        </w:rPr>
        <w:t>专用条款</w:t>
      </w:r>
      <w:r>
        <w:rPr>
          <w:rFonts w:hint="eastAsia"/>
          <w:color w:val="auto"/>
          <w:highlight w:val="none"/>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⑵依据相关法律、法规、规章，要求使用国有资金和集体所有资金等投资建设工程的竣工结算需向政府指定机构提交审计或审核的，该审计或审核行为不视为第27.3</w:t>
      </w:r>
      <w:r>
        <w:rPr>
          <w:color w:val="auto"/>
          <w:highlight w:val="none"/>
        </w:rPr>
        <w:t>⑴</w:t>
      </w:r>
      <w:r>
        <w:rPr>
          <w:rFonts w:hint="eastAsia"/>
          <w:color w:val="auto"/>
          <w:highlight w:val="none"/>
        </w:rPr>
        <w:t>款所述核对。</w:t>
      </w:r>
    </w:p>
    <w:p>
      <w:pPr>
        <w:adjustRightInd w:val="0"/>
        <w:snapToGrid w:val="0"/>
        <w:spacing w:line="360" w:lineRule="auto"/>
        <w:ind w:left="359"/>
        <w:rPr>
          <w:color w:val="auto"/>
          <w:highlight w:val="none"/>
        </w:rPr>
      </w:pPr>
      <w:r>
        <w:rPr>
          <w:b/>
          <w:color w:val="auto"/>
          <w:highlight w:val="none"/>
        </w:rPr>
        <w:t>27.4</w:t>
      </w:r>
      <w:r>
        <w:rPr>
          <w:rFonts w:hint="eastAsia"/>
          <w:b/>
          <w:color w:val="auto"/>
          <w:highlight w:val="none"/>
        </w:rPr>
        <w:t>承包人不提交竣工结算书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在本合同约定期限内，承包人未提交竣工结算书及结算资料(包括经修改的竣工结算书或补充结算资料)，</w:t>
      </w:r>
      <w:r>
        <w:rPr>
          <w:color w:val="auto"/>
          <w:highlight w:val="none"/>
        </w:rPr>
        <w:t>监理人</w:t>
      </w:r>
      <w:r>
        <w:rPr>
          <w:rFonts w:hint="eastAsia"/>
          <w:color w:val="auto"/>
          <w:highlight w:val="none"/>
        </w:rPr>
        <w:t>应通知其要求提交，通知后14天内仍不提交的</w:t>
      </w:r>
      <w:r>
        <w:rPr>
          <w:color w:val="auto"/>
          <w:highlight w:val="none"/>
        </w:rPr>
        <w:t>或没有明确答复</w:t>
      </w:r>
      <w:r>
        <w:rPr>
          <w:rFonts w:hint="eastAsia"/>
          <w:color w:val="auto"/>
          <w:highlight w:val="none"/>
        </w:rPr>
        <w:t>的</w:t>
      </w:r>
      <w:r>
        <w:rPr>
          <w:color w:val="auto"/>
          <w:highlight w:val="none"/>
        </w:rPr>
        <w:t>，</w:t>
      </w:r>
      <w:r>
        <w:rPr>
          <w:rFonts w:hint="eastAsia"/>
          <w:color w:val="auto"/>
          <w:highlight w:val="none"/>
        </w:rPr>
        <w:t>发包人可在</w:t>
      </w:r>
      <w:r>
        <w:rPr>
          <w:rFonts w:hint="eastAsia"/>
          <w:b/>
          <w:i/>
          <w:color w:val="auto"/>
          <w:highlight w:val="none"/>
        </w:rPr>
        <w:t>专用条款</w:t>
      </w:r>
      <w:r>
        <w:rPr>
          <w:rFonts w:hint="eastAsia"/>
          <w:color w:val="auto"/>
          <w:highlight w:val="none"/>
        </w:rPr>
        <w:t>中约定按以下方式进行处理：</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w:t>
      </w:r>
      <w:r>
        <w:rPr>
          <w:color w:val="auto"/>
          <w:highlight w:val="none"/>
        </w:rPr>
        <w:t>1)</w:t>
      </w:r>
      <w:r>
        <w:rPr>
          <w:rFonts w:hint="eastAsia"/>
          <w:color w:val="auto"/>
          <w:highlight w:val="none"/>
        </w:rPr>
        <w:t>依据已有资料进行审查、核实，并确定工程竣工结算价款，书面提交承包人，并以此作为竣工结算价款支付依据。若承包人不予接受的，按第30条［争议解决］的约定处理。</w:t>
      </w:r>
    </w:p>
    <w:p>
      <w:pPr>
        <w:tabs>
          <w:tab w:val="left" w:pos="1620"/>
          <w:tab w:val="left" w:pos="2340"/>
        </w:tabs>
        <w:adjustRightInd w:val="0"/>
        <w:snapToGrid w:val="0"/>
        <w:spacing w:line="360" w:lineRule="auto"/>
        <w:ind w:left="1079"/>
        <w:rPr>
          <w:color w:val="auto"/>
          <w:highlight w:val="none"/>
        </w:rPr>
      </w:pPr>
      <w:r>
        <w:rPr>
          <w:color w:val="auto"/>
          <w:highlight w:val="none"/>
        </w:rPr>
        <w:t>(2)</w:t>
      </w:r>
      <w:r>
        <w:rPr>
          <w:rFonts w:hint="eastAsia"/>
          <w:color w:val="auto"/>
          <w:highlight w:val="none"/>
        </w:rPr>
        <w:t>按</w:t>
      </w:r>
      <w:r>
        <w:rPr>
          <w:rFonts w:hint="eastAsia"/>
          <w:b/>
          <w:i/>
          <w:color w:val="auto"/>
          <w:highlight w:val="none"/>
        </w:rPr>
        <w:t>专用条款</w:t>
      </w:r>
      <w:r>
        <w:rPr>
          <w:rFonts w:hint="eastAsia"/>
          <w:color w:val="auto"/>
          <w:highlight w:val="none"/>
        </w:rPr>
        <w:t>的约定对承包人进行处罚。</w:t>
      </w:r>
    </w:p>
    <w:p>
      <w:pPr>
        <w:adjustRightInd w:val="0"/>
        <w:snapToGrid w:val="0"/>
        <w:spacing w:line="360" w:lineRule="auto"/>
        <w:ind w:left="359"/>
        <w:rPr>
          <w:color w:val="auto"/>
          <w:highlight w:val="none"/>
        </w:rPr>
      </w:pPr>
      <w:r>
        <w:rPr>
          <w:b/>
          <w:color w:val="auto"/>
          <w:highlight w:val="none"/>
        </w:rPr>
        <w:t>27.5</w:t>
      </w:r>
      <w:r>
        <w:rPr>
          <w:rFonts w:hint="eastAsia"/>
          <w:b/>
          <w:color w:val="auto"/>
          <w:highlight w:val="none"/>
        </w:rPr>
        <w:t>发包人逾期不结算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发包人收到竣工结算书及结算资料后28天或</w:t>
      </w:r>
      <w:r>
        <w:rPr>
          <w:rFonts w:hint="eastAsia"/>
          <w:b/>
          <w:i/>
          <w:color w:val="auto"/>
          <w:highlight w:val="none"/>
        </w:rPr>
        <w:t>专用条款</w:t>
      </w:r>
      <w:r>
        <w:rPr>
          <w:rFonts w:hint="eastAsia"/>
          <w:color w:val="auto"/>
          <w:highlight w:val="none"/>
        </w:rPr>
        <w:t>约定的时间内，或在收到经修改的竣工结算书或补充结算资料后14天或</w:t>
      </w:r>
      <w:r>
        <w:rPr>
          <w:rFonts w:hint="eastAsia"/>
          <w:b/>
          <w:i/>
          <w:color w:val="auto"/>
          <w:highlight w:val="none"/>
        </w:rPr>
        <w:t>专用条款</w:t>
      </w:r>
      <w:r>
        <w:rPr>
          <w:rFonts w:hint="eastAsia"/>
          <w:color w:val="auto"/>
          <w:highlight w:val="none"/>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pPr>
        <w:adjustRightInd w:val="0"/>
        <w:snapToGrid w:val="0"/>
        <w:spacing w:line="360" w:lineRule="auto"/>
        <w:ind w:left="359"/>
        <w:rPr>
          <w:color w:val="auto"/>
          <w:highlight w:val="none"/>
        </w:rPr>
      </w:pPr>
      <w:r>
        <w:rPr>
          <w:b/>
          <w:color w:val="auto"/>
          <w:highlight w:val="none"/>
        </w:rPr>
        <w:t>27.6</w:t>
      </w:r>
      <w:r>
        <w:rPr>
          <w:rFonts w:hint="eastAsia"/>
          <w:b/>
          <w:color w:val="auto"/>
          <w:highlight w:val="none"/>
        </w:rPr>
        <w:t>竣工结算审计或审核</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⑴在发包人和承包人确认竣工结算价款后7天内，发包人应当将经发包人和承包人共同确认的竣工结算书按规定报政府指定机构审计或审核。在</w:t>
      </w:r>
      <w:r>
        <w:rPr>
          <w:rFonts w:hint="eastAsia"/>
          <w:b/>
          <w:i/>
          <w:color w:val="auto"/>
          <w:highlight w:val="none"/>
        </w:rPr>
        <w:t>专用条款</w:t>
      </w:r>
      <w:r>
        <w:rPr>
          <w:rFonts w:hint="eastAsia"/>
          <w:color w:val="auto"/>
          <w:highlight w:val="none"/>
        </w:rPr>
        <w:t>约定的特殊情况下，发包人可启动强制结算机制，将其单方编制的结算文件送审计或审核。</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本合同的任何</w:t>
      </w:r>
      <w:r>
        <w:rPr>
          <w:rFonts w:hint="eastAsia"/>
          <w:color w:val="auto"/>
          <w:highlight w:val="none"/>
        </w:rPr>
        <w:t>工程</w:t>
      </w:r>
      <w:r>
        <w:rPr>
          <w:color w:val="auto"/>
          <w:highlight w:val="none"/>
        </w:rPr>
        <w:t>变更、索赔、</w:t>
      </w:r>
      <w:r>
        <w:rPr>
          <w:rFonts w:hint="eastAsia"/>
          <w:color w:val="auto"/>
          <w:highlight w:val="none"/>
        </w:rPr>
        <w:t>签证</w:t>
      </w:r>
      <w:r>
        <w:rPr>
          <w:color w:val="auto"/>
          <w:highlight w:val="none"/>
        </w:rPr>
        <w:t>和竣工结算以及补充协议</w:t>
      </w:r>
      <w:r>
        <w:rPr>
          <w:rFonts w:hint="eastAsia"/>
          <w:color w:val="auto"/>
          <w:highlight w:val="none"/>
        </w:rPr>
        <w:t>(</w:t>
      </w:r>
      <w:r>
        <w:rPr>
          <w:color w:val="auto"/>
          <w:highlight w:val="none"/>
        </w:rPr>
        <w:t>如果有</w:t>
      </w:r>
      <w:r>
        <w:rPr>
          <w:rFonts w:hint="eastAsia"/>
          <w:color w:val="auto"/>
          <w:highlight w:val="none"/>
        </w:rPr>
        <w:t>)应按规定</w:t>
      </w:r>
      <w:r>
        <w:rPr>
          <w:color w:val="auto"/>
          <w:highlight w:val="none"/>
        </w:rPr>
        <w:t>经过</w:t>
      </w:r>
      <w:r>
        <w:rPr>
          <w:rFonts w:hint="eastAsia"/>
          <w:color w:val="auto"/>
          <w:highlight w:val="none"/>
        </w:rPr>
        <w:t>政府指定机构</w:t>
      </w:r>
      <w:r>
        <w:rPr>
          <w:color w:val="auto"/>
          <w:highlight w:val="none"/>
        </w:rPr>
        <w:t>审</w:t>
      </w:r>
      <w:r>
        <w:rPr>
          <w:rFonts w:hint="eastAsia"/>
          <w:color w:val="auto"/>
          <w:highlight w:val="none"/>
        </w:rPr>
        <w:t>计或审核</w:t>
      </w:r>
      <w:r>
        <w:rPr>
          <w:color w:val="auto"/>
          <w:highlight w:val="none"/>
        </w:rPr>
        <w:t>。</w:t>
      </w:r>
      <w:r>
        <w:rPr>
          <w:rFonts w:hint="eastAsia"/>
          <w:color w:val="auto"/>
          <w:highlight w:val="none"/>
        </w:rPr>
        <w:t>最终的竣工结算和支付依据按</w:t>
      </w:r>
      <w:r>
        <w:rPr>
          <w:rFonts w:hint="eastAsia"/>
          <w:b/>
          <w:i/>
          <w:color w:val="auto"/>
          <w:highlight w:val="none"/>
        </w:rPr>
        <w:t>专用条款</w:t>
      </w:r>
      <w:r>
        <w:rPr>
          <w:rFonts w:hint="eastAsia"/>
          <w:color w:val="auto"/>
          <w:highlight w:val="none"/>
        </w:rPr>
        <w:t>约定执行。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⑶政府指定机构的</w:t>
      </w:r>
      <w:r>
        <w:rPr>
          <w:color w:val="auto"/>
          <w:highlight w:val="none"/>
        </w:rPr>
        <w:t>审</w:t>
      </w:r>
      <w:r>
        <w:rPr>
          <w:rFonts w:hint="eastAsia"/>
          <w:color w:val="auto"/>
          <w:highlight w:val="none"/>
        </w:rPr>
        <w:t>计或审核</w:t>
      </w:r>
      <w:r>
        <w:rPr>
          <w:color w:val="auto"/>
          <w:highlight w:val="none"/>
        </w:rPr>
        <w:t>包括合同履行期间的过程审计</w:t>
      </w:r>
      <w:r>
        <w:rPr>
          <w:rFonts w:hint="eastAsia"/>
          <w:color w:val="auto"/>
          <w:highlight w:val="none"/>
        </w:rPr>
        <w:t>或审核、工程完工后的</w:t>
      </w:r>
      <w:r>
        <w:rPr>
          <w:color w:val="auto"/>
          <w:highlight w:val="none"/>
        </w:rPr>
        <w:t>竣工结算审计</w:t>
      </w:r>
      <w:r>
        <w:rPr>
          <w:rFonts w:hint="eastAsia"/>
          <w:color w:val="auto"/>
          <w:highlight w:val="none"/>
        </w:rPr>
        <w:t>或审核</w:t>
      </w:r>
      <w:r>
        <w:rPr>
          <w:color w:val="auto"/>
          <w:highlight w:val="none"/>
        </w:rPr>
        <w:t>。</w:t>
      </w:r>
      <w:r>
        <w:rPr>
          <w:rFonts w:hint="eastAsia"/>
          <w:color w:val="auto"/>
          <w:highlight w:val="none"/>
        </w:rPr>
        <w:t>发包人和</w:t>
      </w:r>
      <w:r>
        <w:rPr>
          <w:color w:val="auto"/>
          <w:highlight w:val="none"/>
        </w:rPr>
        <w:t>承包人</w:t>
      </w:r>
      <w:r>
        <w:rPr>
          <w:rFonts w:hint="eastAsia"/>
          <w:color w:val="auto"/>
          <w:highlight w:val="none"/>
        </w:rPr>
        <w:t>均</w:t>
      </w:r>
      <w:r>
        <w:rPr>
          <w:color w:val="auto"/>
          <w:highlight w:val="none"/>
        </w:rPr>
        <w:t>不得拒绝</w:t>
      </w:r>
      <w:r>
        <w:rPr>
          <w:rFonts w:hint="eastAsia"/>
          <w:color w:val="auto"/>
          <w:highlight w:val="none"/>
        </w:rPr>
        <w:t>政府指定机构的任何监管</w:t>
      </w:r>
      <w:r>
        <w:rPr>
          <w:color w:val="auto"/>
          <w:highlight w:val="none"/>
        </w:rPr>
        <w:t>，必须充分配合</w:t>
      </w:r>
      <w:r>
        <w:rPr>
          <w:rFonts w:hint="eastAsia"/>
          <w:color w:val="auto"/>
          <w:highlight w:val="none"/>
        </w:rPr>
        <w:t>审计或审核</w:t>
      </w:r>
      <w:r>
        <w:rPr>
          <w:color w:val="auto"/>
          <w:highlight w:val="none"/>
        </w:rPr>
        <w:t>，不得拖延。</w:t>
      </w:r>
    </w:p>
    <w:p>
      <w:pPr>
        <w:adjustRightInd w:val="0"/>
        <w:snapToGrid w:val="0"/>
        <w:spacing w:line="360" w:lineRule="auto"/>
        <w:ind w:left="359"/>
        <w:rPr>
          <w:color w:val="auto"/>
          <w:highlight w:val="none"/>
        </w:rPr>
      </w:pPr>
      <w:r>
        <w:rPr>
          <w:b/>
          <w:color w:val="auto"/>
          <w:highlight w:val="none"/>
        </w:rPr>
        <w:t>27.7</w:t>
      </w:r>
      <w:r>
        <w:rPr>
          <w:rFonts w:hint="eastAsia"/>
          <w:b/>
          <w:color w:val="auto"/>
          <w:highlight w:val="none"/>
        </w:rPr>
        <w:t>竣工结算支付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⑴在按27.6款竣工结算</w:t>
      </w:r>
      <w:r>
        <w:rPr>
          <w:color w:val="auto"/>
          <w:highlight w:val="none"/>
        </w:rPr>
        <w:t>审计</w:t>
      </w:r>
      <w:r>
        <w:rPr>
          <w:rFonts w:hint="eastAsia"/>
          <w:color w:val="auto"/>
          <w:highlight w:val="none"/>
        </w:rPr>
        <w:t>或审核完毕后7天内，</w:t>
      </w:r>
      <w:r>
        <w:rPr>
          <w:color w:val="auto"/>
          <w:highlight w:val="none"/>
        </w:rPr>
        <w:t>监理人</w:t>
      </w:r>
      <w:r>
        <w:rPr>
          <w:rFonts w:hint="eastAsia"/>
          <w:color w:val="auto"/>
          <w:highlight w:val="none"/>
        </w:rPr>
        <w:t>应签发竣工支付证书，报发包人批准后送交承包人。竣工支付证书中应载明按照经确认的工程竣工结算价款及根据合同约定最后应支付给承包人的价款。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⑵发包人应在确认竣工支付证书后14天内向承包人支付除按本合同附件《工程质量保修书》约定扣留的质量保证金以外的本工程竣工结算价款。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⑷有关本工程竣工结算的文件的编制和审核均须经注册造价工程师签字盖章确认。</w:t>
      </w:r>
    </w:p>
    <w:p>
      <w:pPr>
        <w:adjustRightInd w:val="0"/>
        <w:snapToGrid w:val="0"/>
        <w:spacing w:line="360" w:lineRule="auto"/>
        <w:ind w:left="359"/>
        <w:rPr>
          <w:color w:val="auto"/>
          <w:highlight w:val="none"/>
        </w:rPr>
      </w:pPr>
      <w:r>
        <w:rPr>
          <w:b/>
          <w:color w:val="auto"/>
          <w:highlight w:val="none"/>
        </w:rPr>
        <w:t>27.8</w:t>
      </w:r>
      <w:r>
        <w:rPr>
          <w:rFonts w:hint="eastAsia"/>
          <w:b/>
          <w:color w:val="auto"/>
          <w:highlight w:val="none"/>
        </w:rPr>
        <w:t>最终结清申请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除</w:t>
      </w:r>
      <w:r>
        <w:rPr>
          <w:b/>
          <w:i/>
          <w:color w:val="auto"/>
          <w:highlight w:val="none"/>
        </w:rPr>
        <w:t>专用条款</w:t>
      </w:r>
      <w:r>
        <w:rPr>
          <w:color w:val="auto"/>
          <w:highlight w:val="none"/>
        </w:rPr>
        <w:t>另有约定外，承包人应在缺陷责任期终止证书颁发后7天内，按</w:t>
      </w:r>
      <w:r>
        <w:rPr>
          <w:b/>
          <w:i/>
          <w:color w:val="auto"/>
          <w:highlight w:val="none"/>
        </w:rPr>
        <w:t>专用条款</w:t>
      </w:r>
      <w:r>
        <w:rPr>
          <w:color w:val="auto"/>
          <w:highlight w:val="none"/>
        </w:rPr>
        <w:t>约定的份数向发包人提交最终结清申请单，并提供相关证明材料。</w:t>
      </w:r>
    </w:p>
    <w:p>
      <w:pPr>
        <w:tabs>
          <w:tab w:val="left" w:pos="1620"/>
          <w:tab w:val="left" w:pos="2340"/>
        </w:tabs>
        <w:adjustRightInd w:val="0"/>
        <w:snapToGrid w:val="0"/>
        <w:spacing w:line="360" w:lineRule="auto"/>
        <w:ind w:left="899"/>
        <w:rPr>
          <w:color w:val="auto"/>
          <w:highlight w:val="none"/>
        </w:rPr>
      </w:pPr>
      <w:r>
        <w:rPr>
          <w:color w:val="auto"/>
          <w:highlight w:val="none"/>
        </w:rPr>
        <w:t>除</w:t>
      </w:r>
      <w:r>
        <w:rPr>
          <w:b/>
          <w:i/>
          <w:color w:val="auto"/>
          <w:highlight w:val="none"/>
        </w:rPr>
        <w:t>专用条款</w:t>
      </w:r>
      <w:r>
        <w:rPr>
          <w:color w:val="auto"/>
          <w:highlight w:val="none"/>
        </w:rPr>
        <w:t>另有约定外，最终结清申请单应列明质量保证金、应扣除的质量保证金、缺陷责任期内发生的增减费用。</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发包人对最终结清申请单内容有异议的，有权要求承包人进行修正和提供补充资料，承包人应向发包人提交修正后的最终结清申请单。</w:t>
      </w:r>
    </w:p>
    <w:p>
      <w:pPr>
        <w:adjustRightInd w:val="0"/>
        <w:snapToGrid w:val="0"/>
        <w:spacing w:line="360" w:lineRule="auto"/>
        <w:ind w:left="359"/>
        <w:rPr>
          <w:color w:val="auto"/>
          <w:highlight w:val="none"/>
        </w:rPr>
      </w:pPr>
      <w:r>
        <w:rPr>
          <w:b/>
          <w:color w:val="auto"/>
          <w:highlight w:val="none"/>
        </w:rPr>
        <w:t>27.9最终结清证书和支付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除</w:t>
      </w:r>
      <w:r>
        <w:rPr>
          <w:b/>
          <w:i/>
          <w:color w:val="auto"/>
          <w:highlight w:val="none"/>
        </w:rPr>
        <w:t>专用条款</w:t>
      </w:r>
      <w:r>
        <w:rPr>
          <w:color w:val="auto"/>
          <w:highlight w:val="none"/>
        </w:rPr>
        <w:t>另有约定外，发包人应在收到承包人提交的最终结清申请单后14天内完成审批并向承包人颁发最终结清证书。发包人逾期未完成</w:t>
      </w:r>
      <w:r>
        <w:rPr>
          <w:rFonts w:hint="eastAsia"/>
          <w:color w:val="auto"/>
          <w:highlight w:val="none"/>
        </w:rPr>
        <w:t>审批</w:t>
      </w:r>
      <w:r>
        <w:rPr>
          <w:color w:val="auto"/>
          <w:highlight w:val="none"/>
        </w:rPr>
        <w:t>，又未提出修改意见的，视为发包人同意承包人提交的最终结清申请单，且自发包人收到承包人提交的最终结清申请单后15天起视为已颁发最终结清证书。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除</w:t>
      </w:r>
      <w:r>
        <w:rPr>
          <w:b/>
          <w:i/>
          <w:color w:val="auto"/>
          <w:highlight w:val="none"/>
        </w:rPr>
        <w:t>专用条款</w:t>
      </w:r>
      <w:r>
        <w:rPr>
          <w:color w:val="auto"/>
          <w:highlight w:val="none"/>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承包人对发包人颁发的最终结清证书有异议的，按第</w:t>
      </w:r>
      <w:r>
        <w:rPr>
          <w:rFonts w:hint="eastAsia"/>
          <w:color w:val="auto"/>
          <w:highlight w:val="none"/>
        </w:rPr>
        <w:t>3</w:t>
      </w:r>
      <w:r>
        <w:rPr>
          <w:color w:val="auto"/>
          <w:highlight w:val="none"/>
        </w:rPr>
        <w:t>0条</w:t>
      </w:r>
      <w:r>
        <w:rPr>
          <w:rFonts w:hint="eastAsia"/>
          <w:color w:val="auto"/>
          <w:highlight w:val="none"/>
        </w:rPr>
        <w:t>〔</w:t>
      </w:r>
      <w:r>
        <w:rPr>
          <w:color w:val="auto"/>
          <w:highlight w:val="none"/>
        </w:rPr>
        <w:t>争议解决</w:t>
      </w:r>
      <w:r>
        <w:rPr>
          <w:rFonts w:hint="eastAsia"/>
          <w:color w:val="auto"/>
          <w:highlight w:val="none"/>
        </w:rPr>
        <w:t>〕</w:t>
      </w:r>
      <w:r>
        <w:rPr>
          <w:color w:val="auto"/>
          <w:highlight w:val="none"/>
        </w:rPr>
        <w:t>的约定办理。</w:t>
      </w:r>
    </w:p>
    <w:p>
      <w:pPr>
        <w:adjustRightInd w:val="0"/>
        <w:snapToGrid w:val="0"/>
        <w:spacing w:line="360" w:lineRule="auto"/>
        <w:ind w:left="178"/>
        <w:rPr>
          <w:color w:val="auto"/>
          <w:sz w:val="28"/>
          <w:highlight w:val="none"/>
        </w:rPr>
      </w:pPr>
      <w:r>
        <w:rPr>
          <w:b/>
          <w:color w:val="auto"/>
          <w:sz w:val="28"/>
          <w:highlight w:val="none"/>
        </w:rPr>
        <w:t>28</w:t>
      </w:r>
      <w:r>
        <w:rPr>
          <w:rFonts w:hint="eastAsia"/>
          <w:b/>
          <w:color w:val="auto"/>
          <w:sz w:val="28"/>
          <w:highlight w:val="none"/>
        </w:rPr>
        <w:t>违约</w:t>
      </w:r>
    </w:p>
    <w:p>
      <w:pPr>
        <w:adjustRightInd w:val="0"/>
        <w:snapToGrid w:val="0"/>
        <w:spacing w:line="360" w:lineRule="auto"/>
        <w:ind w:left="359"/>
        <w:rPr>
          <w:color w:val="auto"/>
          <w:highlight w:val="none"/>
        </w:rPr>
      </w:pPr>
      <w:r>
        <w:rPr>
          <w:b/>
          <w:color w:val="auto"/>
          <w:highlight w:val="none"/>
        </w:rPr>
        <w:t>28.1</w:t>
      </w:r>
      <w:r>
        <w:rPr>
          <w:rFonts w:hint="eastAsia"/>
          <w:b/>
          <w:color w:val="auto"/>
          <w:highlight w:val="none"/>
        </w:rPr>
        <w:t>发包人违约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发包人不履行合同义务或不按合同约定履行义务，应承担违约责任，赔偿因其违约给承包人造成的损失，顺延延误的工期。当发生下列情况时，发包人应根据</w:t>
      </w:r>
      <w:r>
        <w:rPr>
          <w:rFonts w:hint="eastAsia"/>
          <w:b/>
          <w:i/>
          <w:color w:val="auto"/>
          <w:highlight w:val="none"/>
        </w:rPr>
        <w:t>专用条款</w:t>
      </w:r>
      <w:r>
        <w:rPr>
          <w:rFonts w:hint="eastAsia"/>
          <w:color w:val="auto"/>
          <w:highlight w:val="none"/>
        </w:rPr>
        <w:t>的约定承担违约责任。</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w:t>
      </w:r>
      <w:r>
        <w:rPr>
          <w:color w:val="auto"/>
          <w:highlight w:val="none"/>
        </w:rPr>
        <w:t>因发包人原因未能在计划开工日期前7天内下达开工通知的；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⑵发包人不按时支付工程预付款、工程进度款、工程竣工结算款；</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w:t>
      </w:r>
      <w:r>
        <w:rPr>
          <w:color w:val="auto"/>
          <w:highlight w:val="none"/>
        </w:rPr>
        <w:t>发包人提供的材料、工程设备的规格、数量或质量不符合合同约定，或因发包人原因导致交货日期延误或交货地点变更等情况的；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w:t>
      </w:r>
      <w:r>
        <w:rPr>
          <w:color w:val="auto"/>
          <w:highlight w:val="none"/>
        </w:rPr>
        <w:t>因发包人违反合同约定造成暂停施工的；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⑸</w:t>
      </w:r>
      <w:r>
        <w:rPr>
          <w:color w:val="auto"/>
          <w:highlight w:val="none"/>
        </w:rPr>
        <w:t>发包人无正当理由没有在约定期限内发出复工指示，导致承包人无法复工的；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⑹</w:t>
      </w:r>
      <w:r>
        <w:rPr>
          <w:color w:val="auto"/>
          <w:highlight w:val="none"/>
        </w:rPr>
        <w:t>发包人明确表示或者以其行为表明不履行合同主要义务的；</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⑺</w:t>
      </w:r>
      <w:r>
        <w:rPr>
          <w:color w:val="auto"/>
          <w:highlight w:val="none"/>
        </w:rPr>
        <w:t>发包人未能按照合同约定履行其他义务的。</w:t>
      </w:r>
    </w:p>
    <w:p>
      <w:pPr>
        <w:adjustRightInd w:val="0"/>
        <w:snapToGrid w:val="0"/>
        <w:spacing w:line="360" w:lineRule="auto"/>
        <w:ind w:left="359"/>
        <w:rPr>
          <w:color w:val="auto"/>
          <w:highlight w:val="none"/>
        </w:rPr>
      </w:pPr>
      <w:r>
        <w:rPr>
          <w:b/>
          <w:color w:val="auto"/>
          <w:highlight w:val="none"/>
        </w:rPr>
        <w:t>28.2</w:t>
      </w:r>
      <w:r>
        <w:rPr>
          <w:rFonts w:hint="eastAsia"/>
          <w:b/>
          <w:color w:val="auto"/>
          <w:highlight w:val="none"/>
        </w:rPr>
        <w:t>承包人违约</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承包人不履行合同义务或不按合同约定履行义务，应承担违约责任，赔偿因其违约给发包人造成的损失。当发生下列情况时，承包人应根据</w:t>
      </w:r>
      <w:r>
        <w:rPr>
          <w:rFonts w:hint="eastAsia"/>
          <w:b/>
          <w:i/>
          <w:color w:val="auto"/>
          <w:highlight w:val="none"/>
        </w:rPr>
        <w:t>专用条款</w:t>
      </w:r>
      <w:r>
        <w:rPr>
          <w:rFonts w:hint="eastAsia"/>
          <w:color w:val="auto"/>
          <w:highlight w:val="none"/>
        </w:rPr>
        <w:t>的约定承担违约责任。</w:t>
      </w:r>
    </w:p>
    <w:p>
      <w:pPr>
        <w:tabs>
          <w:tab w:val="left" w:pos="1620"/>
          <w:tab w:val="left" w:pos="2340"/>
        </w:tabs>
        <w:adjustRightInd w:val="0"/>
        <w:snapToGrid w:val="0"/>
        <w:spacing w:line="360" w:lineRule="auto"/>
        <w:ind w:left="1079"/>
        <w:rPr>
          <w:bCs/>
          <w:color w:val="auto"/>
          <w:highlight w:val="none"/>
        </w:rPr>
      </w:pPr>
      <w:r>
        <w:rPr>
          <w:rFonts w:hint="eastAsia"/>
          <w:color w:val="auto"/>
          <w:highlight w:val="none"/>
        </w:rPr>
        <w:t>⑴</w:t>
      </w:r>
      <w:r>
        <w:rPr>
          <w:bCs/>
          <w:color w:val="auto"/>
          <w:highlight w:val="none"/>
        </w:rPr>
        <w:t>承包人违反合同约定进行转包或违法分包的；</w:t>
      </w:r>
    </w:p>
    <w:p>
      <w:pPr>
        <w:tabs>
          <w:tab w:val="left" w:pos="1620"/>
          <w:tab w:val="left" w:pos="2340"/>
        </w:tabs>
        <w:adjustRightInd w:val="0"/>
        <w:snapToGrid w:val="0"/>
        <w:spacing w:line="360" w:lineRule="auto"/>
        <w:ind w:left="1079"/>
        <w:rPr>
          <w:bCs/>
          <w:color w:val="auto"/>
          <w:highlight w:val="none"/>
        </w:rPr>
      </w:pPr>
      <w:r>
        <w:rPr>
          <w:rFonts w:hint="eastAsia"/>
          <w:color w:val="auto"/>
          <w:highlight w:val="none"/>
        </w:rPr>
        <w:t>⑵</w:t>
      </w:r>
      <w:r>
        <w:rPr>
          <w:bCs/>
          <w:color w:val="auto"/>
          <w:highlight w:val="none"/>
        </w:rPr>
        <w:t>承包人违反合同约定采购和使用不合格的材料和工程设备的；</w:t>
      </w:r>
    </w:p>
    <w:p>
      <w:pPr>
        <w:tabs>
          <w:tab w:val="left" w:pos="1620"/>
          <w:tab w:val="left" w:pos="2340"/>
        </w:tabs>
        <w:adjustRightInd w:val="0"/>
        <w:snapToGrid w:val="0"/>
        <w:spacing w:line="360" w:lineRule="auto"/>
        <w:ind w:left="1079"/>
        <w:rPr>
          <w:bCs/>
          <w:color w:val="auto"/>
          <w:highlight w:val="none"/>
        </w:rPr>
      </w:pPr>
      <w:r>
        <w:rPr>
          <w:rFonts w:hint="eastAsia"/>
          <w:color w:val="auto"/>
          <w:highlight w:val="none"/>
        </w:rPr>
        <w:t>⑶</w:t>
      </w:r>
      <w:r>
        <w:rPr>
          <w:bCs/>
          <w:color w:val="auto"/>
          <w:highlight w:val="none"/>
        </w:rPr>
        <w:t>因承包人原因导致工程质量不符合合同要求的；</w:t>
      </w:r>
    </w:p>
    <w:p>
      <w:pPr>
        <w:tabs>
          <w:tab w:val="left" w:pos="1620"/>
          <w:tab w:val="left" w:pos="2340"/>
        </w:tabs>
        <w:adjustRightInd w:val="0"/>
        <w:snapToGrid w:val="0"/>
        <w:spacing w:line="360" w:lineRule="auto"/>
        <w:ind w:left="1079"/>
        <w:rPr>
          <w:bCs/>
          <w:color w:val="auto"/>
          <w:highlight w:val="none"/>
        </w:rPr>
      </w:pPr>
      <w:r>
        <w:rPr>
          <w:rFonts w:hint="eastAsia"/>
          <w:color w:val="auto"/>
          <w:highlight w:val="none"/>
        </w:rPr>
        <w:t>⑷</w:t>
      </w:r>
      <w:r>
        <w:rPr>
          <w:bCs/>
          <w:color w:val="auto"/>
          <w:highlight w:val="none"/>
        </w:rPr>
        <w:t>承包人未经批准，私自将已按照合同约定进入施工现场的材料或设备撤离施工现场的；</w:t>
      </w:r>
    </w:p>
    <w:p>
      <w:pPr>
        <w:tabs>
          <w:tab w:val="left" w:pos="1620"/>
          <w:tab w:val="left" w:pos="2340"/>
        </w:tabs>
        <w:adjustRightInd w:val="0"/>
        <w:snapToGrid w:val="0"/>
        <w:spacing w:line="360" w:lineRule="auto"/>
        <w:ind w:left="1079"/>
        <w:rPr>
          <w:bCs/>
          <w:color w:val="auto"/>
          <w:highlight w:val="none"/>
        </w:rPr>
      </w:pPr>
      <w:r>
        <w:rPr>
          <w:rFonts w:hint="eastAsia"/>
          <w:color w:val="auto"/>
          <w:highlight w:val="none"/>
        </w:rPr>
        <w:t>⑸</w:t>
      </w:r>
      <w:r>
        <w:rPr>
          <w:bCs/>
          <w:color w:val="auto"/>
          <w:highlight w:val="none"/>
        </w:rPr>
        <w:t>承包人未能按施工进度计划及时完成合同约定的工作，造成工期延误的；</w:t>
      </w:r>
    </w:p>
    <w:p>
      <w:pPr>
        <w:tabs>
          <w:tab w:val="left" w:pos="1620"/>
          <w:tab w:val="left" w:pos="2340"/>
        </w:tabs>
        <w:adjustRightInd w:val="0"/>
        <w:snapToGrid w:val="0"/>
        <w:spacing w:line="360" w:lineRule="auto"/>
        <w:ind w:left="1079"/>
        <w:rPr>
          <w:bCs/>
          <w:color w:val="auto"/>
          <w:highlight w:val="none"/>
        </w:rPr>
      </w:pPr>
      <w:r>
        <w:rPr>
          <w:rFonts w:hint="eastAsia"/>
          <w:color w:val="auto"/>
          <w:highlight w:val="none"/>
        </w:rPr>
        <w:t>⑹</w:t>
      </w:r>
      <w:r>
        <w:rPr>
          <w:bCs/>
          <w:color w:val="auto"/>
          <w:highlight w:val="none"/>
        </w:rPr>
        <w:t>承包人在缺陷责任期及保修期内，未能在合理期限对工程缺陷进行修复，或拒绝按发包人要求进行修复的；</w:t>
      </w:r>
    </w:p>
    <w:p>
      <w:pPr>
        <w:tabs>
          <w:tab w:val="left" w:pos="1620"/>
          <w:tab w:val="left" w:pos="2340"/>
        </w:tabs>
        <w:adjustRightInd w:val="0"/>
        <w:snapToGrid w:val="0"/>
        <w:spacing w:line="360" w:lineRule="auto"/>
        <w:ind w:left="1079"/>
        <w:rPr>
          <w:bCs/>
          <w:color w:val="auto"/>
          <w:highlight w:val="none"/>
        </w:rPr>
      </w:pPr>
      <w:r>
        <w:rPr>
          <w:rFonts w:hint="eastAsia"/>
          <w:bCs/>
          <w:color w:val="auto"/>
          <w:highlight w:val="none"/>
        </w:rPr>
        <w:t>⑺因承包人原因导致BIM实施应用不符合合同要求的；</w:t>
      </w:r>
    </w:p>
    <w:p>
      <w:pPr>
        <w:tabs>
          <w:tab w:val="left" w:pos="1620"/>
          <w:tab w:val="left" w:pos="2340"/>
        </w:tabs>
        <w:adjustRightInd w:val="0"/>
        <w:snapToGrid w:val="0"/>
        <w:spacing w:line="360" w:lineRule="auto"/>
        <w:ind w:left="1079"/>
        <w:rPr>
          <w:bCs/>
          <w:color w:val="auto"/>
          <w:highlight w:val="none"/>
        </w:rPr>
      </w:pPr>
      <w:r>
        <w:rPr>
          <w:rFonts w:hint="eastAsia"/>
          <w:bCs/>
          <w:color w:val="auto"/>
          <w:highlight w:val="none"/>
        </w:rPr>
        <w:t>⑻</w:t>
      </w:r>
      <w:r>
        <w:rPr>
          <w:bCs/>
          <w:color w:val="auto"/>
          <w:highlight w:val="none"/>
        </w:rPr>
        <w:t>承包人明确表示或者以其行为表明不履行合同主要义务的；</w:t>
      </w:r>
    </w:p>
    <w:p>
      <w:pPr>
        <w:tabs>
          <w:tab w:val="left" w:pos="1620"/>
          <w:tab w:val="left" w:pos="2340"/>
        </w:tabs>
        <w:adjustRightInd w:val="0"/>
        <w:snapToGrid w:val="0"/>
        <w:spacing w:line="360" w:lineRule="auto"/>
        <w:ind w:left="1079"/>
        <w:rPr>
          <w:bCs/>
          <w:color w:val="auto"/>
          <w:highlight w:val="none"/>
        </w:rPr>
      </w:pPr>
      <w:r>
        <w:rPr>
          <w:rFonts w:hint="eastAsia"/>
          <w:bCs/>
          <w:color w:val="auto"/>
          <w:highlight w:val="none"/>
        </w:rPr>
        <w:t>⑼</w:t>
      </w:r>
      <w:r>
        <w:rPr>
          <w:bCs/>
          <w:color w:val="auto"/>
          <w:highlight w:val="none"/>
        </w:rPr>
        <w:t>承包人未能按照合同约定履行其他义务的。</w:t>
      </w:r>
    </w:p>
    <w:p>
      <w:pPr>
        <w:adjustRightInd w:val="0"/>
        <w:snapToGrid w:val="0"/>
        <w:spacing w:line="360" w:lineRule="auto"/>
        <w:ind w:left="359"/>
        <w:rPr>
          <w:color w:val="auto"/>
          <w:highlight w:val="none"/>
        </w:rPr>
      </w:pPr>
      <w:r>
        <w:rPr>
          <w:b/>
          <w:color w:val="auto"/>
          <w:highlight w:val="none"/>
        </w:rPr>
        <w:t>28.3第三人造成的违约</w:t>
      </w:r>
    </w:p>
    <w:p>
      <w:pPr>
        <w:tabs>
          <w:tab w:val="left" w:pos="1620"/>
          <w:tab w:val="left" w:pos="2340"/>
        </w:tabs>
        <w:adjustRightInd w:val="0"/>
        <w:snapToGrid w:val="0"/>
        <w:spacing w:line="360" w:lineRule="auto"/>
        <w:ind w:left="899"/>
        <w:rPr>
          <w:color w:val="auto"/>
          <w:highlight w:val="none"/>
        </w:rPr>
      </w:pPr>
      <w:r>
        <w:rPr>
          <w:color w:val="auto"/>
          <w:highlight w:val="none"/>
        </w:rPr>
        <w:t>在履行合同过程中，</w:t>
      </w:r>
      <w:r>
        <w:rPr>
          <w:rFonts w:hint="eastAsia"/>
          <w:color w:val="auto"/>
          <w:highlight w:val="none"/>
        </w:rPr>
        <w:t>发包人或承包人</w:t>
      </w:r>
      <w:r>
        <w:rPr>
          <w:color w:val="auto"/>
          <w:highlight w:val="none"/>
        </w:rPr>
        <w:t>一方因第三人的原因造成违约的，应当向对方承担违约责任。</w:t>
      </w:r>
      <w:r>
        <w:rPr>
          <w:rFonts w:hint="eastAsia"/>
          <w:color w:val="auto"/>
          <w:highlight w:val="none"/>
        </w:rPr>
        <w:t>发包人或承包人</w:t>
      </w:r>
      <w:r>
        <w:rPr>
          <w:color w:val="auto"/>
          <w:highlight w:val="none"/>
        </w:rPr>
        <w:t>一方和第三人之间的纠纷，依照</w:t>
      </w:r>
      <w:r>
        <w:rPr>
          <w:rFonts w:hint="eastAsia"/>
          <w:color w:val="auto"/>
          <w:highlight w:val="none"/>
        </w:rPr>
        <w:t>相关</w:t>
      </w:r>
      <w:r>
        <w:rPr>
          <w:color w:val="auto"/>
          <w:highlight w:val="none"/>
        </w:rPr>
        <w:t>法律规定解决。</w:t>
      </w:r>
    </w:p>
    <w:p>
      <w:pPr>
        <w:adjustRightInd w:val="0"/>
        <w:snapToGrid w:val="0"/>
        <w:spacing w:line="360" w:lineRule="auto"/>
        <w:ind w:left="359"/>
        <w:rPr>
          <w:color w:val="auto"/>
          <w:highlight w:val="none"/>
        </w:rPr>
      </w:pPr>
      <w:r>
        <w:rPr>
          <w:b/>
          <w:color w:val="auto"/>
          <w:highlight w:val="none"/>
        </w:rPr>
        <w:t>28.4</w:t>
      </w:r>
      <w:r>
        <w:rPr>
          <w:rFonts w:hint="eastAsia"/>
          <w:b/>
          <w:color w:val="auto"/>
          <w:highlight w:val="none"/>
        </w:rPr>
        <w:t>继续履行合同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除非另有约定，发包人和承包人一方违约后，另一方要求违约方继续履行本合同时，违约方承担上述违约责任后仍应继续履行合同。</w:t>
      </w:r>
    </w:p>
    <w:p>
      <w:pPr>
        <w:adjustRightInd w:val="0"/>
        <w:snapToGrid w:val="0"/>
        <w:spacing w:line="360" w:lineRule="auto"/>
        <w:ind w:left="178"/>
        <w:rPr>
          <w:color w:val="auto"/>
          <w:sz w:val="28"/>
          <w:highlight w:val="none"/>
        </w:rPr>
      </w:pPr>
      <w:r>
        <w:rPr>
          <w:b/>
          <w:color w:val="auto"/>
          <w:sz w:val="28"/>
          <w:highlight w:val="none"/>
        </w:rPr>
        <w:t>29</w:t>
      </w:r>
      <w:r>
        <w:rPr>
          <w:rFonts w:hint="eastAsia"/>
          <w:b/>
          <w:color w:val="auto"/>
          <w:sz w:val="28"/>
          <w:highlight w:val="none"/>
        </w:rPr>
        <w:t>索赔</w:t>
      </w:r>
    </w:p>
    <w:p>
      <w:pPr>
        <w:adjustRightInd w:val="0"/>
        <w:snapToGrid w:val="0"/>
        <w:spacing w:line="360" w:lineRule="auto"/>
        <w:ind w:left="359"/>
        <w:rPr>
          <w:color w:val="auto"/>
          <w:highlight w:val="none"/>
        </w:rPr>
      </w:pPr>
      <w:r>
        <w:rPr>
          <w:b/>
          <w:color w:val="auto"/>
          <w:highlight w:val="none"/>
        </w:rPr>
        <w:t>29.1</w:t>
      </w:r>
      <w:r>
        <w:rPr>
          <w:rFonts w:hint="eastAsia"/>
          <w:b/>
          <w:color w:val="auto"/>
          <w:highlight w:val="none"/>
        </w:rPr>
        <w:t>索赔理由与记录</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⑴发包人和承包人双方中，当一方向另一方提出索赔时，要有合理的索赔理由，且有其要求索赔的事件发生时的有效证据。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⑵提出索赔的一方在其要求索赔的事件发生时，应保存好必要的记录，以便证明提出的索赔，并应允许另一方或</w:t>
      </w:r>
      <w:r>
        <w:rPr>
          <w:color w:val="auto"/>
          <w:highlight w:val="none"/>
        </w:rPr>
        <w:t>监理人</w:t>
      </w:r>
      <w:r>
        <w:rPr>
          <w:rFonts w:hint="eastAsia"/>
          <w:color w:val="auto"/>
          <w:highlight w:val="none"/>
        </w:rPr>
        <w:t>查阅全部记录。</w:t>
      </w:r>
    </w:p>
    <w:p>
      <w:pPr>
        <w:adjustRightInd w:val="0"/>
        <w:snapToGrid w:val="0"/>
        <w:spacing w:line="360" w:lineRule="auto"/>
        <w:ind w:left="359"/>
        <w:rPr>
          <w:color w:val="auto"/>
          <w:highlight w:val="none"/>
        </w:rPr>
      </w:pPr>
      <w:r>
        <w:rPr>
          <w:b/>
          <w:color w:val="auto"/>
          <w:highlight w:val="none"/>
        </w:rPr>
        <w:t>29.2</w:t>
      </w:r>
      <w:r>
        <w:rPr>
          <w:rFonts w:hint="eastAsia"/>
          <w:b/>
          <w:color w:val="auto"/>
          <w:highlight w:val="none"/>
        </w:rPr>
        <w:t>索赔内容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⑴发包人提出索赔时，可选择下列一项或几项方式获得赔偿：</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①延长质量缺陷修复期限；</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②要求承包人支付实际发生的额外费用；</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③要求承包人支付合同约定的违约金。</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⑵承包人提出索赔时，可选择下列一项或几项方式获得赔偿：</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①延长工期；</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②要求发包人支付实际发生的额外费用；</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③要求发包人支付合理的预期利润；</w:t>
      </w:r>
    </w:p>
    <w:p>
      <w:pPr>
        <w:tabs>
          <w:tab w:val="left" w:pos="1620"/>
          <w:tab w:val="left" w:pos="2340"/>
        </w:tabs>
        <w:adjustRightInd w:val="0"/>
        <w:snapToGrid w:val="0"/>
        <w:spacing w:line="360" w:lineRule="auto"/>
        <w:ind w:left="1134"/>
        <w:rPr>
          <w:color w:val="auto"/>
          <w:highlight w:val="none"/>
        </w:rPr>
      </w:pPr>
      <w:r>
        <w:rPr>
          <w:rFonts w:hint="eastAsia"/>
          <w:color w:val="auto"/>
          <w:highlight w:val="none"/>
        </w:rPr>
        <w:t>④要求发包人支付合同约定的违约金。</w:t>
      </w:r>
    </w:p>
    <w:p>
      <w:pPr>
        <w:adjustRightInd w:val="0"/>
        <w:snapToGrid w:val="0"/>
        <w:spacing w:line="360" w:lineRule="auto"/>
        <w:ind w:left="359"/>
        <w:rPr>
          <w:color w:val="auto"/>
          <w:highlight w:val="none"/>
        </w:rPr>
      </w:pPr>
      <w:r>
        <w:rPr>
          <w:b/>
          <w:color w:val="auto"/>
          <w:highlight w:val="none"/>
        </w:rPr>
        <w:t>29.3</w:t>
      </w:r>
      <w:r>
        <w:rPr>
          <w:rFonts w:hint="eastAsia"/>
          <w:b/>
          <w:color w:val="auto"/>
          <w:highlight w:val="none"/>
        </w:rPr>
        <w:t>发包人索赔情形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在施工合同履行过程中发生下列情形之一的，发包人可向承包人提出索赔：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⑴承包人使用的设备和材料不符合合同规定，或施工质量不符合施工技术规程的要求；</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⑵由于承包人原因导致工期延误；</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⑶工程竣工验收合格后，因承包人原因导致的缺陷或损坏致使工程、单位工程或某项主要设备不能按原定目的使用；</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w:t>
      </w:r>
      <w:r>
        <w:rPr>
          <w:b/>
          <w:i/>
          <w:color w:val="auto"/>
          <w:highlight w:val="none"/>
        </w:rPr>
        <w:t>专用条款</w:t>
      </w:r>
      <w:r>
        <w:rPr>
          <w:color w:val="auto"/>
          <w:highlight w:val="none"/>
        </w:rPr>
        <w:t>中约定的其他情形。</w:t>
      </w:r>
    </w:p>
    <w:p>
      <w:pPr>
        <w:adjustRightInd w:val="0"/>
        <w:snapToGrid w:val="0"/>
        <w:spacing w:line="360" w:lineRule="auto"/>
        <w:ind w:left="359"/>
        <w:rPr>
          <w:color w:val="auto"/>
          <w:highlight w:val="none"/>
        </w:rPr>
      </w:pPr>
      <w:r>
        <w:rPr>
          <w:b/>
          <w:color w:val="auto"/>
          <w:highlight w:val="none"/>
        </w:rPr>
        <w:t>29.4</w:t>
      </w:r>
      <w:r>
        <w:rPr>
          <w:rFonts w:hint="eastAsia"/>
          <w:b/>
          <w:color w:val="auto"/>
          <w:highlight w:val="none"/>
        </w:rPr>
        <w:t>发包人索赔程序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承包人未能按合同约定履行义务、发生错误以及应由承包人承担责任的其他情况，给发包人造成损失的，发包人可按下列程序向承包人提出索赔：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⑴索赔的事件发生后28天内，向承包人提出索赔意向通知。逾期不提出的，视为放弃索赔；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⑵在提出索赔意向通知后28天内，向承包人提出赔偿损失的索赔报告及有关资料；</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⑶承包人在收到发包人提交的索赔报告和有关资料后，于28天内给予答复，或要求发包人进一步补充索赔理由和证据；</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⑷承包人在收到发包人提交的索赔报告和有关资料后28天内未予答复或未对发包人作进一步要求，视为该项索赔已被认可；</w:t>
      </w:r>
    </w:p>
    <w:p>
      <w:pPr>
        <w:tabs>
          <w:tab w:val="left" w:pos="1620"/>
          <w:tab w:val="left" w:pos="2340"/>
        </w:tabs>
        <w:adjustRightInd w:val="0"/>
        <w:snapToGrid w:val="0"/>
        <w:spacing w:line="360" w:lineRule="auto"/>
        <w:ind w:left="1079"/>
        <w:rPr>
          <w:color w:val="auto"/>
          <w:highlight w:val="none"/>
        </w:rPr>
      </w:pPr>
      <w:r>
        <w:rPr>
          <w:color w:val="auto"/>
          <w:highlight w:val="none"/>
        </w:rPr>
        <w:t>⑸</w:t>
      </w:r>
      <w:r>
        <w:rPr>
          <w:rFonts w:hint="eastAsia"/>
          <w:color w:val="auto"/>
          <w:highlight w:val="none"/>
        </w:rPr>
        <w:t>当索赔事件持续进行时，发包人应阶段性向承包人提出索赔意向通知，在该事件终了后28天内，向承包人提交索赔的有关资料和最终索赔报告。索赔答复程序与第29.6⑶、⑷项约定相同。</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⑹</w:t>
      </w:r>
      <w:r>
        <w:rPr>
          <w:color w:val="auto"/>
          <w:highlight w:val="none"/>
        </w:rPr>
        <w:t>承包人接受索赔处理结果的，发包人可从应支付给承包人的合同价款中扣除赔付的金额或延长缺陷责任期；发包人不接受索赔处理结果的，按第</w:t>
      </w:r>
      <w:r>
        <w:rPr>
          <w:rFonts w:hint="eastAsia"/>
          <w:color w:val="auto"/>
          <w:highlight w:val="none"/>
        </w:rPr>
        <w:t>3</w:t>
      </w:r>
      <w:r>
        <w:rPr>
          <w:color w:val="auto"/>
          <w:highlight w:val="none"/>
        </w:rPr>
        <w:t>0条</w:t>
      </w:r>
      <w:r>
        <w:rPr>
          <w:rFonts w:hint="eastAsia"/>
          <w:color w:val="auto"/>
          <w:highlight w:val="none"/>
        </w:rPr>
        <w:t>〔</w:t>
      </w:r>
      <w:r>
        <w:rPr>
          <w:color w:val="auto"/>
          <w:highlight w:val="none"/>
        </w:rPr>
        <w:t>争议解决</w:t>
      </w:r>
      <w:r>
        <w:rPr>
          <w:rFonts w:hint="eastAsia"/>
          <w:color w:val="auto"/>
          <w:highlight w:val="none"/>
        </w:rPr>
        <w:t>〕</w:t>
      </w:r>
      <w:r>
        <w:rPr>
          <w:color w:val="auto"/>
          <w:highlight w:val="none"/>
        </w:rPr>
        <w:t>约定处理。</w:t>
      </w:r>
    </w:p>
    <w:p>
      <w:pPr>
        <w:adjustRightInd w:val="0"/>
        <w:snapToGrid w:val="0"/>
        <w:spacing w:line="360" w:lineRule="auto"/>
        <w:ind w:left="359"/>
        <w:rPr>
          <w:color w:val="auto"/>
          <w:highlight w:val="none"/>
        </w:rPr>
      </w:pPr>
      <w:r>
        <w:rPr>
          <w:b/>
          <w:color w:val="auto"/>
          <w:highlight w:val="none"/>
        </w:rPr>
        <w:t>29.5</w:t>
      </w:r>
      <w:r>
        <w:rPr>
          <w:rFonts w:hint="eastAsia"/>
          <w:b/>
          <w:color w:val="auto"/>
          <w:highlight w:val="none"/>
        </w:rPr>
        <w:t>承包人索赔情形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在施工合同履行过程中发生下列情形之一的，承包人可向发包人提出索赔：</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GB2</w:instrText>
      </w:r>
      <w:r>
        <w:rPr>
          <w:color w:val="auto"/>
          <w:highlight w:val="none"/>
        </w:rPr>
        <w:instrText xml:space="preserve"> </w:instrText>
      </w:r>
      <w:r>
        <w:rPr>
          <w:color w:val="auto"/>
          <w:highlight w:val="none"/>
        </w:rPr>
        <w:fldChar w:fldCharType="separate"/>
      </w:r>
      <w:r>
        <w:rPr>
          <w:rFonts w:hint="eastAsia"/>
          <w:color w:val="auto"/>
          <w:highlight w:val="none"/>
        </w:rPr>
        <w:t>⑴</w:t>
      </w:r>
      <w:r>
        <w:rPr>
          <w:color w:val="auto"/>
          <w:highlight w:val="none"/>
        </w:rPr>
        <w:fldChar w:fldCharType="end"/>
      </w:r>
      <w:r>
        <w:rPr>
          <w:color w:val="auto"/>
          <w:highlight w:val="none"/>
        </w:rPr>
        <w:t>发包人未能按合同约定提供图纸或所提供图纸不符合合同约定的；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GB2</w:instrText>
      </w:r>
      <w:r>
        <w:rPr>
          <w:color w:val="auto"/>
          <w:highlight w:val="none"/>
        </w:rPr>
        <w:instrText xml:space="preserve"> </w:instrText>
      </w:r>
      <w:r>
        <w:rPr>
          <w:color w:val="auto"/>
          <w:highlight w:val="none"/>
        </w:rPr>
        <w:fldChar w:fldCharType="separate"/>
      </w:r>
      <w:r>
        <w:rPr>
          <w:rFonts w:hint="eastAsia"/>
          <w:color w:val="auto"/>
          <w:highlight w:val="none"/>
        </w:rPr>
        <w:t>⑵</w:t>
      </w:r>
      <w:r>
        <w:rPr>
          <w:color w:val="auto"/>
          <w:highlight w:val="none"/>
        </w:rPr>
        <w:fldChar w:fldCharType="end"/>
      </w:r>
      <w:r>
        <w:rPr>
          <w:color w:val="auto"/>
          <w:highlight w:val="none"/>
        </w:rPr>
        <w:t>发包人未能按合同约定提供施工现场、施工条件、基础资料、许可、批准等开工条件的；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GB2</w:instrText>
      </w:r>
      <w:r>
        <w:rPr>
          <w:color w:val="auto"/>
          <w:highlight w:val="none"/>
        </w:rPr>
        <w:instrText xml:space="preserve"> </w:instrText>
      </w:r>
      <w:r>
        <w:rPr>
          <w:color w:val="auto"/>
          <w:highlight w:val="none"/>
        </w:rPr>
        <w:fldChar w:fldCharType="separate"/>
      </w:r>
      <w:r>
        <w:rPr>
          <w:rFonts w:hint="eastAsia"/>
          <w:color w:val="auto"/>
          <w:highlight w:val="none"/>
        </w:rPr>
        <w:t>⑶</w:t>
      </w:r>
      <w:r>
        <w:rPr>
          <w:color w:val="auto"/>
          <w:highlight w:val="none"/>
        </w:rPr>
        <w:fldChar w:fldCharType="end"/>
      </w:r>
      <w:r>
        <w:rPr>
          <w:color w:val="auto"/>
          <w:highlight w:val="none"/>
        </w:rPr>
        <w:t>发包人提供的测量基准点、基准线和水准点及其书面资料存在错误或疏漏的；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GB2</w:instrText>
      </w:r>
      <w:r>
        <w:rPr>
          <w:color w:val="auto"/>
          <w:highlight w:val="none"/>
        </w:rPr>
        <w:instrText xml:space="preserve"> </w:instrText>
      </w:r>
      <w:r>
        <w:rPr>
          <w:color w:val="auto"/>
          <w:highlight w:val="none"/>
        </w:rPr>
        <w:fldChar w:fldCharType="separate"/>
      </w:r>
      <w:r>
        <w:rPr>
          <w:rFonts w:hint="eastAsia"/>
          <w:color w:val="auto"/>
          <w:highlight w:val="none"/>
        </w:rPr>
        <w:t>⑷</w:t>
      </w:r>
      <w:r>
        <w:rPr>
          <w:color w:val="auto"/>
          <w:highlight w:val="none"/>
        </w:rPr>
        <w:fldChar w:fldCharType="end"/>
      </w:r>
      <w:r>
        <w:rPr>
          <w:color w:val="auto"/>
          <w:highlight w:val="none"/>
        </w:rPr>
        <w:t>发包人未能在计划开工日期之日起7天内同意下达开工通知的；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GB2</w:instrText>
      </w:r>
      <w:r>
        <w:rPr>
          <w:color w:val="auto"/>
          <w:highlight w:val="none"/>
        </w:rPr>
        <w:instrText xml:space="preserve"> </w:instrText>
      </w:r>
      <w:r>
        <w:rPr>
          <w:color w:val="auto"/>
          <w:highlight w:val="none"/>
        </w:rPr>
        <w:fldChar w:fldCharType="separate"/>
      </w:r>
      <w:r>
        <w:rPr>
          <w:rFonts w:hint="eastAsia"/>
          <w:color w:val="auto"/>
          <w:highlight w:val="none"/>
        </w:rPr>
        <w:t>⑸</w:t>
      </w:r>
      <w:r>
        <w:rPr>
          <w:color w:val="auto"/>
          <w:highlight w:val="none"/>
        </w:rPr>
        <w:fldChar w:fldCharType="end"/>
      </w:r>
      <w:r>
        <w:rPr>
          <w:color w:val="auto"/>
          <w:highlight w:val="none"/>
        </w:rPr>
        <w:t>发包人未能按合同约定日期支付工程预付款、进度款或竣工结算款的；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GB2</w:instrText>
      </w:r>
      <w:r>
        <w:rPr>
          <w:color w:val="auto"/>
          <w:highlight w:val="none"/>
        </w:rPr>
        <w:instrText xml:space="preserve"> </w:instrText>
      </w:r>
      <w:r>
        <w:rPr>
          <w:color w:val="auto"/>
          <w:highlight w:val="none"/>
        </w:rPr>
        <w:fldChar w:fldCharType="separate"/>
      </w:r>
      <w:r>
        <w:rPr>
          <w:rFonts w:hint="eastAsia"/>
          <w:color w:val="auto"/>
          <w:highlight w:val="none"/>
        </w:rPr>
        <w:t>⑹</w:t>
      </w:r>
      <w:r>
        <w:rPr>
          <w:color w:val="auto"/>
          <w:highlight w:val="none"/>
        </w:rPr>
        <w:fldChar w:fldCharType="end"/>
      </w:r>
      <w:r>
        <w:rPr>
          <w:color w:val="auto"/>
          <w:highlight w:val="none"/>
        </w:rPr>
        <w:t>监理单位未按合同约定发出指示、批准等文件的；</w:t>
      </w:r>
    </w:p>
    <w:p>
      <w:pPr>
        <w:tabs>
          <w:tab w:val="left" w:pos="1620"/>
          <w:tab w:val="left" w:pos="2340"/>
        </w:tabs>
        <w:adjustRightInd w:val="0"/>
        <w:snapToGrid w:val="0"/>
        <w:spacing w:line="360" w:lineRule="auto"/>
        <w:ind w:left="899"/>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GB2</w:instrText>
      </w:r>
      <w:r>
        <w:rPr>
          <w:color w:val="auto"/>
          <w:highlight w:val="none"/>
        </w:rPr>
        <w:instrText xml:space="preserve"> </w:instrText>
      </w:r>
      <w:r>
        <w:rPr>
          <w:color w:val="auto"/>
          <w:highlight w:val="none"/>
        </w:rPr>
        <w:fldChar w:fldCharType="separate"/>
      </w:r>
      <w:r>
        <w:rPr>
          <w:rFonts w:hint="eastAsia"/>
          <w:color w:val="auto"/>
          <w:highlight w:val="none"/>
        </w:rPr>
        <w:t>⑺</w:t>
      </w:r>
      <w:r>
        <w:rPr>
          <w:color w:val="auto"/>
          <w:highlight w:val="none"/>
        </w:rPr>
        <w:fldChar w:fldCharType="end"/>
      </w:r>
      <w:r>
        <w:rPr>
          <w:b/>
          <w:i/>
          <w:color w:val="auto"/>
          <w:highlight w:val="none"/>
        </w:rPr>
        <w:t>专用条款</w:t>
      </w:r>
      <w:r>
        <w:rPr>
          <w:color w:val="auto"/>
          <w:highlight w:val="none"/>
        </w:rPr>
        <w:t>中约定的其他情形。</w:t>
      </w:r>
    </w:p>
    <w:p>
      <w:pPr>
        <w:adjustRightInd w:val="0"/>
        <w:snapToGrid w:val="0"/>
        <w:spacing w:line="360" w:lineRule="auto"/>
        <w:ind w:left="359"/>
        <w:rPr>
          <w:color w:val="auto"/>
          <w:highlight w:val="none"/>
        </w:rPr>
      </w:pPr>
      <w:r>
        <w:rPr>
          <w:b/>
          <w:color w:val="auto"/>
          <w:highlight w:val="none"/>
        </w:rPr>
        <w:t>29.6</w:t>
      </w:r>
      <w:r>
        <w:rPr>
          <w:rFonts w:hint="eastAsia"/>
          <w:b/>
          <w:color w:val="auto"/>
          <w:highlight w:val="none"/>
        </w:rPr>
        <w:t>承包人索赔程序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发包人未能按合同约定履行义务、发生错误以及应由发包人承担责任的其他情况，给承包人造成损失和(或)导致工期延误的，承包人可按下列程序向发包人提出索赔：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⑴索赔的事件发生后28天内，向</w:t>
      </w:r>
      <w:r>
        <w:rPr>
          <w:color w:val="auto"/>
          <w:highlight w:val="none"/>
        </w:rPr>
        <w:t>监理人</w:t>
      </w:r>
      <w:r>
        <w:rPr>
          <w:rFonts w:hint="eastAsia"/>
          <w:color w:val="auto"/>
          <w:highlight w:val="none"/>
        </w:rPr>
        <w:t>提出索赔意向通知。逾期不提出的，视为放弃索赔；</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⑵在提出索赔意向通知后28天内，向</w:t>
      </w:r>
      <w:r>
        <w:rPr>
          <w:color w:val="auto"/>
          <w:highlight w:val="none"/>
        </w:rPr>
        <w:t>监理人</w:t>
      </w:r>
      <w:r>
        <w:rPr>
          <w:rFonts w:hint="eastAsia"/>
          <w:color w:val="auto"/>
          <w:highlight w:val="none"/>
        </w:rPr>
        <w:t>提交赔偿损失和(或)延长工期的索赔报告及有关资料；</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w:t>
      </w:r>
      <w:r>
        <w:rPr>
          <w:color w:val="auto"/>
          <w:highlight w:val="none"/>
        </w:rPr>
        <w:t>监理人</w:t>
      </w:r>
      <w:r>
        <w:rPr>
          <w:rFonts w:hint="eastAsia"/>
          <w:color w:val="auto"/>
          <w:highlight w:val="none"/>
        </w:rPr>
        <w:t>在收到承包人提交的索赔报告和有关资料后，于28天内给予答复，或要求承包人进一步补充索赔理由和证据；</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w:t>
      </w:r>
      <w:r>
        <w:rPr>
          <w:color w:val="auto"/>
          <w:highlight w:val="none"/>
        </w:rPr>
        <w:t>监理人</w:t>
      </w:r>
      <w:r>
        <w:rPr>
          <w:rFonts w:hint="eastAsia"/>
          <w:color w:val="auto"/>
          <w:highlight w:val="none"/>
        </w:rPr>
        <w:t>在收到承包人提交的索赔报告和有关资料后28天内未予答复或未对承包人作进一步要求，视为该项索赔已被认可；</w:t>
      </w:r>
    </w:p>
    <w:p>
      <w:pPr>
        <w:tabs>
          <w:tab w:val="left" w:pos="1620"/>
          <w:tab w:val="left" w:pos="2340"/>
        </w:tabs>
        <w:adjustRightInd w:val="0"/>
        <w:snapToGrid w:val="0"/>
        <w:spacing w:line="360" w:lineRule="auto"/>
        <w:ind w:left="1079"/>
        <w:rPr>
          <w:color w:val="auto"/>
          <w:highlight w:val="none"/>
        </w:rPr>
      </w:pPr>
      <w:r>
        <w:rPr>
          <w:color w:val="auto"/>
          <w:highlight w:val="none"/>
        </w:rPr>
        <w:t>⑸</w:t>
      </w:r>
      <w:r>
        <w:rPr>
          <w:rFonts w:hint="eastAsia"/>
          <w:color w:val="auto"/>
          <w:highlight w:val="none"/>
        </w:rPr>
        <w:t>当索赔事件持续进行时，承包人应阶段性向</w:t>
      </w:r>
      <w:r>
        <w:rPr>
          <w:color w:val="auto"/>
          <w:highlight w:val="none"/>
        </w:rPr>
        <w:t>监理人</w:t>
      </w:r>
      <w:r>
        <w:rPr>
          <w:rFonts w:hint="eastAsia"/>
          <w:color w:val="auto"/>
          <w:highlight w:val="none"/>
        </w:rPr>
        <w:t>提出索赔意向通知，在该事件终了后28天内，向</w:t>
      </w:r>
      <w:r>
        <w:rPr>
          <w:color w:val="auto"/>
          <w:highlight w:val="none"/>
        </w:rPr>
        <w:t>监理人</w:t>
      </w:r>
      <w:r>
        <w:rPr>
          <w:rFonts w:hint="eastAsia"/>
          <w:color w:val="auto"/>
          <w:highlight w:val="none"/>
        </w:rPr>
        <w:t>提交索赔的有关资料和最终索赔报告。索赔答复程序与第29.4⑶、⑷项的约定相同。</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⑹</w:t>
      </w:r>
      <w:r>
        <w:rPr>
          <w:color w:val="auto"/>
          <w:highlight w:val="none"/>
        </w:rPr>
        <w:t>承包人接受索赔处理结果的，索赔款项在当期进度款中进行支付；承包人不接受索赔处理结果的，按照第</w:t>
      </w:r>
      <w:r>
        <w:rPr>
          <w:rFonts w:hint="eastAsia"/>
          <w:color w:val="auto"/>
          <w:highlight w:val="none"/>
        </w:rPr>
        <w:t>3</w:t>
      </w:r>
      <w:r>
        <w:rPr>
          <w:color w:val="auto"/>
          <w:highlight w:val="none"/>
        </w:rPr>
        <w:t>0条</w:t>
      </w:r>
      <w:r>
        <w:rPr>
          <w:rFonts w:hint="eastAsia"/>
          <w:color w:val="auto"/>
          <w:highlight w:val="none"/>
        </w:rPr>
        <w:t>〔</w:t>
      </w:r>
      <w:r>
        <w:rPr>
          <w:color w:val="auto"/>
          <w:highlight w:val="none"/>
        </w:rPr>
        <w:t>争议解决</w:t>
      </w:r>
      <w:r>
        <w:rPr>
          <w:rFonts w:hint="eastAsia"/>
          <w:color w:val="auto"/>
          <w:highlight w:val="none"/>
        </w:rPr>
        <w:t>〕</w:t>
      </w:r>
      <w:r>
        <w:rPr>
          <w:color w:val="auto"/>
          <w:highlight w:val="none"/>
        </w:rPr>
        <w:t>约定处理。</w:t>
      </w:r>
    </w:p>
    <w:p>
      <w:pPr>
        <w:adjustRightInd w:val="0"/>
        <w:snapToGrid w:val="0"/>
        <w:spacing w:line="360" w:lineRule="auto"/>
        <w:ind w:left="359"/>
        <w:rPr>
          <w:color w:val="auto"/>
          <w:highlight w:val="none"/>
        </w:rPr>
      </w:pPr>
      <w:r>
        <w:rPr>
          <w:b/>
          <w:color w:val="auto"/>
          <w:highlight w:val="none"/>
        </w:rPr>
        <w:t>29.7</w:t>
      </w:r>
      <w:r>
        <w:rPr>
          <w:rFonts w:hint="eastAsia"/>
          <w:b/>
          <w:color w:val="auto"/>
          <w:highlight w:val="none"/>
        </w:rPr>
        <w:t>提出索赔的期限</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承包人按第</w:t>
      </w:r>
      <w:r>
        <w:rPr>
          <w:rFonts w:hint="eastAsia"/>
          <w:color w:val="auto"/>
          <w:highlight w:val="none"/>
        </w:rPr>
        <w:t>27</w:t>
      </w:r>
      <w:r>
        <w:rPr>
          <w:color w:val="auto"/>
          <w:highlight w:val="none"/>
        </w:rPr>
        <w:t>.</w:t>
      </w:r>
      <w:r>
        <w:rPr>
          <w:rFonts w:hint="eastAsia"/>
          <w:color w:val="auto"/>
          <w:highlight w:val="none"/>
        </w:rPr>
        <w:t>7</w:t>
      </w:r>
      <w:r>
        <w:rPr>
          <w:color w:val="auto"/>
          <w:highlight w:val="none"/>
        </w:rPr>
        <w:t>款</w:t>
      </w:r>
      <w:r>
        <w:rPr>
          <w:rFonts w:hint="eastAsia"/>
          <w:color w:val="auto"/>
          <w:highlight w:val="none"/>
        </w:rPr>
        <w:t>〔</w:t>
      </w:r>
      <w:r>
        <w:rPr>
          <w:color w:val="auto"/>
          <w:highlight w:val="none"/>
        </w:rPr>
        <w:t>竣工结算</w:t>
      </w:r>
      <w:r>
        <w:rPr>
          <w:rFonts w:hint="eastAsia"/>
          <w:color w:val="auto"/>
          <w:highlight w:val="none"/>
        </w:rPr>
        <w:t>支付〕</w:t>
      </w:r>
      <w:r>
        <w:rPr>
          <w:color w:val="auto"/>
          <w:highlight w:val="none"/>
        </w:rPr>
        <w:t>约定接收竣工</w:t>
      </w:r>
      <w:r>
        <w:rPr>
          <w:rFonts w:hint="eastAsia"/>
          <w:color w:val="auto"/>
          <w:highlight w:val="none"/>
        </w:rPr>
        <w:t>支付</w:t>
      </w:r>
      <w:r>
        <w:rPr>
          <w:color w:val="auto"/>
          <w:highlight w:val="none"/>
        </w:rPr>
        <w:t>证书后，应被视为已无权再提出在工程接收证书颁发前所发生的任何索赔。</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承包人按第</w:t>
      </w:r>
      <w:r>
        <w:rPr>
          <w:rFonts w:hint="eastAsia"/>
          <w:color w:val="auto"/>
          <w:highlight w:val="none"/>
        </w:rPr>
        <w:t>27</w:t>
      </w:r>
      <w:r>
        <w:rPr>
          <w:color w:val="auto"/>
          <w:highlight w:val="none"/>
        </w:rPr>
        <w:t>.</w:t>
      </w:r>
      <w:r>
        <w:rPr>
          <w:rFonts w:hint="eastAsia"/>
          <w:color w:val="auto"/>
          <w:highlight w:val="none"/>
        </w:rPr>
        <w:t>8</w:t>
      </w:r>
      <w:r>
        <w:rPr>
          <w:color w:val="auto"/>
          <w:highlight w:val="none"/>
        </w:rPr>
        <w:t>款</w:t>
      </w:r>
      <w:r>
        <w:rPr>
          <w:rFonts w:hint="eastAsia"/>
          <w:color w:val="auto"/>
          <w:highlight w:val="none"/>
        </w:rPr>
        <w:t>〔</w:t>
      </w:r>
      <w:r>
        <w:rPr>
          <w:color w:val="auto"/>
          <w:highlight w:val="none"/>
        </w:rPr>
        <w:t>最终结清</w:t>
      </w:r>
      <w:r>
        <w:rPr>
          <w:rFonts w:hint="eastAsia"/>
          <w:color w:val="auto"/>
          <w:highlight w:val="none"/>
        </w:rPr>
        <w:t>申请〕</w:t>
      </w:r>
      <w:r>
        <w:rPr>
          <w:color w:val="auto"/>
          <w:highlight w:val="none"/>
        </w:rPr>
        <w:t>提交的最终结清申请单中，只限于提出工程接收证书颁发后发生的索赔。提出索赔的期限自接受最终结清证书时终止。</w:t>
      </w:r>
    </w:p>
    <w:p>
      <w:pPr>
        <w:adjustRightInd w:val="0"/>
        <w:snapToGrid w:val="0"/>
        <w:spacing w:line="360" w:lineRule="auto"/>
        <w:ind w:left="359"/>
        <w:rPr>
          <w:color w:val="auto"/>
          <w:highlight w:val="none"/>
        </w:rPr>
      </w:pPr>
      <w:r>
        <w:rPr>
          <w:b/>
          <w:color w:val="auto"/>
          <w:highlight w:val="none"/>
        </w:rPr>
        <w:t>29.8</w:t>
      </w:r>
      <w:r>
        <w:rPr>
          <w:rFonts w:hint="eastAsia"/>
          <w:b/>
          <w:color w:val="auto"/>
          <w:highlight w:val="none"/>
        </w:rPr>
        <w:t>索赔费用的支付</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监理人</w:t>
      </w:r>
      <w:r>
        <w:rPr>
          <w:rFonts w:hint="eastAsia"/>
          <w:color w:val="auto"/>
          <w:highlight w:val="none"/>
        </w:rPr>
        <w:t>对承包人根据第29.</w:t>
      </w:r>
      <w:r>
        <w:rPr>
          <w:color w:val="auto"/>
          <w:highlight w:val="none"/>
        </w:rPr>
        <w:t>6</w:t>
      </w:r>
      <w:r>
        <w:rPr>
          <w:rFonts w:hint="eastAsia"/>
          <w:color w:val="auto"/>
          <w:highlight w:val="none"/>
        </w:rPr>
        <w:t>款提交的索赔报告和有关资料进行核实，并报发包人批准后，确定赔偿的费用并与工程款同期支付，确定延误的工期并顺延工期。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⑵承包人对发包人根据第29.</w:t>
      </w:r>
      <w:r>
        <w:rPr>
          <w:color w:val="auto"/>
          <w:highlight w:val="none"/>
        </w:rPr>
        <w:t>4</w:t>
      </w:r>
      <w:r>
        <w:rPr>
          <w:rFonts w:hint="eastAsia"/>
          <w:color w:val="auto"/>
          <w:highlight w:val="none"/>
        </w:rPr>
        <w:t>款提交的索赔报告和有关资料进行核实，与发包人协商后确定赔偿的费用并在</w:t>
      </w:r>
      <w:r>
        <w:rPr>
          <w:color w:val="auto"/>
          <w:highlight w:val="none"/>
        </w:rPr>
        <w:t>监理人</w:t>
      </w:r>
      <w:r>
        <w:rPr>
          <w:rFonts w:hint="eastAsia"/>
          <w:color w:val="auto"/>
          <w:highlight w:val="none"/>
        </w:rPr>
        <w:t>签发给承包人的支付证书中予以扣除。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⑶有关本工程索赔的文件的编制和审核均须经注册造价工程师签字盖章确认。</w:t>
      </w:r>
    </w:p>
    <w:p>
      <w:pPr>
        <w:adjustRightInd w:val="0"/>
        <w:snapToGrid w:val="0"/>
        <w:spacing w:line="360" w:lineRule="auto"/>
        <w:ind w:left="178"/>
        <w:rPr>
          <w:color w:val="auto"/>
          <w:sz w:val="28"/>
          <w:highlight w:val="none"/>
        </w:rPr>
      </w:pPr>
      <w:r>
        <w:rPr>
          <w:b/>
          <w:color w:val="auto"/>
          <w:sz w:val="28"/>
          <w:highlight w:val="none"/>
        </w:rPr>
        <w:t>30</w:t>
      </w:r>
      <w:r>
        <w:rPr>
          <w:rFonts w:hint="eastAsia"/>
          <w:b/>
          <w:color w:val="auto"/>
          <w:sz w:val="28"/>
          <w:highlight w:val="none"/>
        </w:rPr>
        <w:t>争议解决</w:t>
      </w:r>
    </w:p>
    <w:p>
      <w:pPr>
        <w:adjustRightInd w:val="0"/>
        <w:snapToGrid w:val="0"/>
        <w:spacing w:line="360" w:lineRule="auto"/>
        <w:ind w:left="359"/>
        <w:rPr>
          <w:color w:val="auto"/>
          <w:highlight w:val="none"/>
        </w:rPr>
      </w:pPr>
      <w:r>
        <w:rPr>
          <w:b/>
          <w:color w:val="auto"/>
          <w:highlight w:val="none"/>
        </w:rPr>
        <w:t>30.1</w:t>
      </w:r>
      <w:r>
        <w:rPr>
          <w:rFonts w:hint="eastAsia"/>
          <w:b/>
          <w:color w:val="auto"/>
          <w:highlight w:val="none"/>
        </w:rPr>
        <w:t>争议的解决方式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⑴凡因本合同引起的或与本合同有关的任何争议，发包人与承包人可自行和解，和解不成的可提交</w:t>
      </w:r>
      <w:r>
        <w:rPr>
          <w:rFonts w:hint="eastAsia"/>
          <w:b/>
          <w:i/>
          <w:color w:val="auto"/>
          <w:highlight w:val="none"/>
        </w:rPr>
        <w:t>专用条款</w:t>
      </w:r>
      <w:r>
        <w:rPr>
          <w:rFonts w:hint="eastAsia"/>
          <w:color w:val="auto"/>
          <w:highlight w:val="none"/>
        </w:rPr>
        <w:t>中约定的机构进行调解。和解或调解成功的，发包人和承包人应签订书面和解协议。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⑵发包人或承包人一方不愿调解或调解不成的，双方可按</w:t>
      </w:r>
      <w:r>
        <w:rPr>
          <w:rFonts w:hint="eastAsia"/>
          <w:b/>
          <w:i/>
          <w:color w:val="auto"/>
          <w:highlight w:val="none"/>
        </w:rPr>
        <w:t>专用条款</w:t>
      </w:r>
      <w:r>
        <w:rPr>
          <w:rFonts w:hint="eastAsia"/>
          <w:color w:val="auto"/>
          <w:highlight w:val="none"/>
        </w:rPr>
        <w:t>中约定的方式申请仲裁或提起诉讼解决争议。</w:t>
      </w:r>
    </w:p>
    <w:p>
      <w:pPr>
        <w:adjustRightInd w:val="0"/>
        <w:snapToGrid w:val="0"/>
        <w:spacing w:line="360" w:lineRule="auto"/>
        <w:ind w:left="359"/>
        <w:rPr>
          <w:color w:val="auto"/>
          <w:highlight w:val="none"/>
        </w:rPr>
      </w:pPr>
      <w:r>
        <w:rPr>
          <w:b/>
          <w:color w:val="auto"/>
          <w:highlight w:val="none"/>
        </w:rPr>
        <w:t>30.2</w:t>
      </w:r>
      <w:r>
        <w:rPr>
          <w:rFonts w:hint="eastAsia"/>
          <w:b/>
          <w:color w:val="auto"/>
          <w:highlight w:val="none"/>
        </w:rPr>
        <w:t>继续履行合同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发生争议后，除非出现下列情况及本合同另有约定的情况，双方都应继续履行合同，保持施工连续，保护好已完工程：</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⑴单方违约导致合同确已无法履行，双方协议停止施工；</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⑵调解要求停止施工，且为双方接受；</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⑶仲裁机构要求停止施工；</w:t>
      </w:r>
    </w:p>
    <w:p>
      <w:pPr>
        <w:tabs>
          <w:tab w:val="left" w:pos="1620"/>
          <w:tab w:val="left" w:pos="2340"/>
        </w:tabs>
        <w:adjustRightInd w:val="0"/>
        <w:snapToGrid w:val="0"/>
        <w:spacing w:line="360" w:lineRule="auto"/>
        <w:ind w:left="1079"/>
        <w:rPr>
          <w:color w:val="auto"/>
          <w:highlight w:val="none"/>
        </w:rPr>
      </w:pPr>
      <w:r>
        <w:rPr>
          <w:rFonts w:hint="eastAsia"/>
          <w:color w:val="auto"/>
          <w:highlight w:val="none"/>
        </w:rPr>
        <w:t>⑷法院要求停止施工。</w:t>
      </w:r>
    </w:p>
    <w:p>
      <w:pPr>
        <w:adjustRightInd w:val="0"/>
        <w:snapToGrid w:val="0"/>
        <w:spacing w:line="360" w:lineRule="auto"/>
        <w:ind w:left="178"/>
        <w:rPr>
          <w:color w:val="auto"/>
          <w:sz w:val="28"/>
          <w:highlight w:val="none"/>
        </w:rPr>
      </w:pPr>
      <w:r>
        <w:rPr>
          <w:b/>
          <w:color w:val="auto"/>
          <w:sz w:val="28"/>
          <w:highlight w:val="none"/>
        </w:rPr>
        <w:t>31</w:t>
      </w:r>
      <w:r>
        <w:rPr>
          <w:rFonts w:hint="eastAsia"/>
          <w:b/>
          <w:color w:val="auto"/>
          <w:sz w:val="28"/>
          <w:highlight w:val="none"/>
        </w:rPr>
        <w:t>工程缺陷责任与保修</w:t>
      </w:r>
    </w:p>
    <w:p>
      <w:pPr>
        <w:adjustRightInd w:val="0"/>
        <w:snapToGrid w:val="0"/>
        <w:spacing w:line="360" w:lineRule="auto"/>
        <w:ind w:left="359"/>
        <w:rPr>
          <w:color w:val="auto"/>
          <w:highlight w:val="none"/>
        </w:rPr>
      </w:pPr>
      <w:r>
        <w:rPr>
          <w:b/>
          <w:color w:val="auto"/>
          <w:highlight w:val="none"/>
        </w:rPr>
        <w:t>31.1</w:t>
      </w:r>
      <w:r>
        <w:rPr>
          <w:rFonts w:hint="eastAsia"/>
          <w:b/>
          <w:color w:val="auto"/>
          <w:highlight w:val="none"/>
        </w:rPr>
        <w:t>工程保修的原则</w:t>
      </w:r>
    </w:p>
    <w:p>
      <w:pPr>
        <w:tabs>
          <w:tab w:val="left" w:pos="1620"/>
          <w:tab w:val="left" w:pos="2340"/>
        </w:tabs>
        <w:adjustRightInd w:val="0"/>
        <w:snapToGrid w:val="0"/>
        <w:spacing w:line="360" w:lineRule="auto"/>
        <w:ind w:left="899"/>
        <w:rPr>
          <w:color w:val="auto"/>
          <w:highlight w:val="none"/>
        </w:rPr>
      </w:pPr>
      <w:r>
        <w:rPr>
          <w:color w:val="auto"/>
          <w:highlight w:val="none"/>
        </w:rP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line="360" w:lineRule="auto"/>
        <w:ind w:left="359"/>
        <w:rPr>
          <w:color w:val="auto"/>
          <w:highlight w:val="none"/>
        </w:rPr>
      </w:pPr>
      <w:r>
        <w:rPr>
          <w:b/>
          <w:color w:val="auto"/>
          <w:highlight w:val="none"/>
        </w:rPr>
        <w:t>31.2</w:t>
      </w:r>
      <w:r>
        <w:rPr>
          <w:rFonts w:hint="eastAsia"/>
          <w:b/>
          <w:color w:val="auto"/>
          <w:highlight w:val="none"/>
        </w:rPr>
        <w:t>缺陷责任期</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缺陷责任期自</w:t>
      </w:r>
      <w:r>
        <w:rPr>
          <w:rFonts w:hint="eastAsia"/>
          <w:color w:val="auto"/>
          <w:highlight w:val="none"/>
        </w:rPr>
        <w:t>实际竣工日期</w:t>
      </w:r>
      <w:r>
        <w:rPr>
          <w:color w:val="auto"/>
          <w:highlight w:val="none"/>
        </w:rPr>
        <w:t>起计算，承发包双方应在</w:t>
      </w:r>
      <w:r>
        <w:rPr>
          <w:b/>
          <w:i/>
          <w:color w:val="auto"/>
          <w:highlight w:val="none"/>
        </w:rPr>
        <w:t>专用条款</w:t>
      </w:r>
      <w:r>
        <w:rPr>
          <w:color w:val="auto"/>
          <w:highlight w:val="none"/>
        </w:rPr>
        <w:t>约定缺陷责任期的具体期限，但该期限最长不超过24个月。</w:t>
      </w:r>
    </w:p>
    <w:p>
      <w:pPr>
        <w:tabs>
          <w:tab w:val="left" w:pos="1620"/>
          <w:tab w:val="left" w:pos="2340"/>
        </w:tabs>
        <w:adjustRightInd w:val="0"/>
        <w:snapToGrid w:val="0"/>
        <w:spacing w:line="360" w:lineRule="auto"/>
        <w:ind w:left="899"/>
        <w:rPr>
          <w:color w:val="auto"/>
          <w:highlight w:val="none"/>
        </w:rPr>
      </w:pPr>
      <w:r>
        <w:rPr>
          <w:color w:val="auto"/>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w:t>
      </w:r>
      <w:r>
        <w:rPr>
          <w:rFonts w:hint="eastAsia"/>
          <w:color w:val="auto"/>
          <w:highlight w:val="none"/>
        </w:rPr>
        <w:t>第91天（含）</w:t>
      </w:r>
      <w:r>
        <w:rPr>
          <w:color w:val="auto"/>
          <w:highlight w:val="none"/>
        </w:rPr>
        <w:t>开始计算；发包人未经竣工验收擅自使用工程的，缺陷责任期自工程转移占有之日起开始计算。</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任何一项缺陷或损坏修复后，经检查证明其影响了工程或工程设备的使用性能，承包人应重新进行合同约定的试验和试运行，试验和试运行的全部费用应由责任方承担。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w:t>
      </w:r>
      <w:r>
        <w:rPr>
          <w:color w:val="auto"/>
          <w:highlight w:val="none"/>
        </w:rPr>
        <w:t>除</w:t>
      </w:r>
      <w:r>
        <w:rPr>
          <w:b/>
          <w:i/>
          <w:color w:val="auto"/>
          <w:highlight w:val="none"/>
        </w:rPr>
        <w:t>专用条款</w:t>
      </w:r>
      <w:r>
        <w:rPr>
          <w:color w:val="auto"/>
          <w:highlight w:val="none"/>
        </w:rPr>
        <w:t>另有约定外，承包人应于缺陷责任期届满后7天内向发包人发出缺陷责任期</w:t>
      </w:r>
      <w:r>
        <w:rPr>
          <w:rFonts w:hint="eastAsia"/>
          <w:color w:val="auto"/>
          <w:highlight w:val="none"/>
        </w:rPr>
        <w:t>届</w:t>
      </w:r>
      <w:r>
        <w:rPr>
          <w:color w:val="auto"/>
          <w:highlight w:val="none"/>
        </w:rPr>
        <w:t>满通知，发包人应在</w:t>
      </w:r>
      <w:r>
        <w:rPr>
          <w:rFonts w:hint="eastAsia"/>
          <w:color w:val="auto"/>
          <w:highlight w:val="none"/>
        </w:rPr>
        <w:t>收</w:t>
      </w:r>
      <w:r>
        <w:rPr>
          <w:color w:val="auto"/>
          <w:highlight w:val="none"/>
        </w:rPr>
        <w:t>到缺陷责任期满通知后14天内核实承包人是否履行缺陷</w:t>
      </w:r>
      <w:r>
        <w:rPr>
          <w:rFonts w:hint="eastAsia"/>
          <w:color w:val="auto"/>
          <w:highlight w:val="none"/>
        </w:rPr>
        <w:t>修复</w:t>
      </w:r>
      <w:r>
        <w:rPr>
          <w:color w:val="auto"/>
          <w:highlight w:val="none"/>
        </w:rPr>
        <w:t>义务，承包人未能履行缺陷</w:t>
      </w:r>
      <w:r>
        <w:rPr>
          <w:rFonts w:hint="eastAsia"/>
          <w:color w:val="auto"/>
          <w:highlight w:val="none"/>
        </w:rPr>
        <w:t>修复</w:t>
      </w:r>
      <w:r>
        <w:rPr>
          <w:color w:val="auto"/>
          <w:highlight w:val="none"/>
        </w:rPr>
        <w:t>义务的，发包人有权扣除相应金额的维修费用。发包人应在</w:t>
      </w:r>
      <w:r>
        <w:rPr>
          <w:rFonts w:hint="eastAsia"/>
          <w:color w:val="auto"/>
          <w:highlight w:val="none"/>
        </w:rPr>
        <w:t>收到</w:t>
      </w:r>
      <w:r>
        <w:rPr>
          <w:color w:val="auto"/>
          <w:highlight w:val="none"/>
        </w:rPr>
        <w:t>缺陷责任期</w:t>
      </w:r>
      <w:r>
        <w:rPr>
          <w:rFonts w:hint="eastAsia"/>
          <w:color w:val="auto"/>
          <w:highlight w:val="none"/>
        </w:rPr>
        <w:t>届</w:t>
      </w:r>
      <w:r>
        <w:rPr>
          <w:color w:val="auto"/>
          <w:highlight w:val="none"/>
        </w:rPr>
        <w:t>满</w:t>
      </w:r>
      <w:r>
        <w:rPr>
          <w:rFonts w:hint="eastAsia"/>
          <w:color w:val="auto"/>
          <w:highlight w:val="none"/>
        </w:rPr>
        <w:t>通知后</w:t>
      </w:r>
      <w:r>
        <w:rPr>
          <w:color w:val="auto"/>
          <w:highlight w:val="none"/>
        </w:rPr>
        <w:t>14天内，向承包人颁发缺陷责任期终止证</w:t>
      </w:r>
      <w:r>
        <w:rPr>
          <w:rFonts w:hint="eastAsia"/>
          <w:color w:val="auto"/>
          <w:highlight w:val="none"/>
        </w:rPr>
        <w:t>书</w:t>
      </w:r>
      <w:r>
        <w:rPr>
          <w:color w:val="auto"/>
          <w:highlight w:val="none"/>
        </w:rPr>
        <w:t>。</w:t>
      </w:r>
    </w:p>
    <w:p>
      <w:pPr>
        <w:adjustRightInd w:val="0"/>
        <w:snapToGrid w:val="0"/>
        <w:spacing w:line="360" w:lineRule="auto"/>
        <w:ind w:left="359"/>
        <w:rPr>
          <w:color w:val="auto"/>
          <w:highlight w:val="none"/>
        </w:rPr>
      </w:pPr>
      <w:r>
        <w:rPr>
          <w:b/>
          <w:color w:val="auto"/>
          <w:highlight w:val="none"/>
        </w:rPr>
        <w:t>31.3</w:t>
      </w:r>
      <w:r>
        <w:rPr>
          <w:rFonts w:hint="eastAsia"/>
          <w:b/>
          <w:color w:val="auto"/>
          <w:highlight w:val="none"/>
        </w:rPr>
        <w:t>质量保证金</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⑴经承发包双方协商一致扣留质量保证金的，应在</w:t>
      </w:r>
      <w:r>
        <w:rPr>
          <w:rFonts w:hint="eastAsia"/>
          <w:b/>
          <w:i/>
          <w:color w:val="auto"/>
          <w:highlight w:val="none"/>
        </w:rPr>
        <w:t>专用条款</w:t>
      </w:r>
      <w:r>
        <w:rPr>
          <w:rFonts w:hint="eastAsia"/>
          <w:color w:val="auto"/>
          <w:highlight w:val="none"/>
        </w:rPr>
        <w:t>中予以明确。</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⑵承包人提供</w:t>
      </w:r>
      <w:r>
        <w:rPr>
          <w:color w:val="auto"/>
          <w:highlight w:val="none"/>
        </w:rPr>
        <w:t>质量保证金</w:t>
      </w:r>
      <w:r>
        <w:rPr>
          <w:rFonts w:hint="eastAsia"/>
          <w:color w:val="auto"/>
          <w:highlight w:val="none"/>
        </w:rPr>
        <w:t>有</w:t>
      </w:r>
      <w:r>
        <w:rPr>
          <w:color w:val="auto"/>
          <w:highlight w:val="none"/>
        </w:rPr>
        <w:t>以下</w:t>
      </w:r>
      <w:r>
        <w:rPr>
          <w:rFonts w:hint="eastAsia"/>
          <w:color w:val="auto"/>
          <w:highlight w:val="none"/>
        </w:rPr>
        <w:t>三种方</w:t>
      </w:r>
      <w:r>
        <w:rPr>
          <w:color w:val="auto"/>
          <w:highlight w:val="none"/>
        </w:rPr>
        <w:t>式：</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①</w:t>
      </w:r>
      <w:r>
        <w:rPr>
          <w:color w:val="auto"/>
          <w:highlight w:val="none"/>
        </w:rPr>
        <w:t>质量保证金保函；</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②</w:t>
      </w:r>
      <w:r>
        <w:rPr>
          <w:color w:val="auto"/>
          <w:highlight w:val="none"/>
        </w:rPr>
        <w:t>相应比例的工程款；</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③</w:t>
      </w:r>
      <w:r>
        <w:rPr>
          <w:color w:val="auto"/>
          <w:highlight w:val="none"/>
        </w:rPr>
        <w:t>双方约定的其他</w:t>
      </w:r>
      <w:r>
        <w:rPr>
          <w:rFonts w:hint="eastAsia"/>
          <w:color w:val="auto"/>
          <w:highlight w:val="none"/>
        </w:rPr>
        <w:t>方</w:t>
      </w:r>
      <w:r>
        <w:rPr>
          <w:color w:val="auto"/>
          <w:highlight w:val="none"/>
        </w:rPr>
        <w:t>式。</w:t>
      </w:r>
    </w:p>
    <w:p>
      <w:pPr>
        <w:tabs>
          <w:tab w:val="left" w:pos="1620"/>
          <w:tab w:val="left" w:pos="2340"/>
        </w:tabs>
        <w:adjustRightInd w:val="0"/>
        <w:snapToGrid w:val="0"/>
        <w:spacing w:line="360" w:lineRule="auto"/>
        <w:ind w:left="899"/>
        <w:rPr>
          <w:color w:val="auto"/>
          <w:highlight w:val="none"/>
        </w:rPr>
      </w:pPr>
      <w:r>
        <w:rPr>
          <w:color w:val="auto"/>
          <w:highlight w:val="none"/>
        </w:rPr>
        <w:t>除</w:t>
      </w:r>
      <w:r>
        <w:rPr>
          <w:b/>
          <w:i/>
          <w:color w:val="auto"/>
          <w:highlight w:val="none"/>
        </w:rPr>
        <w:t>专用条款</w:t>
      </w:r>
      <w:r>
        <w:rPr>
          <w:color w:val="auto"/>
          <w:highlight w:val="none"/>
        </w:rPr>
        <w:t>另有约定外，质量保证金</w:t>
      </w:r>
      <w:r>
        <w:rPr>
          <w:rFonts w:hint="eastAsia"/>
          <w:color w:val="auto"/>
          <w:highlight w:val="none"/>
        </w:rPr>
        <w:t>原则上</w:t>
      </w:r>
      <w:r>
        <w:rPr>
          <w:color w:val="auto"/>
          <w:highlight w:val="none"/>
        </w:rPr>
        <w:t>采</w:t>
      </w:r>
      <w:r>
        <w:rPr>
          <w:rFonts w:hint="eastAsia"/>
          <w:color w:val="auto"/>
          <w:highlight w:val="none"/>
        </w:rPr>
        <w:t>用上述</w:t>
      </w:r>
      <w:r>
        <w:rPr>
          <w:color w:val="auto"/>
          <w:highlight w:val="none"/>
        </w:rPr>
        <w:t>第</w:t>
      </w:r>
      <w:r>
        <w:rPr>
          <w:rFonts w:hint="eastAsia"/>
          <w:color w:val="auto"/>
          <w:highlight w:val="none"/>
        </w:rPr>
        <w:t>①</w:t>
      </w:r>
      <w:r>
        <w:rPr>
          <w:color w:val="auto"/>
          <w:highlight w:val="none"/>
        </w:rPr>
        <w:t>种</w:t>
      </w:r>
      <w:r>
        <w:rPr>
          <w:rFonts w:hint="eastAsia"/>
          <w:color w:val="auto"/>
          <w:highlight w:val="none"/>
        </w:rPr>
        <w:t>方式。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质量保证金</w:t>
      </w:r>
      <w:r>
        <w:rPr>
          <w:rFonts w:hint="eastAsia"/>
          <w:color w:val="auto"/>
          <w:highlight w:val="none"/>
        </w:rPr>
        <w:t>的</w:t>
      </w:r>
      <w:r>
        <w:rPr>
          <w:color w:val="auto"/>
          <w:highlight w:val="none"/>
        </w:rPr>
        <w:t>扣留</w:t>
      </w:r>
      <w:r>
        <w:rPr>
          <w:rFonts w:hint="eastAsia"/>
          <w:color w:val="auto"/>
          <w:highlight w:val="none"/>
        </w:rPr>
        <w:t>有</w:t>
      </w:r>
      <w:r>
        <w:rPr>
          <w:color w:val="auto"/>
          <w:highlight w:val="none"/>
        </w:rPr>
        <w:t>以下</w:t>
      </w:r>
      <w:r>
        <w:rPr>
          <w:rFonts w:hint="eastAsia"/>
          <w:color w:val="auto"/>
          <w:highlight w:val="none"/>
        </w:rPr>
        <w:t>三</w:t>
      </w:r>
      <w:r>
        <w:rPr>
          <w:color w:val="auto"/>
          <w:highlight w:val="none"/>
        </w:rPr>
        <w:t>种</w:t>
      </w:r>
      <w:r>
        <w:rPr>
          <w:rFonts w:hint="eastAsia"/>
          <w:color w:val="auto"/>
          <w:highlight w:val="none"/>
        </w:rPr>
        <w:t>方式</w:t>
      </w:r>
      <w:r>
        <w:rPr>
          <w:color w:val="auto"/>
          <w:highlight w:val="none"/>
        </w:rPr>
        <w:t>：</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①</w:t>
      </w:r>
      <w:r>
        <w:rPr>
          <w:color w:val="auto"/>
          <w:highlight w:val="none"/>
        </w:rPr>
        <w:t>在支付工程进度款时逐次扣留，在此情形下，质量保证金的计算基数不包括预付款的支付、扣回以及价格调整的金额；</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②</w:t>
      </w:r>
      <w:r>
        <w:rPr>
          <w:color w:val="auto"/>
          <w:highlight w:val="none"/>
        </w:rPr>
        <w:t>工程竣工结算时一次性扣留质量保证金；</w:t>
      </w:r>
    </w:p>
    <w:p>
      <w:pPr>
        <w:tabs>
          <w:tab w:val="left" w:pos="1620"/>
          <w:tab w:val="left" w:pos="2340"/>
        </w:tabs>
        <w:adjustRightInd w:val="0"/>
        <w:snapToGrid w:val="0"/>
        <w:spacing w:line="360" w:lineRule="auto"/>
        <w:ind w:left="1267" w:leftChars="528"/>
        <w:rPr>
          <w:color w:val="auto"/>
          <w:highlight w:val="none"/>
        </w:rPr>
      </w:pPr>
      <w:r>
        <w:rPr>
          <w:rFonts w:hint="eastAsia"/>
          <w:color w:val="auto"/>
          <w:highlight w:val="none"/>
        </w:rPr>
        <w:t>③</w:t>
      </w:r>
      <w:r>
        <w:rPr>
          <w:color w:val="auto"/>
          <w:highlight w:val="none"/>
        </w:rPr>
        <w:t>双方约定的其他扣留方式。</w:t>
      </w:r>
    </w:p>
    <w:p>
      <w:pPr>
        <w:tabs>
          <w:tab w:val="left" w:pos="1620"/>
          <w:tab w:val="left" w:pos="2340"/>
        </w:tabs>
        <w:adjustRightInd w:val="0"/>
        <w:snapToGrid w:val="0"/>
        <w:spacing w:line="360" w:lineRule="auto"/>
        <w:ind w:left="899"/>
        <w:rPr>
          <w:color w:val="auto"/>
          <w:highlight w:val="none"/>
        </w:rPr>
      </w:pPr>
      <w:r>
        <w:rPr>
          <w:color w:val="auto"/>
          <w:highlight w:val="none"/>
        </w:rPr>
        <w:t>除</w:t>
      </w:r>
      <w:r>
        <w:rPr>
          <w:b/>
          <w:i/>
          <w:color w:val="auto"/>
          <w:highlight w:val="none"/>
        </w:rPr>
        <w:t>专用条款</w:t>
      </w:r>
      <w:r>
        <w:rPr>
          <w:color w:val="auto"/>
          <w:highlight w:val="none"/>
        </w:rPr>
        <w:t>另有约定外，质量保证金</w:t>
      </w:r>
      <w:r>
        <w:rPr>
          <w:rFonts w:hint="eastAsia"/>
          <w:color w:val="auto"/>
          <w:highlight w:val="none"/>
        </w:rPr>
        <w:t>的</w:t>
      </w:r>
      <w:r>
        <w:rPr>
          <w:color w:val="auto"/>
          <w:highlight w:val="none"/>
        </w:rPr>
        <w:t>扣留</w:t>
      </w:r>
      <w:r>
        <w:rPr>
          <w:rFonts w:hint="eastAsia"/>
          <w:color w:val="auto"/>
          <w:highlight w:val="none"/>
        </w:rPr>
        <w:t>原则上</w:t>
      </w:r>
      <w:r>
        <w:rPr>
          <w:color w:val="auto"/>
          <w:highlight w:val="none"/>
        </w:rPr>
        <w:t>采</w:t>
      </w:r>
      <w:r>
        <w:rPr>
          <w:rFonts w:hint="eastAsia"/>
          <w:color w:val="auto"/>
          <w:highlight w:val="none"/>
        </w:rPr>
        <w:t>用上述</w:t>
      </w:r>
      <w:r>
        <w:rPr>
          <w:color w:val="auto"/>
          <w:highlight w:val="none"/>
        </w:rPr>
        <w:t>第</w:t>
      </w:r>
      <w:r>
        <w:rPr>
          <w:rFonts w:hint="eastAsia"/>
          <w:color w:val="auto"/>
          <w:highlight w:val="none"/>
        </w:rPr>
        <w:t>①</w:t>
      </w:r>
      <w:r>
        <w:rPr>
          <w:color w:val="auto"/>
          <w:highlight w:val="none"/>
        </w:rPr>
        <w:t>种方式</w:t>
      </w:r>
      <w:r>
        <w:rPr>
          <w:rFonts w:hint="eastAsia"/>
          <w:color w:val="auto"/>
          <w:highlight w:val="none"/>
        </w:rPr>
        <w:t>。但在工程项目竣工前，承包人已提供履约担保的，发包人不得同时预留质量保证金。</w:t>
      </w:r>
    </w:p>
    <w:p>
      <w:pPr>
        <w:tabs>
          <w:tab w:val="left" w:pos="1620"/>
          <w:tab w:val="left" w:pos="2340"/>
        </w:tabs>
        <w:adjustRightInd w:val="0"/>
        <w:snapToGrid w:val="0"/>
        <w:spacing w:line="360" w:lineRule="auto"/>
        <w:ind w:left="899"/>
        <w:rPr>
          <w:color w:val="auto"/>
          <w:highlight w:val="none"/>
        </w:rPr>
      </w:pPr>
      <w:r>
        <w:rPr>
          <w:color w:val="auto"/>
          <w:highlight w:val="none"/>
        </w:rPr>
        <w:t>发包人累计扣留的质量保证金不得超过结算合同价格的</w:t>
      </w:r>
      <w:r>
        <w:rPr>
          <w:rFonts w:hint="eastAsia"/>
          <w:color w:val="auto"/>
          <w:highlight w:val="none"/>
        </w:rPr>
        <w:t>3</w:t>
      </w:r>
      <w:r>
        <w:rPr>
          <w:color w:val="auto"/>
          <w:highlight w:val="none"/>
        </w:rPr>
        <w:t>%，</w:t>
      </w:r>
      <w:r>
        <w:rPr>
          <w:rFonts w:hint="eastAsia"/>
          <w:color w:val="auto"/>
          <w:highlight w:val="none"/>
        </w:rPr>
        <w:t>以银行保函替代预留保证金的，保函金额不得超过结算合同价格的3%。如</w:t>
      </w:r>
      <w:r>
        <w:rPr>
          <w:color w:val="auto"/>
          <w:highlight w:val="none"/>
        </w:rPr>
        <w:t>承包人在发包人签发竣工付款证书后28天内提交质量保证金保函，发包人应同时退还扣留的作为质量保证金的工程价款。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⑷发包人应</w:t>
      </w:r>
      <w:r>
        <w:rPr>
          <w:color w:val="auto"/>
          <w:highlight w:val="none"/>
        </w:rPr>
        <w:t>按</w:t>
      </w:r>
      <w:r>
        <w:rPr>
          <w:rFonts w:hint="eastAsia"/>
          <w:color w:val="auto"/>
          <w:highlight w:val="none"/>
        </w:rPr>
        <w:t>27</w:t>
      </w:r>
      <w:r>
        <w:rPr>
          <w:color w:val="auto"/>
          <w:highlight w:val="none"/>
        </w:rPr>
        <w:t>.</w:t>
      </w:r>
      <w:r>
        <w:rPr>
          <w:rFonts w:hint="eastAsia"/>
          <w:color w:val="auto"/>
          <w:highlight w:val="none"/>
        </w:rPr>
        <w:t>8</w:t>
      </w:r>
      <w:r>
        <w:rPr>
          <w:color w:val="auto"/>
          <w:highlight w:val="none"/>
        </w:rPr>
        <w:t>款</w:t>
      </w:r>
      <w:r>
        <w:rPr>
          <w:rFonts w:hint="eastAsia"/>
          <w:color w:val="auto"/>
          <w:highlight w:val="none"/>
        </w:rPr>
        <w:t>〔</w:t>
      </w:r>
      <w:r>
        <w:rPr>
          <w:color w:val="auto"/>
          <w:highlight w:val="none"/>
        </w:rPr>
        <w:t>最终结清</w:t>
      </w:r>
      <w:r>
        <w:rPr>
          <w:rFonts w:hint="eastAsia"/>
          <w:color w:val="auto"/>
          <w:highlight w:val="none"/>
        </w:rPr>
        <w:t>申请〕的</w:t>
      </w:r>
      <w:r>
        <w:rPr>
          <w:color w:val="auto"/>
          <w:highlight w:val="none"/>
        </w:rPr>
        <w:t>约定</w:t>
      </w:r>
      <w:r>
        <w:rPr>
          <w:rFonts w:hint="eastAsia"/>
          <w:color w:val="auto"/>
          <w:highlight w:val="none"/>
        </w:rPr>
        <w:t>退还</w:t>
      </w:r>
      <w:r>
        <w:rPr>
          <w:color w:val="auto"/>
          <w:highlight w:val="none"/>
        </w:rPr>
        <w:t>质量保证金。</w:t>
      </w:r>
    </w:p>
    <w:p>
      <w:pPr>
        <w:adjustRightInd w:val="0"/>
        <w:snapToGrid w:val="0"/>
        <w:spacing w:line="360" w:lineRule="auto"/>
        <w:ind w:left="359"/>
        <w:rPr>
          <w:color w:val="auto"/>
          <w:highlight w:val="none"/>
        </w:rPr>
      </w:pPr>
      <w:r>
        <w:rPr>
          <w:b/>
          <w:color w:val="auto"/>
          <w:highlight w:val="none"/>
        </w:rPr>
        <w:t>31.4保修责任</w:t>
      </w:r>
    </w:p>
    <w:p>
      <w:pPr>
        <w:tabs>
          <w:tab w:val="left" w:pos="1620"/>
          <w:tab w:val="left" w:pos="2340"/>
        </w:tabs>
        <w:adjustRightInd w:val="0"/>
        <w:snapToGrid w:val="0"/>
        <w:spacing w:line="360" w:lineRule="auto"/>
        <w:ind w:left="899"/>
        <w:rPr>
          <w:color w:val="auto"/>
          <w:highlight w:val="none"/>
        </w:rPr>
      </w:pPr>
      <w:r>
        <w:rPr>
          <w:color w:val="auto"/>
          <w:highlight w:val="none"/>
        </w:rPr>
        <w:t>工程保修期从工程竣工验收合格之日起算，具体分部分项工程的保修期由</w:t>
      </w:r>
      <w:r>
        <w:rPr>
          <w:rFonts w:hint="eastAsia"/>
          <w:color w:val="auto"/>
          <w:highlight w:val="none"/>
        </w:rPr>
        <w:t>承发包双方</w:t>
      </w:r>
      <w:r>
        <w:rPr>
          <w:color w:val="auto"/>
          <w:highlight w:val="none"/>
        </w:rPr>
        <w:t>在</w:t>
      </w:r>
      <w:r>
        <w:rPr>
          <w:b/>
          <w:i/>
          <w:color w:val="auto"/>
          <w:highlight w:val="none"/>
        </w:rPr>
        <w:t>专用条款</w:t>
      </w:r>
      <w:r>
        <w:rPr>
          <w:color w:val="auto"/>
          <w:highlight w:val="none"/>
        </w:rPr>
        <w:t>中约定，但不得低于法定最低保修年限。在工程保修期内，承包人应当根据有关法律规定以及合同约定承担保修责任。</w:t>
      </w:r>
    </w:p>
    <w:p>
      <w:pPr>
        <w:tabs>
          <w:tab w:val="left" w:pos="1620"/>
          <w:tab w:val="left" w:pos="2340"/>
        </w:tabs>
        <w:adjustRightInd w:val="0"/>
        <w:snapToGrid w:val="0"/>
        <w:spacing w:line="360" w:lineRule="auto"/>
        <w:ind w:left="899"/>
        <w:rPr>
          <w:color w:val="auto"/>
          <w:highlight w:val="none"/>
        </w:rPr>
      </w:pPr>
      <w:r>
        <w:rPr>
          <w:color w:val="auto"/>
          <w:highlight w:val="none"/>
        </w:rPr>
        <w:t>发包人未经竣工验收擅自使用工程的，保修期自转移占有之日起算。</w:t>
      </w:r>
    </w:p>
    <w:p>
      <w:pPr>
        <w:adjustRightInd w:val="0"/>
        <w:snapToGrid w:val="0"/>
        <w:spacing w:line="360" w:lineRule="auto"/>
        <w:ind w:left="359"/>
        <w:rPr>
          <w:color w:val="auto"/>
          <w:highlight w:val="none"/>
        </w:rPr>
      </w:pPr>
      <w:r>
        <w:rPr>
          <w:b/>
          <w:color w:val="auto"/>
          <w:highlight w:val="none"/>
        </w:rPr>
        <w:t>31.5修复费用</w:t>
      </w:r>
    </w:p>
    <w:p>
      <w:pPr>
        <w:tabs>
          <w:tab w:val="left" w:pos="1620"/>
          <w:tab w:val="left" w:pos="2340"/>
        </w:tabs>
        <w:adjustRightInd w:val="0"/>
        <w:snapToGrid w:val="0"/>
        <w:spacing w:line="360" w:lineRule="auto"/>
        <w:ind w:left="899"/>
        <w:rPr>
          <w:color w:val="auto"/>
          <w:highlight w:val="none"/>
        </w:rPr>
      </w:pPr>
      <w:r>
        <w:rPr>
          <w:color w:val="auto"/>
          <w:highlight w:val="none"/>
        </w:rPr>
        <w:t>保修期内，修复的费用按照以下约定处理：</w:t>
      </w:r>
    </w:p>
    <w:p>
      <w:pPr>
        <w:tabs>
          <w:tab w:val="left" w:pos="1620"/>
          <w:tab w:val="left" w:pos="2340"/>
        </w:tabs>
        <w:adjustRightInd w:val="0"/>
        <w:snapToGrid w:val="0"/>
        <w:spacing w:line="360" w:lineRule="auto"/>
        <w:ind w:left="899"/>
        <w:rPr>
          <w:color w:val="auto"/>
          <w:highlight w:val="none"/>
        </w:rPr>
      </w:pPr>
      <w:r>
        <w:rPr>
          <w:color w:val="auto"/>
          <w:highlight w:val="none"/>
        </w:rPr>
        <w:t>(1)保修期内，因承包人原因造成工程的缺陷、损坏，承包人应负责修复，并承担修复的费用以及因工程的缺陷、损坏造成的人身伤害和财产损失；</w:t>
      </w:r>
    </w:p>
    <w:p>
      <w:pPr>
        <w:tabs>
          <w:tab w:val="left" w:pos="1620"/>
          <w:tab w:val="left" w:pos="2340"/>
        </w:tabs>
        <w:adjustRightInd w:val="0"/>
        <w:snapToGrid w:val="0"/>
        <w:spacing w:line="360" w:lineRule="auto"/>
        <w:ind w:left="899"/>
        <w:rPr>
          <w:color w:val="auto"/>
          <w:highlight w:val="none"/>
        </w:rPr>
      </w:pPr>
      <w:r>
        <w:rPr>
          <w:color w:val="auto"/>
          <w:highlight w:val="none"/>
        </w:rPr>
        <w:t>(2)保修期内，因发包人使用不当造成工程的缺陷、损坏，可以委托承包人修复，但发包人应承担修复的费用，并支付承包人合理利润；</w:t>
      </w:r>
    </w:p>
    <w:p>
      <w:pPr>
        <w:tabs>
          <w:tab w:val="left" w:pos="1620"/>
          <w:tab w:val="left" w:pos="2340"/>
        </w:tabs>
        <w:adjustRightInd w:val="0"/>
        <w:snapToGrid w:val="0"/>
        <w:spacing w:line="360" w:lineRule="auto"/>
        <w:ind w:left="899"/>
        <w:rPr>
          <w:color w:val="auto"/>
          <w:highlight w:val="none"/>
        </w:rPr>
      </w:pPr>
      <w:r>
        <w:rPr>
          <w:color w:val="auto"/>
          <w:highlight w:val="none"/>
        </w:rP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line="360" w:lineRule="auto"/>
        <w:ind w:left="359"/>
        <w:rPr>
          <w:color w:val="auto"/>
          <w:highlight w:val="none"/>
        </w:rPr>
      </w:pPr>
      <w:r>
        <w:rPr>
          <w:b/>
          <w:color w:val="auto"/>
          <w:highlight w:val="none"/>
        </w:rPr>
        <w:t>31.6修复通知</w:t>
      </w:r>
    </w:p>
    <w:p>
      <w:pPr>
        <w:tabs>
          <w:tab w:val="left" w:pos="1620"/>
          <w:tab w:val="left" w:pos="2340"/>
        </w:tabs>
        <w:adjustRightInd w:val="0"/>
        <w:snapToGrid w:val="0"/>
        <w:spacing w:line="360" w:lineRule="auto"/>
        <w:ind w:left="899"/>
        <w:rPr>
          <w:color w:val="auto"/>
          <w:highlight w:val="none"/>
        </w:rPr>
      </w:pPr>
      <w:r>
        <w:rPr>
          <w:color w:val="auto"/>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b/>
          <w:i/>
          <w:color w:val="auto"/>
          <w:highlight w:val="none"/>
        </w:rPr>
        <w:t>专用条款</w:t>
      </w:r>
      <w:r>
        <w:rPr>
          <w:color w:val="auto"/>
          <w:highlight w:val="none"/>
        </w:rPr>
        <w:t>约定的合理期限内到达工程现场并修复缺陷或损坏。</w:t>
      </w:r>
    </w:p>
    <w:p>
      <w:pPr>
        <w:adjustRightInd w:val="0"/>
        <w:snapToGrid w:val="0"/>
        <w:spacing w:line="360" w:lineRule="auto"/>
        <w:ind w:left="359"/>
        <w:rPr>
          <w:color w:val="auto"/>
          <w:highlight w:val="none"/>
        </w:rPr>
      </w:pPr>
      <w:r>
        <w:rPr>
          <w:b/>
          <w:color w:val="auto"/>
          <w:highlight w:val="none"/>
        </w:rPr>
        <w:t>31.7未能修复</w:t>
      </w:r>
    </w:p>
    <w:p>
      <w:pPr>
        <w:tabs>
          <w:tab w:val="left" w:pos="1620"/>
          <w:tab w:val="left" w:pos="2340"/>
        </w:tabs>
        <w:adjustRightInd w:val="0"/>
        <w:snapToGrid w:val="0"/>
        <w:spacing w:line="360" w:lineRule="auto"/>
        <w:ind w:left="899"/>
        <w:rPr>
          <w:color w:val="auto"/>
          <w:highlight w:val="none"/>
        </w:rPr>
      </w:pPr>
      <w:r>
        <w:rPr>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color w:val="auto"/>
          <w:highlight w:val="none"/>
        </w:rPr>
        <w:t>但修复范围超出缺陷或损坏范围的，超出范围部分的修复费用由发包人承担。</w:t>
      </w:r>
    </w:p>
    <w:p>
      <w:pPr>
        <w:adjustRightInd w:val="0"/>
        <w:snapToGrid w:val="0"/>
        <w:spacing w:line="360" w:lineRule="auto"/>
        <w:ind w:left="359"/>
        <w:rPr>
          <w:color w:val="auto"/>
          <w:highlight w:val="none"/>
        </w:rPr>
      </w:pPr>
      <w:r>
        <w:rPr>
          <w:b/>
          <w:color w:val="auto"/>
          <w:highlight w:val="none"/>
        </w:rPr>
        <w:t>31.8承包人出入权</w:t>
      </w:r>
    </w:p>
    <w:p>
      <w:pPr>
        <w:tabs>
          <w:tab w:val="left" w:pos="1620"/>
          <w:tab w:val="left" w:pos="2340"/>
        </w:tabs>
        <w:adjustRightInd w:val="0"/>
        <w:snapToGrid w:val="0"/>
        <w:spacing w:line="360" w:lineRule="auto"/>
        <w:ind w:left="899"/>
        <w:rPr>
          <w:color w:val="auto"/>
          <w:highlight w:val="none"/>
        </w:rPr>
      </w:pPr>
      <w:r>
        <w:rPr>
          <w:color w:val="auto"/>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djustRightInd w:val="0"/>
        <w:snapToGrid w:val="0"/>
        <w:spacing w:line="360" w:lineRule="auto"/>
        <w:ind w:left="178"/>
        <w:rPr>
          <w:color w:val="auto"/>
          <w:sz w:val="28"/>
          <w:highlight w:val="none"/>
        </w:rPr>
      </w:pPr>
      <w:r>
        <w:rPr>
          <w:b/>
          <w:color w:val="auto"/>
          <w:sz w:val="28"/>
          <w:highlight w:val="none"/>
        </w:rPr>
        <w:t>32</w:t>
      </w:r>
      <w:r>
        <w:rPr>
          <w:rFonts w:hint="eastAsia"/>
          <w:b/>
          <w:color w:val="auto"/>
          <w:sz w:val="28"/>
          <w:highlight w:val="none"/>
        </w:rPr>
        <w:t>不可抗力</w:t>
      </w:r>
    </w:p>
    <w:p>
      <w:pPr>
        <w:adjustRightInd w:val="0"/>
        <w:snapToGrid w:val="0"/>
        <w:spacing w:line="360" w:lineRule="auto"/>
        <w:ind w:left="359"/>
        <w:rPr>
          <w:color w:val="auto"/>
          <w:highlight w:val="none"/>
        </w:rPr>
      </w:pPr>
      <w:r>
        <w:rPr>
          <w:b/>
          <w:color w:val="auto"/>
          <w:highlight w:val="none"/>
        </w:rPr>
        <w:t>32.1</w:t>
      </w:r>
      <w:r>
        <w:rPr>
          <w:rFonts w:hint="eastAsia"/>
          <w:b/>
          <w:color w:val="auto"/>
          <w:highlight w:val="none"/>
        </w:rPr>
        <w:t>不可抗力包括范围</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不可抗力事件是指发包人和承包人在订立合同时无法预见，在合同履行过程中不可避免发生并不能克服的自然灾害和社会突发事件，包括战争、恐怖活动、动乱、瘟疫、空中飞行物体坠落或其他非发包人与承包人责任造成的爆炸、火灾，以及地震、洪涝和</w:t>
      </w:r>
      <w:r>
        <w:rPr>
          <w:rFonts w:hint="eastAsia"/>
          <w:b/>
          <w:i/>
          <w:color w:val="auto"/>
          <w:highlight w:val="none"/>
        </w:rPr>
        <w:t>专用条款</w:t>
      </w:r>
      <w:r>
        <w:rPr>
          <w:rFonts w:hint="eastAsia"/>
          <w:color w:val="auto"/>
          <w:highlight w:val="none"/>
        </w:rPr>
        <w:t>约定的大风、暴雨、高温等自然灾害，以至于本合同部分或全部不能继续履行。</w:t>
      </w:r>
    </w:p>
    <w:p>
      <w:pPr>
        <w:adjustRightInd w:val="0"/>
        <w:snapToGrid w:val="0"/>
        <w:spacing w:line="360" w:lineRule="auto"/>
        <w:ind w:left="359"/>
        <w:rPr>
          <w:color w:val="auto"/>
          <w:highlight w:val="none"/>
        </w:rPr>
      </w:pPr>
      <w:r>
        <w:rPr>
          <w:b/>
          <w:color w:val="auto"/>
          <w:highlight w:val="none"/>
        </w:rPr>
        <w:t>32.2</w:t>
      </w:r>
      <w:r>
        <w:rPr>
          <w:rFonts w:hint="eastAsia"/>
          <w:b/>
          <w:color w:val="auto"/>
          <w:highlight w:val="none"/>
        </w:rPr>
        <w:t>不可抗力的确认</w:t>
      </w:r>
    </w:p>
    <w:p>
      <w:pPr>
        <w:tabs>
          <w:tab w:val="left" w:pos="1620"/>
          <w:tab w:val="left" w:pos="2340"/>
        </w:tabs>
        <w:adjustRightInd w:val="0"/>
        <w:snapToGrid w:val="0"/>
        <w:spacing w:line="360" w:lineRule="auto"/>
        <w:ind w:left="899"/>
        <w:rPr>
          <w:color w:val="auto"/>
          <w:highlight w:val="none"/>
        </w:rPr>
      </w:pPr>
      <w:r>
        <w:rPr>
          <w:color w:val="auto"/>
          <w:highlight w:val="none"/>
        </w:rPr>
        <w:t>不可抗力发生后，发包人和承包人应收集证明不可抗力发生及不可抗力造成损失的证据，并及时认真统计所造成的损失。承发包双方对是否属于不可抗力或其损失的意见不一致的，按第</w:t>
      </w:r>
      <w:r>
        <w:rPr>
          <w:rFonts w:hint="eastAsia"/>
          <w:color w:val="auto"/>
          <w:highlight w:val="none"/>
        </w:rPr>
        <w:t>3</w:t>
      </w:r>
      <w:r>
        <w:rPr>
          <w:color w:val="auto"/>
          <w:highlight w:val="none"/>
        </w:rPr>
        <w:t>0条</w:t>
      </w:r>
      <w:r>
        <w:rPr>
          <w:rFonts w:hint="eastAsia"/>
          <w:color w:val="auto"/>
          <w:highlight w:val="none"/>
        </w:rPr>
        <w:t>〔</w:t>
      </w:r>
      <w:r>
        <w:rPr>
          <w:color w:val="auto"/>
          <w:highlight w:val="none"/>
        </w:rPr>
        <w:t>争议解决</w:t>
      </w:r>
      <w:r>
        <w:rPr>
          <w:rFonts w:hint="eastAsia"/>
          <w:color w:val="auto"/>
          <w:highlight w:val="none"/>
        </w:rPr>
        <w:t>〕</w:t>
      </w:r>
      <w:r>
        <w:rPr>
          <w:color w:val="auto"/>
          <w:highlight w:val="none"/>
        </w:rPr>
        <w:t>的约定处理。</w:t>
      </w:r>
    </w:p>
    <w:p>
      <w:pPr>
        <w:adjustRightInd w:val="0"/>
        <w:snapToGrid w:val="0"/>
        <w:spacing w:line="360" w:lineRule="auto"/>
        <w:ind w:left="359"/>
        <w:rPr>
          <w:color w:val="auto"/>
          <w:highlight w:val="none"/>
        </w:rPr>
      </w:pPr>
      <w:r>
        <w:rPr>
          <w:b/>
          <w:color w:val="auto"/>
          <w:highlight w:val="none"/>
        </w:rPr>
        <w:t>32.3</w:t>
      </w:r>
      <w:r>
        <w:rPr>
          <w:rFonts w:hint="eastAsia"/>
          <w:b/>
          <w:color w:val="auto"/>
          <w:highlight w:val="none"/>
        </w:rPr>
        <w:t>不可抗力处理程序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⑴不可抗力事件发生后，承包人应立即通知</w:t>
      </w:r>
      <w:r>
        <w:rPr>
          <w:color w:val="auto"/>
          <w:highlight w:val="none"/>
        </w:rPr>
        <w:t>监理人</w:t>
      </w:r>
      <w:r>
        <w:rPr>
          <w:rFonts w:hint="eastAsia"/>
          <w:color w:val="auto"/>
          <w:highlight w:val="none"/>
        </w:rPr>
        <w:t>，并在力所能及的条件下迅速采取措施，尽力减少损失，发包人应协助承包人采取措施。</w:t>
      </w:r>
      <w:r>
        <w:rPr>
          <w:color w:val="auto"/>
          <w:highlight w:val="none"/>
        </w:rPr>
        <w:t>监理人</w:t>
      </w:r>
      <w:r>
        <w:rPr>
          <w:rFonts w:hint="eastAsia"/>
          <w:color w:val="auto"/>
          <w:highlight w:val="none"/>
        </w:rPr>
        <w:t>认为应暂停施工的，承包人应暂停施工。不可抗力事件结束后48小时内承包人向</w:t>
      </w:r>
      <w:r>
        <w:rPr>
          <w:color w:val="auto"/>
          <w:highlight w:val="none"/>
        </w:rPr>
        <w:t>监理人</w:t>
      </w:r>
      <w:r>
        <w:rPr>
          <w:rFonts w:hint="eastAsia"/>
          <w:color w:val="auto"/>
          <w:highlight w:val="none"/>
        </w:rPr>
        <w:t>通报受害情况以及预计清理和修复的费用。不可抗力事件持续发生，承包人应每隔7天向</w:t>
      </w:r>
      <w:r>
        <w:rPr>
          <w:color w:val="auto"/>
          <w:highlight w:val="none"/>
        </w:rPr>
        <w:t>监理人</w:t>
      </w:r>
      <w:r>
        <w:rPr>
          <w:rFonts w:hint="eastAsia"/>
          <w:color w:val="auto"/>
          <w:highlight w:val="none"/>
        </w:rPr>
        <w:t>报告一次受害情况。不可抗力事件结束后14天内，承包人向</w:t>
      </w:r>
      <w:r>
        <w:rPr>
          <w:color w:val="auto"/>
          <w:highlight w:val="none"/>
        </w:rPr>
        <w:t>监理人</w:t>
      </w:r>
      <w:r>
        <w:rPr>
          <w:rFonts w:hint="eastAsia"/>
          <w:color w:val="auto"/>
          <w:highlight w:val="none"/>
        </w:rPr>
        <w:t>提交清理和修复费用的正式报告及有关资料。</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⑵本工程的有关各方均应始终尽所有合理的努力，使不可抗力对本工程及履行本合同造成的损失减至最小。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⑶因发包人和承包人一方迟延履行合同后发生不可抗力的，不能免除迟延履行方的迟延履行责任。</w:t>
      </w:r>
    </w:p>
    <w:p>
      <w:pPr>
        <w:adjustRightInd w:val="0"/>
        <w:snapToGrid w:val="0"/>
        <w:spacing w:line="360" w:lineRule="auto"/>
        <w:ind w:left="359"/>
        <w:rPr>
          <w:color w:val="auto"/>
          <w:highlight w:val="none"/>
        </w:rPr>
      </w:pPr>
      <w:r>
        <w:rPr>
          <w:b/>
          <w:color w:val="auto"/>
          <w:highlight w:val="none"/>
        </w:rPr>
        <w:t>32.4</w:t>
      </w:r>
      <w:r>
        <w:rPr>
          <w:rFonts w:hint="eastAsia"/>
          <w:b/>
          <w:color w:val="auto"/>
          <w:highlight w:val="none"/>
        </w:rPr>
        <w:t>不可抗力损失费用承担</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因不可抗力事件导致的费用及延误的工期由发包人和承包人按以下方法分别承担：</w:t>
      </w:r>
    </w:p>
    <w:p>
      <w:pPr>
        <w:tabs>
          <w:tab w:val="left" w:pos="1620"/>
          <w:tab w:val="left" w:pos="2340"/>
        </w:tabs>
        <w:adjustRightInd w:val="0"/>
        <w:snapToGrid w:val="0"/>
        <w:spacing w:line="360" w:lineRule="auto"/>
        <w:ind w:left="899"/>
        <w:rPr>
          <w:color w:val="auto"/>
          <w:highlight w:val="none"/>
        </w:rPr>
      </w:pPr>
      <w:r>
        <w:rPr>
          <w:color w:val="auto"/>
          <w:highlight w:val="none"/>
        </w:rPr>
        <w:t>⑴</w:t>
      </w:r>
      <w:r>
        <w:rPr>
          <w:rFonts w:hint="eastAsia"/>
          <w:color w:val="auto"/>
          <w:highlight w:val="none"/>
        </w:rPr>
        <w:t>工程本身的损害、因工程损害导致第三方人员伤亡和财产损失以及运至施工场地用于施工的材料和待安装的设备的损害，由发包人承担；</w:t>
      </w:r>
    </w:p>
    <w:p>
      <w:pPr>
        <w:tabs>
          <w:tab w:val="left" w:pos="1620"/>
          <w:tab w:val="left" w:pos="2340"/>
        </w:tabs>
        <w:adjustRightInd w:val="0"/>
        <w:snapToGrid w:val="0"/>
        <w:spacing w:line="360" w:lineRule="auto"/>
        <w:ind w:left="899"/>
        <w:rPr>
          <w:color w:val="auto"/>
          <w:highlight w:val="none"/>
        </w:rPr>
      </w:pPr>
      <w:r>
        <w:rPr>
          <w:color w:val="auto"/>
          <w:highlight w:val="none"/>
        </w:rPr>
        <w:t>⑵</w:t>
      </w:r>
      <w:r>
        <w:rPr>
          <w:rFonts w:hint="eastAsia"/>
          <w:color w:val="auto"/>
          <w:highlight w:val="none"/>
        </w:rPr>
        <w:t>发包人、承包人人员伤亡由其所在单位负责，并承担相应费用；</w:t>
      </w:r>
    </w:p>
    <w:p>
      <w:pPr>
        <w:tabs>
          <w:tab w:val="left" w:pos="1620"/>
          <w:tab w:val="left" w:pos="2340"/>
        </w:tabs>
        <w:adjustRightInd w:val="0"/>
        <w:snapToGrid w:val="0"/>
        <w:spacing w:line="360" w:lineRule="auto"/>
        <w:ind w:left="899"/>
        <w:rPr>
          <w:color w:val="auto"/>
          <w:highlight w:val="none"/>
        </w:rPr>
      </w:pPr>
      <w:r>
        <w:rPr>
          <w:color w:val="auto"/>
          <w:highlight w:val="none"/>
        </w:rPr>
        <w:t>⑶</w:t>
      </w:r>
      <w:r>
        <w:rPr>
          <w:rFonts w:hint="eastAsia"/>
          <w:color w:val="auto"/>
          <w:highlight w:val="none"/>
        </w:rPr>
        <w:t>承包人装备损坏、用于本工程的周转材料损坏及停工损失，由承包人承担；发包人提供的施工机械、设备发生损坏，由发包人承担；</w:t>
      </w:r>
    </w:p>
    <w:p>
      <w:pPr>
        <w:tabs>
          <w:tab w:val="left" w:pos="1620"/>
          <w:tab w:val="left" w:pos="2340"/>
        </w:tabs>
        <w:adjustRightInd w:val="0"/>
        <w:snapToGrid w:val="0"/>
        <w:spacing w:line="360" w:lineRule="auto"/>
        <w:ind w:left="899"/>
        <w:rPr>
          <w:color w:val="auto"/>
          <w:highlight w:val="none"/>
        </w:rPr>
      </w:pPr>
      <w:r>
        <w:rPr>
          <w:color w:val="auto"/>
          <w:highlight w:val="none"/>
        </w:rPr>
        <w:t>⑷</w:t>
      </w:r>
      <w:r>
        <w:rPr>
          <w:rFonts w:hint="eastAsia"/>
          <w:color w:val="auto"/>
          <w:highlight w:val="none"/>
        </w:rPr>
        <w:t>因不可抗力导致停工期间，承包人应发包人或</w:t>
      </w:r>
      <w:r>
        <w:rPr>
          <w:color w:val="auto"/>
          <w:highlight w:val="none"/>
        </w:rPr>
        <w:t>监理人</w:t>
      </w:r>
      <w:r>
        <w:rPr>
          <w:rFonts w:hint="eastAsia"/>
          <w:color w:val="auto"/>
          <w:highlight w:val="none"/>
        </w:rPr>
        <w:t>要求留在施工场地的必要的管理人员及保卫人员的费用由发包人承担；</w:t>
      </w:r>
    </w:p>
    <w:p>
      <w:pPr>
        <w:tabs>
          <w:tab w:val="left" w:pos="1620"/>
          <w:tab w:val="left" w:pos="2340"/>
        </w:tabs>
        <w:adjustRightInd w:val="0"/>
        <w:snapToGrid w:val="0"/>
        <w:spacing w:line="360" w:lineRule="auto"/>
        <w:ind w:left="899"/>
        <w:rPr>
          <w:color w:val="auto"/>
          <w:highlight w:val="none"/>
        </w:rPr>
      </w:pPr>
      <w:r>
        <w:rPr>
          <w:color w:val="auto"/>
          <w:highlight w:val="none"/>
        </w:rPr>
        <w:t>⑸</w:t>
      </w:r>
      <w:r>
        <w:rPr>
          <w:rFonts w:hint="eastAsia"/>
          <w:color w:val="auto"/>
          <w:highlight w:val="none"/>
        </w:rPr>
        <w:t>工程所需清理、修复费用，由发包人承担；</w:t>
      </w:r>
    </w:p>
    <w:p>
      <w:pPr>
        <w:tabs>
          <w:tab w:val="left" w:pos="1620"/>
          <w:tab w:val="left" w:pos="2340"/>
        </w:tabs>
        <w:adjustRightInd w:val="0"/>
        <w:snapToGrid w:val="0"/>
        <w:spacing w:line="360" w:lineRule="auto"/>
        <w:ind w:left="899"/>
        <w:rPr>
          <w:color w:val="auto"/>
          <w:highlight w:val="none"/>
        </w:rPr>
      </w:pPr>
      <w:r>
        <w:rPr>
          <w:color w:val="auto"/>
          <w:highlight w:val="none"/>
        </w:rPr>
        <w:t>⑹</w:t>
      </w:r>
      <w:r>
        <w:rPr>
          <w:rFonts w:hint="eastAsia"/>
          <w:color w:val="auto"/>
          <w:highlight w:val="none"/>
        </w:rPr>
        <w:t>延误的工期相应顺延。</w:t>
      </w:r>
    </w:p>
    <w:p>
      <w:pPr>
        <w:adjustRightInd w:val="0"/>
        <w:snapToGrid w:val="0"/>
        <w:spacing w:line="360" w:lineRule="auto"/>
        <w:ind w:left="178"/>
        <w:rPr>
          <w:color w:val="auto"/>
          <w:sz w:val="28"/>
          <w:highlight w:val="none"/>
        </w:rPr>
      </w:pPr>
      <w:r>
        <w:rPr>
          <w:b/>
          <w:color w:val="auto"/>
          <w:sz w:val="28"/>
          <w:highlight w:val="none"/>
        </w:rPr>
        <w:t>33</w:t>
      </w:r>
      <w:r>
        <w:rPr>
          <w:rFonts w:hint="eastAsia"/>
          <w:b/>
          <w:color w:val="auto"/>
          <w:sz w:val="28"/>
          <w:highlight w:val="none"/>
        </w:rPr>
        <w:t>保险</w:t>
      </w:r>
    </w:p>
    <w:p>
      <w:pPr>
        <w:adjustRightInd w:val="0"/>
        <w:snapToGrid w:val="0"/>
        <w:spacing w:line="360" w:lineRule="auto"/>
        <w:ind w:left="359"/>
        <w:rPr>
          <w:color w:val="auto"/>
          <w:highlight w:val="none"/>
        </w:rPr>
      </w:pPr>
      <w:r>
        <w:rPr>
          <w:b/>
          <w:color w:val="auto"/>
          <w:highlight w:val="none"/>
        </w:rPr>
        <w:t>33.1</w:t>
      </w:r>
      <w:r>
        <w:rPr>
          <w:rFonts w:hint="eastAsia"/>
          <w:b/>
          <w:color w:val="auto"/>
          <w:highlight w:val="none"/>
        </w:rPr>
        <w:t>发包人办理的保险</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工程开工前，发包人应为本工程、施工场地内的自有人员、第三者人员生命财产、运至施工场地内用于永久工程的材料和待安装设备办理保险，支付保险费用。保险期从开工之日起至工程竣工验收合格之日止。发包人可以按</w:t>
      </w:r>
      <w:r>
        <w:rPr>
          <w:rFonts w:hint="eastAsia"/>
          <w:b/>
          <w:i/>
          <w:color w:val="auto"/>
          <w:highlight w:val="none"/>
        </w:rPr>
        <w:t>专用条款</w:t>
      </w:r>
      <w:r>
        <w:rPr>
          <w:rFonts w:hint="eastAsia"/>
          <w:color w:val="auto"/>
          <w:highlight w:val="none"/>
        </w:rPr>
        <w:t>的约定将上述有关保险事项委托承包人办理，费用由发包人承担。</w:t>
      </w:r>
    </w:p>
    <w:p>
      <w:pPr>
        <w:adjustRightInd w:val="0"/>
        <w:snapToGrid w:val="0"/>
        <w:spacing w:line="360" w:lineRule="auto"/>
        <w:ind w:left="359"/>
        <w:rPr>
          <w:color w:val="auto"/>
          <w:highlight w:val="none"/>
        </w:rPr>
      </w:pPr>
      <w:r>
        <w:rPr>
          <w:b/>
          <w:color w:val="auto"/>
          <w:highlight w:val="none"/>
        </w:rPr>
        <w:t>33.2</w:t>
      </w:r>
      <w:r>
        <w:rPr>
          <w:rFonts w:hint="eastAsia"/>
          <w:b/>
          <w:color w:val="auto"/>
          <w:highlight w:val="none"/>
        </w:rPr>
        <w:t>承包人办理的保险</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承包人必须为从事危险作业的职工办理意外伤害保险，并为施工场地内的自有人员生命财产及施工机械设备办理保险，支付保险费用。保险期从开工之日起至工程竣工验收合格之日止。</w:t>
      </w:r>
      <w:r>
        <w:rPr>
          <w:color w:val="auto"/>
          <w:highlight w:val="none"/>
        </w:rPr>
        <w:t>承包人在保险投保时还必须符合深圳市</w:t>
      </w:r>
      <w:r>
        <w:rPr>
          <w:rFonts w:hint="eastAsia"/>
          <w:color w:val="auto"/>
          <w:highlight w:val="none"/>
        </w:rPr>
        <w:t>有关员工和机械、设备保险办理规定。对于分包人的人员，此类保险应由分包人投保，但承包人应对其符合本条规定负责。</w:t>
      </w:r>
    </w:p>
    <w:p>
      <w:pPr>
        <w:adjustRightInd w:val="0"/>
        <w:snapToGrid w:val="0"/>
        <w:spacing w:line="360" w:lineRule="auto"/>
        <w:ind w:left="359"/>
        <w:rPr>
          <w:color w:val="auto"/>
          <w:highlight w:val="none"/>
        </w:rPr>
      </w:pPr>
      <w:r>
        <w:rPr>
          <w:b/>
          <w:color w:val="auto"/>
          <w:highlight w:val="none"/>
        </w:rPr>
        <w:t>33.3</w:t>
      </w:r>
      <w:r>
        <w:rPr>
          <w:rFonts w:hint="eastAsia"/>
          <w:b/>
          <w:color w:val="auto"/>
          <w:highlight w:val="none"/>
        </w:rPr>
        <w:t>投保人责任</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⑴发包人和承包人中一方应向另一方提供按本合同要求其投保的各项保险已经生效的证明。</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⑵当合同工程施工的性质、规模或工期以及人员发生变更时，被保险人应及时通知保险公司，并在合同履行期间按本合同保险条款的规定保证足够的保险额，因而造成的费用由责任人承担。</w:t>
      </w:r>
    </w:p>
    <w:p>
      <w:pPr>
        <w:adjustRightInd w:val="0"/>
        <w:snapToGrid w:val="0"/>
        <w:spacing w:line="360" w:lineRule="auto"/>
        <w:ind w:left="359"/>
        <w:rPr>
          <w:color w:val="auto"/>
          <w:highlight w:val="none"/>
        </w:rPr>
      </w:pPr>
      <w:r>
        <w:rPr>
          <w:b/>
          <w:color w:val="auto"/>
          <w:highlight w:val="none"/>
        </w:rPr>
        <w:t>33.4</w:t>
      </w:r>
      <w:r>
        <w:rPr>
          <w:rFonts w:hint="eastAsia"/>
          <w:b/>
          <w:color w:val="auto"/>
          <w:highlight w:val="none"/>
        </w:rPr>
        <w:t>保险理赔</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⑵从保险公司收到的因合同工程本身损失或损坏的保险赔偿金,应专款用于修复合同工程这些损失或损坏，或作为对未能修复合同工程这些损失或损坏的补偿。</w:t>
      </w:r>
    </w:p>
    <w:p>
      <w:pPr>
        <w:adjustRightInd w:val="0"/>
        <w:snapToGrid w:val="0"/>
        <w:spacing w:line="360" w:lineRule="auto"/>
        <w:ind w:left="359"/>
        <w:rPr>
          <w:color w:val="auto"/>
          <w:highlight w:val="none"/>
        </w:rPr>
      </w:pPr>
      <w:r>
        <w:rPr>
          <w:b/>
          <w:color w:val="auto"/>
          <w:highlight w:val="none"/>
        </w:rPr>
        <w:t>33.5</w:t>
      </w:r>
      <w:r>
        <w:rPr>
          <w:rFonts w:hint="eastAsia"/>
          <w:b/>
          <w:color w:val="auto"/>
          <w:highlight w:val="none"/>
        </w:rPr>
        <w:t>未按约定投保的补救</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w:t>
      </w:r>
      <w:r>
        <w:rPr>
          <w:color w:val="auto"/>
          <w:highlight w:val="none"/>
        </w:rPr>
        <w:t>发包人未按合同约定办理保险，或未能使保险持续有效的，则承包人可代为办理，所需费用由发包人承担。发包人未按合同约定办理保险，导致未能得到足额赔偿的，由发包人负责补足。</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w:t>
      </w:r>
      <w:r>
        <w:rPr>
          <w:color w:val="auto"/>
          <w:highlight w:val="none"/>
        </w:rPr>
        <w:t>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line="360" w:lineRule="auto"/>
        <w:ind w:left="178"/>
        <w:rPr>
          <w:color w:val="auto"/>
          <w:sz w:val="28"/>
          <w:highlight w:val="none"/>
        </w:rPr>
      </w:pPr>
      <w:r>
        <w:rPr>
          <w:b/>
          <w:color w:val="auto"/>
          <w:sz w:val="28"/>
          <w:highlight w:val="none"/>
        </w:rPr>
        <w:t>34</w:t>
      </w:r>
      <w:r>
        <w:rPr>
          <w:rFonts w:hint="eastAsia"/>
          <w:b/>
          <w:color w:val="auto"/>
          <w:sz w:val="28"/>
          <w:highlight w:val="none"/>
        </w:rPr>
        <w:t>工程担保</w:t>
      </w:r>
    </w:p>
    <w:p>
      <w:pPr>
        <w:adjustRightInd w:val="0"/>
        <w:snapToGrid w:val="0"/>
        <w:spacing w:line="360" w:lineRule="auto"/>
        <w:ind w:left="359"/>
        <w:rPr>
          <w:color w:val="auto"/>
          <w:highlight w:val="none"/>
        </w:rPr>
      </w:pPr>
      <w:r>
        <w:rPr>
          <w:b/>
          <w:color w:val="auto"/>
          <w:highlight w:val="none"/>
        </w:rPr>
        <w:t>34.1</w:t>
      </w:r>
      <w:r>
        <w:rPr>
          <w:rFonts w:hint="eastAsia"/>
          <w:b/>
          <w:color w:val="auto"/>
          <w:highlight w:val="none"/>
        </w:rPr>
        <w:t>履约担保</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⑴承包人应按</w:t>
      </w:r>
      <w:r>
        <w:rPr>
          <w:rFonts w:hint="eastAsia"/>
          <w:b/>
          <w:i/>
          <w:color w:val="auto"/>
          <w:highlight w:val="none"/>
        </w:rPr>
        <w:t>专用条款</w:t>
      </w:r>
      <w:r>
        <w:rPr>
          <w:rFonts w:hint="eastAsia"/>
          <w:color w:val="auto"/>
          <w:highlight w:val="none"/>
        </w:rPr>
        <w:t>约定的金额和方式向发包人提交履约担保，履约担保应由保证人(银行、保险公司、担保公司)出具。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p>
    <w:p>
      <w:pPr>
        <w:adjustRightInd w:val="0"/>
        <w:snapToGrid w:val="0"/>
        <w:spacing w:line="360" w:lineRule="auto"/>
        <w:ind w:left="359"/>
        <w:rPr>
          <w:color w:val="auto"/>
          <w:highlight w:val="none"/>
        </w:rPr>
      </w:pPr>
      <w:r>
        <w:rPr>
          <w:b/>
          <w:color w:val="auto"/>
          <w:highlight w:val="none"/>
        </w:rPr>
        <w:t>34.2</w:t>
      </w:r>
      <w:r>
        <w:rPr>
          <w:rFonts w:hint="eastAsia"/>
          <w:b/>
          <w:color w:val="auto"/>
          <w:highlight w:val="none"/>
        </w:rPr>
        <w:t>支付担保</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⑴发包人和承包人在签订本合同的同时，发包人应按</w:t>
      </w:r>
      <w:r>
        <w:rPr>
          <w:rFonts w:hint="eastAsia"/>
          <w:b/>
          <w:i/>
          <w:color w:val="auto"/>
          <w:highlight w:val="none"/>
        </w:rPr>
        <w:t>专用条款</w:t>
      </w:r>
      <w:r>
        <w:rPr>
          <w:rFonts w:hint="eastAsia"/>
          <w:color w:val="auto"/>
          <w:highlight w:val="none"/>
        </w:rPr>
        <w:t>约定的金额和方式向承包人提交支付担保，支付担保应由保证人(银行、保险公司、担保公司)出具。</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p>
    <w:p>
      <w:pPr>
        <w:adjustRightInd w:val="0"/>
        <w:snapToGrid w:val="0"/>
        <w:spacing w:line="360" w:lineRule="auto"/>
        <w:ind w:left="359"/>
        <w:rPr>
          <w:color w:val="auto"/>
          <w:highlight w:val="none"/>
        </w:rPr>
      </w:pPr>
      <w:r>
        <w:rPr>
          <w:b/>
          <w:color w:val="auto"/>
          <w:highlight w:val="none"/>
        </w:rPr>
        <w:t>34.3</w:t>
      </w:r>
      <w:r>
        <w:rPr>
          <w:rFonts w:hint="eastAsia"/>
          <w:b/>
          <w:color w:val="auto"/>
          <w:highlight w:val="none"/>
        </w:rPr>
        <w:t>保证人支付索赔款项</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p>
      <w:pPr>
        <w:adjustRightInd w:val="0"/>
        <w:snapToGrid w:val="0"/>
        <w:spacing w:line="360" w:lineRule="auto"/>
        <w:ind w:left="359"/>
        <w:rPr>
          <w:color w:val="auto"/>
          <w:highlight w:val="none"/>
        </w:rPr>
      </w:pPr>
      <w:r>
        <w:rPr>
          <w:b/>
          <w:color w:val="auto"/>
          <w:highlight w:val="none"/>
        </w:rPr>
        <w:t>34.4</w:t>
      </w:r>
      <w:r>
        <w:rPr>
          <w:rFonts w:hint="eastAsia"/>
          <w:b/>
          <w:color w:val="auto"/>
          <w:highlight w:val="none"/>
        </w:rPr>
        <w:t>留置或追加支付担保</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pPr>
        <w:adjustRightInd w:val="0"/>
        <w:snapToGrid w:val="0"/>
        <w:spacing w:line="360" w:lineRule="auto"/>
        <w:ind w:left="178"/>
        <w:rPr>
          <w:color w:val="auto"/>
          <w:sz w:val="28"/>
          <w:highlight w:val="none"/>
        </w:rPr>
      </w:pPr>
      <w:r>
        <w:rPr>
          <w:b/>
          <w:color w:val="auto"/>
          <w:sz w:val="28"/>
          <w:highlight w:val="none"/>
        </w:rPr>
        <w:t>35</w:t>
      </w:r>
      <w:r>
        <w:rPr>
          <w:rFonts w:hint="eastAsia"/>
          <w:b/>
          <w:color w:val="auto"/>
          <w:sz w:val="28"/>
          <w:highlight w:val="none"/>
        </w:rPr>
        <w:t>合同的生效、终止和解除</w:t>
      </w:r>
    </w:p>
    <w:p>
      <w:pPr>
        <w:adjustRightInd w:val="0"/>
        <w:snapToGrid w:val="0"/>
        <w:spacing w:line="360" w:lineRule="auto"/>
        <w:ind w:left="359"/>
        <w:rPr>
          <w:color w:val="auto"/>
          <w:highlight w:val="none"/>
        </w:rPr>
      </w:pPr>
      <w:r>
        <w:rPr>
          <w:b/>
          <w:color w:val="auto"/>
          <w:highlight w:val="none"/>
        </w:rPr>
        <w:t>35.1</w:t>
      </w:r>
      <w:r>
        <w:rPr>
          <w:rFonts w:hint="eastAsia"/>
          <w:b/>
          <w:color w:val="auto"/>
          <w:highlight w:val="none"/>
        </w:rPr>
        <w:t>合同的生效</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发包人和承包人在协议书中约定本合同生效的方式。</w:t>
      </w:r>
    </w:p>
    <w:p>
      <w:pPr>
        <w:adjustRightInd w:val="0"/>
        <w:snapToGrid w:val="0"/>
        <w:spacing w:line="360" w:lineRule="auto"/>
        <w:ind w:left="359"/>
        <w:rPr>
          <w:color w:val="auto"/>
          <w:highlight w:val="none"/>
        </w:rPr>
      </w:pPr>
      <w:r>
        <w:rPr>
          <w:b/>
          <w:color w:val="auto"/>
          <w:highlight w:val="none"/>
        </w:rPr>
        <w:t>35.2</w:t>
      </w:r>
      <w:r>
        <w:rPr>
          <w:rFonts w:hint="eastAsia"/>
          <w:b/>
          <w:color w:val="auto"/>
          <w:highlight w:val="none"/>
        </w:rPr>
        <w:t>合同的终止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⑴除第30条有关争议及第31条有关缺陷责任外，发包人和承包人履行本合同全部义务，工程竣工交付完毕，工程竣工结算价款支付完毕，本合同即告终止。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⑵本合同的权利义务终止后，发包人和承包人应遵循诚实信用原则，履行通知、协助、保密等义务。</w:t>
      </w:r>
    </w:p>
    <w:p>
      <w:pPr>
        <w:adjustRightInd w:val="0"/>
        <w:snapToGrid w:val="0"/>
        <w:spacing w:line="360" w:lineRule="auto"/>
        <w:ind w:left="359"/>
        <w:rPr>
          <w:color w:val="auto"/>
          <w:highlight w:val="none"/>
        </w:rPr>
      </w:pPr>
      <w:r>
        <w:rPr>
          <w:b/>
          <w:color w:val="auto"/>
          <w:highlight w:val="none"/>
        </w:rPr>
        <w:t>35.3</w:t>
      </w:r>
      <w:r>
        <w:rPr>
          <w:rFonts w:hint="eastAsia"/>
          <w:b/>
          <w:color w:val="auto"/>
          <w:highlight w:val="none"/>
        </w:rPr>
        <w:t>解除合同的情形</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⑴发包人和承包人协商一致，可以解除合同。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⑵发生第6.1款和第6.2款禁止的情况，承包人将其承包的全部工程或任何部分转让给他人，或者将其承包的全部工程肢解分包，发包人有权解除合同。</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w:t>
      </w:r>
      <w:r>
        <w:rPr>
          <w:color w:val="auto"/>
          <w:highlight w:val="none"/>
        </w:rPr>
        <w:t>因不可抗力导致合同无法履行连续超过84天或累计超过140天的，发包人和承包人均有权解除合同</w:t>
      </w:r>
      <w:r>
        <w:rPr>
          <w:rFonts w:hint="eastAsia"/>
          <w:color w:val="auto"/>
          <w:highlight w:val="none"/>
        </w:rPr>
        <w:t>；</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⑷因一方违约(包括因发包人原因造成工程停建或缓建)致使合同无法履行，另一方可以解除合同。</w:t>
      </w:r>
    </w:p>
    <w:p>
      <w:pPr>
        <w:adjustRightInd w:val="0"/>
        <w:snapToGrid w:val="0"/>
        <w:spacing w:line="360" w:lineRule="auto"/>
        <w:ind w:left="359"/>
        <w:rPr>
          <w:color w:val="auto"/>
          <w:highlight w:val="none"/>
        </w:rPr>
      </w:pPr>
      <w:r>
        <w:rPr>
          <w:b/>
          <w:color w:val="auto"/>
          <w:highlight w:val="none"/>
        </w:rPr>
        <w:t>35.4</w:t>
      </w:r>
      <w:r>
        <w:rPr>
          <w:rFonts w:hint="eastAsia"/>
          <w:b/>
          <w:color w:val="auto"/>
          <w:highlight w:val="none"/>
        </w:rPr>
        <w:t>解除合同的程序</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⑴发包人和承包人双方按《通用条款》第35.3款第（1）项要求解除合同的，自双方签订解除合同协议后本合同解除；发包人和承包人一方按《通用条款》</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第35.3款第（2）-（4）项要求解除合同的，应以书面形式向对方发出解除合同的通知，自对方收到通知后本合同解除。</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合同解除后，承包人应妥善做好已完工程和已购材料、设备的保护和移交工作，按发包人要求将承包人装备和人员撤出施工场地。发包人应为承包人撤出提供必要条件，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承发包人双方承担。除此之外，有过错的一方应赔偿因合同解除给对方造成的损失。</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⑶合同解除后，不影响发包人和承包人在合同中约定的结算和清理条款的效力。</w:t>
      </w:r>
    </w:p>
    <w:p>
      <w:pPr>
        <w:adjustRightInd w:val="0"/>
        <w:snapToGrid w:val="0"/>
        <w:spacing w:line="360" w:lineRule="auto"/>
        <w:ind w:left="178"/>
        <w:rPr>
          <w:color w:val="auto"/>
          <w:sz w:val="28"/>
          <w:highlight w:val="none"/>
        </w:rPr>
      </w:pPr>
      <w:r>
        <w:rPr>
          <w:b/>
          <w:color w:val="auto"/>
          <w:sz w:val="28"/>
          <w:highlight w:val="none"/>
        </w:rPr>
        <w:t>36</w:t>
      </w:r>
      <w:r>
        <w:rPr>
          <w:rFonts w:hint="eastAsia"/>
          <w:b/>
          <w:color w:val="auto"/>
          <w:sz w:val="28"/>
          <w:highlight w:val="none"/>
        </w:rPr>
        <w:t>合同份数</w:t>
      </w:r>
    </w:p>
    <w:p>
      <w:pPr>
        <w:adjustRightInd w:val="0"/>
        <w:snapToGrid w:val="0"/>
        <w:spacing w:line="360" w:lineRule="auto"/>
        <w:ind w:left="359"/>
        <w:rPr>
          <w:color w:val="auto"/>
          <w:highlight w:val="none"/>
        </w:rPr>
      </w:pPr>
      <w:r>
        <w:rPr>
          <w:b/>
          <w:color w:val="auto"/>
          <w:highlight w:val="none"/>
        </w:rPr>
        <w:t>36.1</w:t>
      </w:r>
      <w:r>
        <w:rPr>
          <w:rFonts w:hint="eastAsia"/>
          <w:b/>
          <w:color w:val="auto"/>
          <w:highlight w:val="none"/>
        </w:rPr>
        <w:t>合同份数</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⑴本合同正本两份，由发包人和承包人分别保存一份。</w:t>
      </w:r>
    </w:p>
    <w:p>
      <w:pPr>
        <w:tabs>
          <w:tab w:val="left" w:pos="1620"/>
          <w:tab w:val="left" w:pos="2340"/>
        </w:tabs>
        <w:adjustRightInd w:val="0"/>
        <w:snapToGrid w:val="0"/>
        <w:spacing w:line="360" w:lineRule="auto"/>
        <w:ind w:left="899"/>
        <w:rPr>
          <w:color w:val="auto"/>
          <w:highlight w:val="none"/>
        </w:rPr>
      </w:pPr>
      <w:r>
        <w:rPr>
          <w:rFonts w:hint="eastAsia"/>
          <w:color w:val="auto"/>
          <w:highlight w:val="none"/>
        </w:rPr>
        <w:t>⑵发包人和承包人按有关规定在</w:t>
      </w:r>
      <w:r>
        <w:rPr>
          <w:rFonts w:hint="eastAsia"/>
          <w:b/>
          <w:i/>
          <w:color w:val="auto"/>
          <w:highlight w:val="none"/>
        </w:rPr>
        <w:t>专用条款</w:t>
      </w:r>
      <w:r>
        <w:rPr>
          <w:rFonts w:hint="eastAsia"/>
          <w:color w:val="auto"/>
          <w:highlight w:val="none"/>
        </w:rPr>
        <w:t>中约定本合同副本的份数及保存单位，本合同正副本均具有同等效力。</w:t>
      </w:r>
    </w:p>
    <w:p>
      <w:pPr>
        <w:spacing w:line="360" w:lineRule="auto"/>
        <w:rPr>
          <w:color w:val="auto"/>
          <w:highlight w:val="none"/>
        </w:rPr>
      </w:pPr>
      <w:r>
        <w:rPr>
          <w:color w:val="auto"/>
          <w:highlight w:val="none"/>
        </w:rPr>
        <w:br w:type="page"/>
      </w:r>
    </w:p>
    <w:p>
      <w:pPr>
        <w:adjustRightInd w:val="0"/>
        <w:snapToGrid w:val="0"/>
        <w:spacing w:line="360" w:lineRule="auto"/>
        <w:jc w:val="center"/>
        <w:outlineLvl w:val="0"/>
        <w:rPr>
          <w:rFonts w:ascii="黑体" w:hAnsi="黑体" w:eastAsia="黑体"/>
          <w:color w:val="auto"/>
          <w:sz w:val="32"/>
          <w:highlight w:val="none"/>
        </w:rPr>
      </w:pPr>
      <w:r>
        <w:rPr>
          <w:rFonts w:hint="eastAsia" w:ascii="黑体" w:hAnsi="黑体" w:eastAsia="黑体"/>
          <w:color w:val="auto"/>
          <w:sz w:val="32"/>
          <w:highlight w:val="none"/>
        </w:rPr>
        <w:t>第三部分  专用条款</w:t>
      </w:r>
    </w:p>
    <w:p>
      <w:pPr>
        <w:widowControl w:val="0"/>
        <w:adjustRightInd w:val="0"/>
        <w:snapToGrid w:val="0"/>
        <w:spacing w:line="360" w:lineRule="auto"/>
        <w:jc w:val="both"/>
        <w:outlineLvl w:val="0"/>
        <w:rPr>
          <w:b/>
          <w:bCs/>
          <w:color w:val="auto"/>
          <w:kern w:val="44"/>
          <w:highlight w:val="none"/>
        </w:rPr>
      </w:pPr>
      <w:bookmarkStart w:id="34" w:name="_Toc46325242"/>
      <w:bookmarkStart w:id="35" w:name="_Toc1999884"/>
      <w:bookmarkStart w:id="36" w:name="_Toc18482"/>
      <w:bookmarkStart w:id="37" w:name="_Toc6773"/>
      <w:r>
        <w:rPr>
          <w:rFonts w:hint="eastAsia"/>
          <w:b/>
          <w:bCs/>
          <w:color w:val="auto"/>
          <w:kern w:val="44"/>
          <w:highlight w:val="none"/>
        </w:rPr>
        <w:t>1词语定义</w:t>
      </w:r>
    </w:p>
    <w:p>
      <w:pPr>
        <w:widowControl w:val="0"/>
        <w:adjustRightInd w:val="0"/>
        <w:snapToGrid w:val="0"/>
        <w:spacing w:line="360" w:lineRule="auto"/>
        <w:ind w:firstLine="480"/>
        <w:jc w:val="both"/>
        <w:rPr>
          <w:color w:val="auto"/>
          <w:kern w:val="2"/>
          <w:highlight w:val="none"/>
          <w:u w:val="single"/>
        </w:rPr>
      </w:pPr>
      <w:r>
        <w:rPr>
          <w:rFonts w:hint="eastAsia"/>
          <w:color w:val="auto"/>
          <w:kern w:val="2"/>
          <w:highlight w:val="none"/>
        </w:rPr>
        <w:t>发包人和承包人另行约定的词语定义如下：</w:t>
      </w:r>
      <w:r>
        <w:rPr>
          <w:rFonts w:hint="eastAsia"/>
          <w:color w:val="auto"/>
          <w:kern w:val="2"/>
          <w:highlight w:val="none"/>
          <w:u w:val="single"/>
        </w:rPr>
        <w:t xml:space="preserve">  </w:t>
      </w:r>
      <w:r>
        <w:rPr>
          <w:rFonts w:hint="eastAsia"/>
          <w:bCs/>
          <w:color w:val="auto"/>
          <w:kern w:val="2"/>
          <w:highlight w:val="none"/>
          <w:u w:val="single"/>
        </w:rPr>
        <w:t>/  。</w:t>
      </w:r>
    </w:p>
    <w:p>
      <w:pPr>
        <w:widowControl w:val="0"/>
        <w:adjustRightInd w:val="0"/>
        <w:snapToGrid w:val="0"/>
        <w:spacing w:line="360" w:lineRule="auto"/>
        <w:ind w:left="180"/>
        <w:jc w:val="both"/>
        <w:outlineLvl w:val="1"/>
        <w:rPr>
          <w:b/>
          <w:bCs/>
          <w:color w:val="auto"/>
          <w:kern w:val="2"/>
          <w:highlight w:val="none"/>
        </w:rPr>
      </w:pPr>
      <w:r>
        <w:rPr>
          <w:rFonts w:hint="eastAsia"/>
          <w:b/>
          <w:bCs/>
          <w:color w:val="auto"/>
          <w:kern w:val="2"/>
          <w:highlight w:val="none"/>
        </w:rPr>
        <w:t>1.2 合同文件</w:t>
      </w:r>
    </w:p>
    <w:p>
      <w:pPr>
        <w:widowControl w:val="0"/>
        <w:adjustRightInd w:val="0"/>
        <w:snapToGrid w:val="0"/>
        <w:spacing w:line="360" w:lineRule="auto"/>
        <w:ind w:firstLine="480"/>
        <w:rPr>
          <w:color w:val="auto"/>
          <w:kern w:val="2"/>
          <w:highlight w:val="none"/>
          <w:u w:val="single"/>
        </w:rPr>
      </w:pPr>
      <w:r>
        <w:rPr>
          <w:rFonts w:hint="eastAsia"/>
          <w:color w:val="auto"/>
          <w:kern w:val="2"/>
          <w:highlight w:val="none"/>
        </w:rPr>
        <w:t>(6)其他合同文件包括：</w:t>
      </w:r>
      <w:r>
        <w:rPr>
          <w:rFonts w:hint="eastAsia"/>
          <w:color w:val="auto"/>
          <w:kern w:val="2"/>
          <w:highlight w:val="none"/>
          <w:u w:val="single"/>
        </w:rPr>
        <w:t xml:space="preserve">  </w:t>
      </w:r>
      <w:r>
        <w:rPr>
          <w:rFonts w:hint="eastAsia"/>
          <w:bCs/>
          <w:color w:val="auto"/>
          <w:kern w:val="2"/>
          <w:highlight w:val="none"/>
          <w:u w:val="single"/>
        </w:rPr>
        <w:t>/  。</w:t>
      </w:r>
    </w:p>
    <w:p>
      <w:pPr>
        <w:widowControl w:val="0"/>
        <w:adjustRightInd w:val="0"/>
        <w:snapToGrid w:val="0"/>
        <w:spacing w:line="360" w:lineRule="auto"/>
        <w:ind w:left="180"/>
        <w:jc w:val="both"/>
        <w:outlineLvl w:val="1"/>
        <w:rPr>
          <w:b/>
          <w:bCs/>
          <w:color w:val="auto"/>
          <w:kern w:val="2"/>
          <w:highlight w:val="none"/>
        </w:rPr>
      </w:pPr>
      <w:r>
        <w:rPr>
          <w:rFonts w:hint="eastAsia"/>
          <w:b/>
          <w:bCs/>
          <w:color w:val="auto"/>
          <w:kern w:val="2"/>
          <w:highlight w:val="none"/>
        </w:rPr>
        <w:t>1.8 书面形式</w:t>
      </w:r>
    </w:p>
    <w:p>
      <w:pPr>
        <w:widowControl w:val="0"/>
        <w:adjustRightInd w:val="0"/>
        <w:snapToGrid w:val="0"/>
        <w:spacing w:line="360" w:lineRule="auto"/>
        <w:ind w:firstLine="480"/>
        <w:jc w:val="both"/>
        <w:rPr>
          <w:color w:val="auto"/>
          <w:kern w:val="2"/>
          <w:highlight w:val="none"/>
          <w:u w:val="single"/>
        </w:rPr>
      </w:pPr>
      <w:r>
        <w:rPr>
          <w:rFonts w:hint="eastAsia"/>
          <w:color w:val="auto"/>
          <w:kern w:val="2"/>
          <w:highlight w:val="none"/>
        </w:rPr>
        <w:t>（2）本合同全部或部分采用手写形式进行填写的，发包人和承包人共同指定的填写人的姓名：</w:t>
      </w:r>
      <w:r>
        <w:rPr>
          <w:rFonts w:hint="eastAsia"/>
          <w:color w:val="auto"/>
          <w:kern w:val="2"/>
          <w:highlight w:val="none"/>
          <w:u w:val="single"/>
        </w:rPr>
        <w:t xml:space="preserve">  </w:t>
      </w:r>
      <w:r>
        <w:rPr>
          <w:rFonts w:hint="eastAsia"/>
          <w:bCs/>
          <w:color w:val="auto"/>
          <w:kern w:val="2"/>
          <w:highlight w:val="none"/>
          <w:u w:val="single"/>
        </w:rPr>
        <w:t xml:space="preserve">/  </w:t>
      </w:r>
      <w:r>
        <w:rPr>
          <w:rFonts w:hint="eastAsia"/>
          <w:color w:val="auto"/>
          <w:kern w:val="2"/>
          <w:highlight w:val="none"/>
        </w:rPr>
        <w:t>，身份证号码：</w:t>
      </w:r>
      <w:r>
        <w:rPr>
          <w:rFonts w:hint="eastAsia"/>
          <w:color w:val="auto"/>
          <w:kern w:val="2"/>
          <w:highlight w:val="none"/>
          <w:u w:val="single"/>
        </w:rPr>
        <w:t xml:space="preserve">  </w:t>
      </w:r>
      <w:r>
        <w:rPr>
          <w:rFonts w:hint="eastAsia"/>
          <w:bCs/>
          <w:color w:val="auto"/>
          <w:kern w:val="2"/>
          <w:highlight w:val="none"/>
          <w:u w:val="single"/>
        </w:rPr>
        <w:t xml:space="preserve">/  </w:t>
      </w:r>
      <w:r>
        <w:rPr>
          <w:rFonts w:hint="eastAsia"/>
          <w:color w:val="auto"/>
          <w:kern w:val="2"/>
          <w:highlight w:val="none"/>
        </w:rPr>
        <w:t>。</w:t>
      </w:r>
    </w:p>
    <w:p>
      <w:pPr>
        <w:widowControl w:val="0"/>
        <w:adjustRightInd w:val="0"/>
        <w:snapToGrid w:val="0"/>
        <w:spacing w:line="360" w:lineRule="auto"/>
        <w:jc w:val="both"/>
        <w:outlineLvl w:val="0"/>
        <w:rPr>
          <w:b/>
          <w:bCs/>
          <w:color w:val="auto"/>
          <w:kern w:val="44"/>
          <w:highlight w:val="none"/>
        </w:rPr>
      </w:pPr>
      <w:r>
        <w:rPr>
          <w:rFonts w:hint="eastAsia"/>
          <w:b/>
          <w:bCs/>
          <w:color w:val="auto"/>
          <w:kern w:val="44"/>
          <w:highlight w:val="none"/>
        </w:rPr>
        <w:t>2一般约定</w:t>
      </w:r>
    </w:p>
    <w:p>
      <w:pPr>
        <w:widowControl w:val="0"/>
        <w:tabs>
          <w:tab w:val="left" w:pos="540"/>
          <w:tab w:val="left" w:pos="2340"/>
        </w:tabs>
        <w:adjustRightInd w:val="0"/>
        <w:snapToGrid w:val="0"/>
        <w:spacing w:line="360" w:lineRule="auto"/>
        <w:ind w:left="180"/>
        <w:outlineLvl w:val="2"/>
        <w:rPr>
          <w:rFonts w:cs="Times New Roman"/>
          <w:b/>
          <w:bCs/>
          <w:color w:val="auto"/>
          <w:kern w:val="2"/>
          <w:highlight w:val="none"/>
        </w:rPr>
      </w:pPr>
      <w:r>
        <w:rPr>
          <w:rFonts w:hint="eastAsia" w:cs="Times New Roman"/>
          <w:b/>
          <w:bCs/>
          <w:color w:val="auto"/>
          <w:kern w:val="2"/>
          <w:szCs w:val="32"/>
          <w:highlight w:val="none"/>
        </w:rPr>
        <w:t xml:space="preserve">2.4 </w:t>
      </w:r>
      <w:r>
        <w:rPr>
          <w:rFonts w:hint="eastAsia" w:cs="Times New Roman"/>
          <w:b/>
          <w:bCs/>
          <w:color w:val="auto"/>
          <w:kern w:val="2"/>
          <w:highlight w:val="none"/>
        </w:rPr>
        <w:t>法律、法规和规章</w:t>
      </w:r>
      <w:bookmarkEnd w:id="34"/>
      <w:bookmarkEnd w:id="35"/>
      <w:bookmarkEnd w:id="36"/>
      <w:bookmarkEnd w:id="37"/>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需要明示的法律、法规、规章：</w:t>
      </w:r>
      <w:r>
        <w:rPr>
          <w:rFonts w:hint="eastAsia" w:cs="Times New Roman"/>
          <w:color w:val="auto"/>
          <w:highlight w:val="none"/>
          <w:u w:val="single"/>
        </w:rPr>
        <w:t>《中华人民共和国民法典》、《中华人民共和国建筑法》、《建设工程质量管理条例》、《建设工程安全生产管理条例》、《深圳市建设工程质量管理条例》、《建设工程工程量清单计价规范》</w:t>
      </w:r>
      <w:r>
        <w:rPr>
          <w:rFonts w:cs="Times New Roman"/>
          <w:color w:val="auto"/>
          <w:highlight w:val="none"/>
          <w:u w:val="single"/>
        </w:rPr>
        <w:t>(GB50500-2013)、《深圳市建设现场文明施工管理办法》、《深圳市员工工资支付条例》《建筑工程施工质量验收统一标准》、《深圳市建设工程现场文明施工管理办法》、《房屋建筑和市政基础设施工程施工分包管理办法》、《深圳市建设工程竣工验收及备案管理办法》、《深圳市建设工程造价管理规定》、《深圳市住房和建设局关于在施工招标中增加不设置“霸王条</w:t>
      </w:r>
      <w:r>
        <w:rPr>
          <w:rFonts w:hint="eastAsia" w:cs="Times New Roman"/>
          <w:color w:val="auto"/>
          <w:highlight w:val="none"/>
          <w:u w:val="single"/>
        </w:rPr>
        <w:t>款”承诺等内容的通知》、深圳市关于“净畅宁”工程的要求、关于推进劳务工实名制和分账制管理工作的要求，以及国家、广东省、深圳市、龙华区制定的其他有关建设方面的法律、法规、规章、制度和规范性文件，同时还应遵守发包人制定的相关管理制度。</w:t>
      </w:r>
    </w:p>
    <w:p>
      <w:pPr>
        <w:widowControl w:val="0"/>
        <w:tabs>
          <w:tab w:val="left" w:pos="540"/>
          <w:tab w:val="left" w:pos="2340"/>
          <w:tab w:val="left" w:pos="4032"/>
        </w:tabs>
        <w:adjustRightInd w:val="0"/>
        <w:snapToGrid w:val="0"/>
        <w:spacing w:line="360" w:lineRule="auto"/>
        <w:ind w:left="180"/>
        <w:outlineLvl w:val="2"/>
        <w:rPr>
          <w:rFonts w:cs="Times New Roman"/>
          <w:b/>
          <w:bCs/>
          <w:color w:val="auto"/>
          <w:kern w:val="2"/>
          <w:szCs w:val="32"/>
          <w:highlight w:val="none"/>
        </w:rPr>
      </w:pPr>
      <w:bookmarkStart w:id="38" w:name="_Toc4686"/>
      <w:bookmarkStart w:id="39" w:name="_Toc46325243"/>
      <w:bookmarkStart w:id="40" w:name="_Toc1999885"/>
      <w:bookmarkStart w:id="41" w:name="_Toc31671"/>
      <w:r>
        <w:rPr>
          <w:rFonts w:hint="eastAsia" w:cs="Times New Roman"/>
          <w:b/>
          <w:bCs/>
          <w:color w:val="auto"/>
          <w:kern w:val="2"/>
          <w:szCs w:val="32"/>
          <w:highlight w:val="none"/>
        </w:rPr>
        <w:t>2.5标准、规范</w:t>
      </w:r>
      <w:bookmarkEnd w:id="38"/>
      <w:bookmarkEnd w:id="39"/>
      <w:bookmarkEnd w:id="40"/>
      <w:bookmarkEnd w:id="41"/>
    </w:p>
    <w:p>
      <w:pPr>
        <w:widowControl w:val="0"/>
        <w:adjustRightInd w:val="0"/>
        <w:snapToGrid w:val="0"/>
        <w:spacing w:line="360" w:lineRule="auto"/>
        <w:ind w:firstLine="480" w:firstLineChars="200"/>
        <w:rPr>
          <w:rFonts w:cs="Times New Roman"/>
          <w:color w:val="auto"/>
          <w:kern w:val="2"/>
          <w:highlight w:val="none"/>
          <w:u w:val="single"/>
        </w:rPr>
      </w:pPr>
      <w:r>
        <w:rPr>
          <w:rFonts w:hint="eastAsia" w:cs="Times New Roman"/>
          <w:color w:val="auto"/>
          <w:kern w:val="2"/>
          <w:highlight w:val="none"/>
        </w:rPr>
        <w:t>(2)技术标准、功能要求高于现行国家、行业或地方标准的约定：</w:t>
      </w:r>
      <w:r>
        <w:rPr>
          <w:rFonts w:hint="eastAsia" w:cs="Times New Roman"/>
          <w:color w:val="auto"/>
          <w:highlight w:val="none"/>
          <w:u w:val="single"/>
        </w:rPr>
        <w:t>工程质量达到合格标准：工程质量应符合国家、广东省、深圳市现行有关法律、法规、规范和技术标准，符合设计文件、招标文件、合同文件所约定的技术要求和工程质量标准。当国家、行业及工程所在地地方标准、规范不一致时，以要求最严格者为准。当合同约定的质量要求与现行最新的相关法律、法规、规范和技</w:t>
      </w:r>
      <w:r>
        <w:rPr>
          <w:rFonts w:hint="eastAsia" w:cs="Times New Roman"/>
          <w:color w:val="auto"/>
          <w:kern w:val="2"/>
          <w:highlight w:val="none"/>
          <w:u w:val="single"/>
        </w:rPr>
        <w:t>术标准矛盾时，以较高要求为准。</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 xml:space="preserve"> (4)用于本工程的标准、规范的提供方式：</w:t>
      </w:r>
    </w:p>
    <w:p>
      <w:pPr>
        <w:widowControl w:val="0"/>
        <w:adjustRightInd w:val="0"/>
        <w:snapToGrid w:val="0"/>
        <w:spacing w:line="360" w:lineRule="auto"/>
        <w:ind w:firstLine="480"/>
        <w:rPr>
          <w:rFonts w:cs="Times New Roman"/>
          <w:color w:val="auto"/>
          <w:kern w:val="2"/>
          <w:highlight w:val="none"/>
        </w:rPr>
      </w:pPr>
      <w:r>
        <w:rPr>
          <w:rFonts w:cs="Times New Roman"/>
          <w:color w:val="auto"/>
          <w:highlight w:val="none"/>
        </w:rPr>
        <w:drawing>
          <wp:inline distT="0" distB="0" distL="0" distR="0">
            <wp:extent cx="152400" cy="141605"/>
            <wp:effectExtent l="0" t="0" r="0" b="1079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由发包人在本合同签订后天内向承包人提供套标准、规范；</w:t>
      </w:r>
    </w:p>
    <w:p>
      <w:pPr>
        <w:widowControl w:val="0"/>
        <w:adjustRightInd w:val="0"/>
        <w:snapToGrid w:val="0"/>
        <w:spacing w:line="360" w:lineRule="auto"/>
        <w:ind w:firstLine="480"/>
        <w:rPr>
          <w:rFonts w:cs="Times New Roman"/>
          <w:color w:val="auto"/>
          <w:kern w:val="2"/>
          <w:highlight w:val="none"/>
        </w:rPr>
      </w:pPr>
      <w:r>
        <w:rPr>
          <w:rFonts w:ascii="Segoe UI Emoji" w:hAnsi="Segoe UI Emoji" w:eastAsia="MS Mincho" w:cs="Segoe UI Emoji"/>
          <w:color w:val="auto"/>
          <w:highlight w:val="none"/>
        </w:rPr>
        <w:t>☑</w:t>
      </w:r>
      <w:r>
        <w:rPr>
          <w:rFonts w:hint="eastAsia" w:cs="Times New Roman"/>
          <w:color w:val="auto"/>
          <w:kern w:val="2"/>
          <w:highlight w:val="none"/>
        </w:rPr>
        <w:t>由承包人自备。</w:t>
      </w:r>
    </w:p>
    <w:p>
      <w:pPr>
        <w:widowControl w:val="0"/>
        <w:tabs>
          <w:tab w:val="left" w:pos="540"/>
          <w:tab w:val="left" w:pos="2340"/>
          <w:tab w:val="left" w:pos="4032"/>
        </w:tabs>
        <w:adjustRightInd w:val="0"/>
        <w:snapToGrid w:val="0"/>
        <w:spacing w:line="360" w:lineRule="auto"/>
        <w:ind w:left="180"/>
        <w:outlineLvl w:val="2"/>
        <w:rPr>
          <w:rFonts w:cs="Times New Roman"/>
          <w:b/>
          <w:bCs/>
          <w:color w:val="auto"/>
          <w:kern w:val="2"/>
          <w:szCs w:val="32"/>
          <w:highlight w:val="none"/>
        </w:rPr>
      </w:pPr>
      <w:bookmarkStart w:id="42" w:name="_Toc46325244"/>
      <w:bookmarkStart w:id="43" w:name="_Toc24786"/>
      <w:bookmarkStart w:id="44" w:name="_Toc15458"/>
      <w:bookmarkStart w:id="45" w:name="_Toc1999886"/>
      <w:bookmarkStart w:id="46" w:name="_Hlk145242998"/>
      <w:r>
        <w:rPr>
          <w:rFonts w:hint="eastAsia"/>
          <w:b/>
          <w:color w:val="auto"/>
          <w:kern w:val="2"/>
          <w:highlight w:val="none"/>
        </w:rPr>
        <w:t>2.6图纸和技术资料的提供</w:t>
      </w:r>
      <w:bookmarkEnd w:id="42"/>
      <w:bookmarkEnd w:id="43"/>
      <w:bookmarkEnd w:id="44"/>
      <w:bookmarkEnd w:id="45"/>
    </w:p>
    <w:bookmarkEnd w:id="46"/>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(1)发包人应在本合同签订后</w:t>
      </w:r>
      <w:r>
        <w:rPr>
          <w:rFonts w:hint="eastAsia" w:cs="Times New Roman"/>
          <w:color w:val="auto"/>
          <w:kern w:val="2"/>
          <w:highlight w:val="none"/>
          <w:u w:val="single"/>
        </w:rPr>
        <w:t xml:space="preserve"> 开工前7  </w:t>
      </w:r>
      <w:r>
        <w:rPr>
          <w:rFonts w:hint="eastAsia" w:cs="Times New Roman"/>
          <w:color w:val="auto"/>
          <w:kern w:val="2"/>
          <w:highlight w:val="none"/>
        </w:rPr>
        <w:t>天内向承包人提供</w:t>
      </w:r>
      <w:r>
        <w:rPr>
          <w:rFonts w:hint="eastAsia" w:cs="Times New Roman"/>
          <w:color w:val="auto"/>
          <w:kern w:val="2"/>
          <w:highlight w:val="none"/>
          <w:u w:val="single"/>
        </w:rPr>
        <w:t xml:space="preserve"> 4 </w:t>
      </w:r>
      <w:r>
        <w:rPr>
          <w:rFonts w:hint="eastAsia" w:cs="Times New Roman"/>
          <w:color w:val="auto"/>
          <w:kern w:val="2"/>
          <w:highlight w:val="none"/>
        </w:rPr>
        <w:t>套完整的施工图和其它技术资料。</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(4)承包人发现发包人提供的图纸存在差错、遗漏或缺陷的，应在</w:t>
      </w:r>
      <w:r>
        <w:rPr>
          <w:rFonts w:hint="eastAsia" w:cs="Times New Roman"/>
          <w:color w:val="auto"/>
          <w:kern w:val="2"/>
          <w:highlight w:val="none"/>
          <w:u w:val="single"/>
        </w:rPr>
        <w:t xml:space="preserve"> 3</w:t>
      </w:r>
      <w:r>
        <w:rPr>
          <w:rFonts w:hint="eastAsia" w:cs="Times New Roman"/>
          <w:color w:val="auto"/>
          <w:kern w:val="2"/>
          <w:highlight w:val="none"/>
        </w:rPr>
        <w:t>天内通知监理人。监理人应附具相关意见并在</w:t>
      </w:r>
      <w:r>
        <w:rPr>
          <w:rFonts w:hint="eastAsia" w:cs="Times New Roman"/>
          <w:color w:val="auto"/>
          <w:kern w:val="2"/>
          <w:highlight w:val="none"/>
          <w:u w:val="single"/>
        </w:rPr>
        <w:t xml:space="preserve"> 2</w:t>
      </w:r>
      <w:r>
        <w:rPr>
          <w:rFonts w:hint="eastAsia" w:cs="Times New Roman"/>
          <w:color w:val="auto"/>
          <w:kern w:val="2"/>
          <w:highlight w:val="none"/>
        </w:rPr>
        <w:t>天内报送发包人，发包人应在收到监理人报送的通知后在</w:t>
      </w:r>
      <w:r>
        <w:rPr>
          <w:rFonts w:hint="eastAsia" w:cs="Times New Roman"/>
          <w:color w:val="auto"/>
          <w:kern w:val="2"/>
          <w:highlight w:val="none"/>
          <w:u w:val="single"/>
        </w:rPr>
        <w:t xml:space="preserve"> 3 </w:t>
      </w:r>
      <w:r>
        <w:rPr>
          <w:rFonts w:hint="eastAsia" w:cs="Times New Roman"/>
          <w:color w:val="auto"/>
          <w:kern w:val="2"/>
          <w:highlight w:val="none"/>
        </w:rPr>
        <w:t>天内作出决定。</w:t>
      </w:r>
    </w:p>
    <w:p>
      <w:pPr>
        <w:widowControl w:val="0"/>
        <w:tabs>
          <w:tab w:val="left" w:pos="540"/>
          <w:tab w:val="left" w:pos="2340"/>
          <w:tab w:val="left" w:pos="4032"/>
        </w:tabs>
        <w:adjustRightInd w:val="0"/>
        <w:snapToGrid w:val="0"/>
        <w:spacing w:line="360" w:lineRule="auto"/>
        <w:ind w:left="180"/>
        <w:outlineLvl w:val="2"/>
        <w:rPr>
          <w:rFonts w:cs="Times New Roman"/>
          <w:b/>
          <w:bCs/>
          <w:color w:val="auto"/>
          <w:kern w:val="2"/>
          <w:sz w:val="18"/>
          <w:szCs w:val="18"/>
          <w:highlight w:val="none"/>
        </w:rPr>
      </w:pPr>
      <w:bookmarkStart w:id="47" w:name="_Toc1999887"/>
      <w:bookmarkStart w:id="48" w:name="_Toc29547"/>
      <w:bookmarkStart w:id="49" w:name="_Toc46325245"/>
      <w:bookmarkStart w:id="50" w:name="_Toc28739"/>
      <w:r>
        <w:rPr>
          <w:rFonts w:hint="eastAsia" w:cs="Times New Roman"/>
          <w:b/>
          <w:bCs/>
          <w:color w:val="auto"/>
          <w:kern w:val="2"/>
          <w:szCs w:val="32"/>
          <w:highlight w:val="none"/>
        </w:rPr>
        <w:t>2.8补充图纸和资料</w:t>
      </w:r>
      <w:bookmarkEnd w:id="47"/>
      <w:bookmarkEnd w:id="48"/>
      <w:bookmarkEnd w:id="49"/>
      <w:bookmarkEnd w:id="50"/>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发包人应在工程施工前</w:t>
      </w:r>
      <w:r>
        <w:rPr>
          <w:rFonts w:hint="eastAsia" w:cs="Times New Roman"/>
          <w:color w:val="auto"/>
          <w:kern w:val="2"/>
          <w:highlight w:val="none"/>
          <w:u w:val="single"/>
        </w:rPr>
        <w:t xml:space="preserve"> 7 </w:t>
      </w:r>
      <w:r>
        <w:rPr>
          <w:rFonts w:hint="eastAsia" w:cs="Times New Roman"/>
          <w:color w:val="auto"/>
          <w:kern w:val="2"/>
          <w:highlight w:val="none"/>
        </w:rPr>
        <w:t>日内向承包人提供</w:t>
      </w:r>
      <w:r>
        <w:rPr>
          <w:rFonts w:hint="eastAsia" w:cs="Times New Roman"/>
          <w:color w:val="auto"/>
          <w:kern w:val="2"/>
          <w:highlight w:val="none"/>
          <w:u w:val="single"/>
        </w:rPr>
        <w:t xml:space="preserve"> 4 </w:t>
      </w:r>
      <w:r>
        <w:rPr>
          <w:rFonts w:hint="eastAsia" w:cs="Times New Roman"/>
          <w:color w:val="auto"/>
          <w:kern w:val="2"/>
          <w:highlight w:val="none"/>
        </w:rPr>
        <w:t>套该部分工程的补充施工图(含深化设计图纸)和其它技术资料。</w:t>
      </w:r>
    </w:p>
    <w:p>
      <w:pPr>
        <w:widowControl w:val="0"/>
        <w:tabs>
          <w:tab w:val="left" w:pos="540"/>
          <w:tab w:val="left" w:pos="2340"/>
          <w:tab w:val="left" w:pos="4032"/>
        </w:tabs>
        <w:adjustRightInd w:val="0"/>
        <w:snapToGrid w:val="0"/>
        <w:spacing w:line="360" w:lineRule="auto"/>
        <w:ind w:left="180"/>
        <w:outlineLvl w:val="2"/>
        <w:rPr>
          <w:rFonts w:cs="Times New Roman"/>
          <w:b/>
          <w:bCs/>
          <w:color w:val="auto"/>
          <w:kern w:val="2"/>
          <w:szCs w:val="32"/>
          <w:highlight w:val="none"/>
        </w:rPr>
      </w:pPr>
      <w:bookmarkStart w:id="51" w:name="_Toc46325246"/>
      <w:bookmarkStart w:id="52" w:name="_Toc1999888"/>
      <w:bookmarkStart w:id="53" w:name="_Toc18789"/>
      <w:bookmarkStart w:id="54" w:name="_Toc29475"/>
      <w:r>
        <w:rPr>
          <w:rFonts w:hint="eastAsia" w:cs="Times New Roman"/>
          <w:b/>
          <w:bCs/>
          <w:color w:val="auto"/>
          <w:kern w:val="2"/>
          <w:szCs w:val="32"/>
          <w:highlight w:val="none"/>
        </w:rPr>
        <w:t>2.10 竣工图</w:t>
      </w:r>
      <w:bookmarkEnd w:id="51"/>
      <w:bookmarkEnd w:id="52"/>
      <w:bookmarkEnd w:id="53"/>
      <w:bookmarkEnd w:id="54"/>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(1)关于竣工图编制的约定：</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1）竣工资料的编制须满足相关法规、深圳市城建档案馆及相关部门的规定。在总监理工程师组织初步验收前7日内，承包人应提供齐全的竣工资料给监理人进行审核，审核不通过，承包人应按要求整改。承包人在工程竣工验收之日起（以工程竣工验收报告日期为准）三个月内按照深圳市城建档案馆现行的A类、B类工程档案归档目录要求及竣工图蓝图的编制要求向建设单位移交陆套完整的工程竣工档案，并配合完成档案移交及备案工作。如承包人未按规定时间将竣工资料交给发包人，违约责任详见补充条款及附件1约定。</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2）承包人提交档案资料应符合《档案法》、《建设工程质量管理条例》、《深圳市建筑工程文件归档管理办法》及其他有关规定。工程档案应齐全、完整、系统，内容真实、准确；提交移交书及移交目录应填写真实；工程档案涂改、伪造档案，以及未尽妥善保管档案责任，导致档案损失的，承包人要承担和赔偿由此而造成发包人的全部经济损失；提交的移交工程档案不真实、不准确，导致使用者经济损失的，承包人将承担相应的经济责任。</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highlight w:val="none"/>
          <w:u w:val="single"/>
        </w:rPr>
        <w:t>3）本工程竣工图纸由承包人负责绘制，竣工图应认真绘制，与现场实际施工保持一致。竣工图上应明确标出变更或修改根据的具体条款，加盖竣工图章，经项目经理、技术负责人签字后，送监理人、设计院（加盖审核章）、发包人审核确认。</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55" w:name="_Toc46325247"/>
      <w:bookmarkStart w:id="56" w:name="_Toc30621"/>
      <w:bookmarkStart w:id="57" w:name="_Toc1999889"/>
      <w:bookmarkStart w:id="58" w:name="_Toc7257"/>
      <w:r>
        <w:rPr>
          <w:rFonts w:hint="eastAsia" w:cs="Times New Roman"/>
          <w:b/>
          <w:bCs/>
          <w:color w:val="auto"/>
          <w:kern w:val="2"/>
          <w:szCs w:val="32"/>
          <w:highlight w:val="none"/>
        </w:rPr>
        <w:t>2.11 通知</w:t>
      </w:r>
      <w:bookmarkEnd w:id="55"/>
      <w:bookmarkEnd w:id="56"/>
      <w:bookmarkEnd w:id="57"/>
      <w:bookmarkEnd w:id="58"/>
    </w:p>
    <w:p>
      <w:pPr>
        <w:widowControl w:val="0"/>
        <w:spacing w:line="360" w:lineRule="auto"/>
        <w:ind w:firstLine="480"/>
        <w:rPr>
          <w:rFonts w:cs="Times New Roman"/>
          <w:color w:val="auto"/>
          <w:kern w:val="2"/>
          <w:highlight w:val="none"/>
        </w:rPr>
      </w:pPr>
      <w:bookmarkStart w:id="59" w:name="_Toc1999890"/>
      <w:bookmarkStart w:id="60" w:name="_Toc4704"/>
      <w:bookmarkStart w:id="61" w:name="_Toc8379"/>
      <w:bookmarkStart w:id="62" w:name="_Toc46325248"/>
      <w:r>
        <w:rPr>
          <w:rFonts w:hint="eastAsia" w:cs="Times New Roman"/>
          <w:color w:val="auto"/>
          <w:kern w:val="2"/>
          <w:highlight w:val="none"/>
        </w:rPr>
        <w:t>（1）承包人的地址 ：</w:t>
      </w:r>
      <w:r>
        <w:rPr>
          <w:rFonts w:hint="eastAsia" w:cs="Times New Roman"/>
          <w:bCs/>
          <w:color w:val="auto"/>
          <w:kern w:val="2"/>
          <w:highlight w:val="none"/>
          <w:u w:val="single"/>
        </w:rPr>
        <w:t xml:space="preserve">       ，</w:t>
      </w:r>
      <w:r>
        <w:rPr>
          <w:rFonts w:hint="eastAsia" w:cs="Times New Roman"/>
          <w:bCs/>
          <w:color w:val="auto"/>
          <w:kern w:val="2"/>
          <w:highlight w:val="none"/>
        </w:rPr>
        <w:t>邮编：</w:t>
      </w:r>
      <w:r>
        <w:rPr>
          <w:rFonts w:hint="eastAsia" w:cs="Times New Roman"/>
          <w:bCs/>
          <w:color w:val="auto"/>
          <w:kern w:val="2"/>
          <w:highlight w:val="none"/>
          <w:u w:val="single"/>
        </w:rPr>
        <w:t xml:space="preserve">  </w:t>
      </w:r>
      <w:r>
        <w:rPr>
          <w:rFonts w:hint="eastAsia" w:cs="Times New Roman"/>
          <w:bCs/>
          <w:color w:val="auto"/>
          <w:kern w:val="2"/>
          <w:highlight w:val="none"/>
        </w:rPr>
        <w:t xml:space="preserve">  。</w:t>
      </w:r>
    </w:p>
    <w:p>
      <w:pPr>
        <w:widowControl w:val="0"/>
        <w:spacing w:line="360" w:lineRule="auto"/>
        <w:ind w:firstLine="480"/>
        <w:rPr>
          <w:rFonts w:cs="Times New Roman"/>
          <w:color w:val="auto"/>
          <w:kern w:val="2"/>
          <w:highlight w:val="none"/>
        </w:rPr>
      </w:pPr>
      <w:r>
        <w:rPr>
          <w:rFonts w:hint="eastAsia" w:cs="Times New Roman"/>
          <w:color w:val="auto"/>
          <w:kern w:val="2"/>
          <w:highlight w:val="none"/>
        </w:rPr>
        <w:t>（2）发包人的地址：</w:t>
      </w:r>
      <w:r>
        <w:rPr>
          <w:rFonts w:hint="eastAsia" w:cs="Times New Roman"/>
          <w:bCs/>
          <w:color w:val="auto"/>
          <w:kern w:val="2"/>
          <w:highlight w:val="none"/>
          <w:u w:val="single"/>
        </w:rPr>
        <w:t>深圳市龙华区观湖街道鹭湖社区观盛三路10号龙馨家园A栋</w:t>
      </w:r>
      <w:r>
        <w:rPr>
          <w:rFonts w:hint="eastAsia" w:cs="Times New Roman"/>
          <w:color w:val="auto"/>
          <w:kern w:val="2"/>
          <w:highlight w:val="none"/>
        </w:rPr>
        <w:t xml:space="preserve"> 。  </w:t>
      </w:r>
    </w:p>
    <w:p>
      <w:pPr>
        <w:widowControl w:val="0"/>
        <w:spacing w:line="360" w:lineRule="auto"/>
        <w:ind w:firstLine="480"/>
        <w:rPr>
          <w:rFonts w:cs="Times New Roman"/>
          <w:color w:val="auto"/>
          <w:kern w:val="2"/>
          <w:highlight w:val="none"/>
          <w:u w:val="single"/>
        </w:rPr>
      </w:pPr>
      <w:r>
        <w:rPr>
          <w:rFonts w:hint="eastAsia" w:cs="Times New Roman"/>
          <w:color w:val="auto"/>
          <w:kern w:val="2"/>
          <w:highlight w:val="none"/>
        </w:rPr>
        <w:t>（3）监理人的地址：</w:t>
      </w:r>
      <w:r>
        <w:rPr>
          <w:rFonts w:hint="eastAsia" w:cs="Times New Roman"/>
          <w:color w:val="auto"/>
          <w:kern w:val="2"/>
          <w:highlight w:val="none"/>
          <w:u w:val="single"/>
        </w:rPr>
        <w:t xml:space="preserve">        </w:t>
      </w:r>
      <w:r>
        <w:rPr>
          <w:rFonts w:hint="eastAsia" w:cs="Times New Roman"/>
          <w:color w:val="auto"/>
          <w:kern w:val="2"/>
          <w:highlight w:val="none"/>
        </w:rPr>
        <w:t xml:space="preserve"> ，</w:t>
      </w:r>
      <w:r>
        <w:rPr>
          <w:rFonts w:hint="eastAsia" w:cs="Times New Roman"/>
          <w:bCs/>
          <w:color w:val="auto"/>
          <w:kern w:val="2"/>
          <w:highlight w:val="none"/>
        </w:rPr>
        <w:t>邮编：</w:t>
      </w:r>
      <w:r>
        <w:rPr>
          <w:rFonts w:hint="eastAsia" w:cs="Times New Roman"/>
          <w:bCs/>
          <w:color w:val="auto"/>
          <w:kern w:val="2"/>
          <w:highlight w:val="none"/>
          <w:u w:val="single"/>
        </w:rPr>
        <w:t xml:space="preserve"> /</w:t>
      </w:r>
      <w:r>
        <w:rPr>
          <w:rFonts w:hint="eastAsia" w:cs="Times New Roman"/>
          <w:bCs/>
          <w:color w:val="auto"/>
          <w:kern w:val="2"/>
          <w:highlight w:val="none"/>
        </w:rPr>
        <w:t xml:space="preserve"> 。</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r>
        <w:rPr>
          <w:rFonts w:hint="eastAsia" w:cs="Times New Roman"/>
          <w:b/>
          <w:bCs/>
          <w:color w:val="auto"/>
          <w:kern w:val="2"/>
          <w:szCs w:val="32"/>
          <w:highlight w:val="none"/>
        </w:rPr>
        <w:t>2.13 交通运输</w:t>
      </w:r>
      <w:bookmarkEnd w:id="59"/>
      <w:bookmarkEnd w:id="60"/>
      <w:bookmarkEnd w:id="61"/>
      <w:bookmarkEnd w:id="6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（1）出入现场的权利</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关于出入现场的权利的约定：</w:t>
      </w:r>
      <w:r>
        <w:rPr>
          <w:rFonts w:hint="eastAsia" w:cs="Times New Roman"/>
          <w:color w:val="auto"/>
          <w:highlight w:val="none"/>
          <w:u w:val="single"/>
        </w:rPr>
        <w:t>由承包人按发包人要求取得出入施工现场所需的批准手续和全部权利，并承担相关手续费用和建设费用，</w:t>
      </w:r>
      <w:r>
        <w:rPr>
          <w:rFonts w:hint="eastAsia" w:cs="Times New Roman"/>
          <w:b/>
          <w:bCs/>
          <w:color w:val="auto"/>
          <w:highlight w:val="none"/>
          <w:u w:val="single"/>
        </w:rPr>
        <w:t>费用已在合同价中综合考虑，不再另行计取。</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（3）场内交通</w:t>
      </w:r>
    </w:p>
    <w:p>
      <w:pPr>
        <w:widowControl w:val="0"/>
        <w:adjustRightInd w:val="0"/>
        <w:snapToGrid w:val="0"/>
        <w:spacing w:line="360" w:lineRule="auto"/>
        <w:ind w:firstLine="480"/>
        <w:rPr>
          <w:rFonts w:cs="Times New Roman"/>
          <w:b/>
          <w:bCs/>
          <w:color w:val="auto"/>
          <w:kern w:val="2"/>
          <w:highlight w:val="none"/>
        </w:rPr>
      </w:pPr>
      <w:r>
        <w:rPr>
          <w:rFonts w:hint="eastAsia" w:cs="Times New Roman"/>
          <w:color w:val="auto"/>
          <w:kern w:val="2"/>
          <w:highlight w:val="none"/>
        </w:rPr>
        <w:t>关于场外交通和场内交通的边界的约定：</w:t>
      </w:r>
      <w:r>
        <w:rPr>
          <w:rFonts w:hint="eastAsia" w:cs="Times New Roman"/>
          <w:color w:val="auto"/>
          <w:highlight w:val="none"/>
          <w:u w:val="single"/>
        </w:rPr>
        <w:t>施工现场封闭围挡范围以内为场内交通；范围以外为场外交通。发包人无需提供场外交通设施的技术参数和具体条件，相关的技术参数和具体条件由承包人自行负责收集。场外交通设施无法满足工程施工需要的，由承包人自行解决并承担相关费用，</w:t>
      </w:r>
      <w:r>
        <w:rPr>
          <w:rFonts w:hint="eastAsia" w:cs="Times New Roman"/>
          <w:b/>
          <w:bCs/>
          <w:color w:val="auto"/>
          <w:highlight w:val="none"/>
          <w:u w:val="single"/>
        </w:rPr>
        <w:t>费用已在合同价中综合考虑，不再另行计取。</w:t>
      </w:r>
    </w:p>
    <w:p>
      <w:pPr>
        <w:widowControl w:val="0"/>
        <w:adjustRightInd w:val="0"/>
        <w:snapToGrid w:val="0"/>
        <w:spacing w:line="360" w:lineRule="auto"/>
        <w:ind w:firstLine="480" w:firstLineChars="200"/>
        <w:rPr>
          <w:rFonts w:cs="Times New Roman"/>
          <w:color w:val="auto"/>
          <w:highlight w:val="none"/>
          <w:u w:val="single"/>
        </w:rPr>
      </w:pPr>
      <w:r>
        <w:rPr>
          <w:rFonts w:hint="eastAsia" w:cs="Times New Roman"/>
          <w:color w:val="auto"/>
          <w:kern w:val="2"/>
          <w:highlight w:val="none"/>
        </w:rPr>
        <w:t>关于发包人向承包人免费提供满足工程施工需要的场内道路和交通设施的约定：</w:t>
      </w:r>
      <w:r>
        <w:rPr>
          <w:rFonts w:hint="eastAsia" w:cs="Times New Roman"/>
          <w:color w:val="auto"/>
          <w:highlight w:val="none"/>
          <w:u w:val="single"/>
        </w:rPr>
        <w:t>发包人无需提供场内交通设施的技术参数和具体条件。承包人需自行解决满足工程施工所需的场内道路和交通设施，并保证场内道路和交通设施满足施工方案所需全部大型机械设备和运输车辆进出施工现场及通行的需要，场内道路和交通设施全部由承包人负责完善，</w:t>
      </w:r>
      <w:r>
        <w:rPr>
          <w:rFonts w:hint="eastAsia" w:cs="Times New Roman"/>
          <w:b/>
          <w:bCs/>
          <w:color w:val="auto"/>
          <w:highlight w:val="none"/>
          <w:u w:val="single"/>
        </w:rPr>
        <w:t>费用已在合同价中综合考虑，不再另行计取。</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（4）超大件和超重件的运输</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运输超大件或超重件所需道路和桥梁临时加固费用和其他费用由</w:t>
      </w:r>
      <w:r>
        <w:rPr>
          <w:rFonts w:hint="eastAsia" w:cs="Times New Roman"/>
          <w:color w:val="auto"/>
          <w:kern w:val="2"/>
          <w:highlight w:val="none"/>
          <w:u w:val="single"/>
        </w:rPr>
        <w:t xml:space="preserve"> 承包人 </w:t>
      </w:r>
      <w:r>
        <w:rPr>
          <w:rFonts w:hint="eastAsia" w:cs="Times New Roman"/>
          <w:color w:val="auto"/>
          <w:kern w:val="2"/>
          <w:highlight w:val="none"/>
        </w:rPr>
        <w:t xml:space="preserve"> 承担。</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63" w:name="_Toc1491"/>
      <w:bookmarkStart w:id="64" w:name="_Toc1999891"/>
      <w:bookmarkStart w:id="65" w:name="_Toc32113"/>
      <w:bookmarkStart w:id="66" w:name="_Toc46325249"/>
      <w:r>
        <w:rPr>
          <w:rFonts w:hint="eastAsia" w:cs="Times New Roman"/>
          <w:b/>
          <w:bCs/>
          <w:color w:val="auto"/>
          <w:kern w:val="2"/>
          <w:szCs w:val="32"/>
          <w:highlight w:val="none"/>
        </w:rPr>
        <w:t>2.16 知识产权</w:t>
      </w:r>
      <w:bookmarkEnd w:id="63"/>
      <w:bookmarkEnd w:id="64"/>
      <w:bookmarkEnd w:id="65"/>
      <w:bookmarkEnd w:id="66"/>
    </w:p>
    <w:p>
      <w:pPr>
        <w:widowControl w:val="0"/>
        <w:adjustRightInd w:val="0"/>
        <w:snapToGrid w:val="0"/>
        <w:spacing w:line="360" w:lineRule="auto"/>
        <w:ind w:firstLine="480" w:firstLineChars="200"/>
        <w:rPr>
          <w:rFonts w:ascii="Times New Roman" w:hAnsi="Times New Roman" w:cs="Times New Roman"/>
          <w:color w:val="auto"/>
          <w:kern w:val="2"/>
          <w:sz w:val="30"/>
          <w:szCs w:val="32"/>
          <w:highlight w:val="none"/>
        </w:rPr>
      </w:pPr>
      <w:r>
        <w:rPr>
          <w:rFonts w:hint="eastAsia" w:cs="Times New Roman"/>
          <w:color w:val="auto"/>
          <w:kern w:val="2"/>
          <w:highlight w:val="none"/>
        </w:rPr>
        <w:t>（1）关于发包人提供给承包人的图纸、发包人为实施工程自行编制或委托编制的技术规范以及反映发包人关于合同要求或其他类似性质的文件的著作权的归属：</w:t>
      </w:r>
      <w:r>
        <w:rPr>
          <w:rFonts w:hint="eastAsia" w:cs="Times New Roman"/>
          <w:color w:val="auto"/>
          <w:highlight w:val="none"/>
          <w:u w:val="single"/>
        </w:rPr>
        <w:t>发包人。</w:t>
      </w:r>
    </w:p>
    <w:p>
      <w:pPr>
        <w:widowControl w:val="0"/>
        <w:adjustRightInd w:val="0"/>
        <w:snapToGrid w:val="0"/>
        <w:spacing w:line="360" w:lineRule="auto"/>
        <w:ind w:firstLine="480"/>
        <w:rPr>
          <w:rFonts w:ascii="Times New Roman" w:hAnsi="Times New Roman" w:eastAsia="FangSong_GB2312" w:cs="Times New Roman"/>
          <w:color w:val="auto"/>
          <w:kern w:val="2"/>
          <w:sz w:val="30"/>
          <w:szCs w:val="32"/>
          <w:highlight w:val="none"/>
        </w:rPr>
      </w:pPr>
      <w:r>
        <w:rPr>
          <w:rFonts w:hint="eastAsia" w:cs="Times New Roman"/>
          <w:color w:val="auto"/>
          <w:kern w:val="2"/>
          <w:highlight w:val="none"/>
        </w:rPr>
        <w:t>关于发包人提供的上述文件的使用限制的要求：</w:t>
      </w:r>
      <w:r>
        <w:rPr>
          <w:rFonts w:hint="eastAsia" w:cs="Times New Roman"/>
          <w:color w:val="auto"/>
          <w:highlight w:val="none"/>
          <w:u w:val="single"/>
        </w:rPr>
        <w:t>除用于本工程或获得发包人书面同意外，不得用作任何其他用途。</w:t>
      </w:r>
    </w:p>
    <w:p>
      <w:pPr>
        <w:widowControl w:val="0"/>
        <w:adjustRightInd w:val="0"/>
        <w:snapToGrid w:val="0"/>
        <w:spacing w:line="360" w:lineRule="auto"/>
        <w:ind w:firstLine="480"/>
        <w:rPr>
          <w:rFonts w:ascii="Times New Roman" w:hAnsi="Times New Roman" w:cs="Times New Roman"/>
          <w:color w:val="auto"/>
          <w:kern w:val="2"/>
          <w:sz w:val="30"/>
          <w:szCs w:val="32"/>
          <w:highlight w:val="none"/>
        </w:rPr>
      </w:pPr>
      <w:r>
        <w:rPr>
          <w:rFonts w:hint="eastAsia" w:cs="Times New Roman"/>
          <w:color w:val="auto"/>
          <w:kern w:val="2"/>
          <w:highlight w:val="none"/>
        </w:rPr>
        <w:t>（2）关于承包人为实施工程所编制文件的著作权的归属：</w:t>
      </w:r>
      <w:r>
        <w:rPr>
          <w:rFonts w:hint="eastAsia" w:cs="Times New Roman"/>
          <w:color w:val="auto"/>
          <w:highlight w:val="none"/>
          <w:u w:val="single"/>
        </w:rPr>
        <w:t>发包人。</w:t>
      </w:r>
    </w:p>
    <w:p>
      <w:pPr>
        <w:widowControl w:val="0"/>
        <w:adjustRightInd w:val="0"/>
        <w:snapToGrid w:val="0"/>
        <w:spacing w:line="360" w:lineRule="auto"/>
        <w:ind w:firstLine="480" w:firstLineChars="200"/>
        <w:rPr>
          <w:rFonts w:ascii="Times New Roman" w:hAnsi="Times New Roman" w:eastAsia="FangSong_GB2312" w:cs="Times New Roman"/>
          <w:color w:val="auto"/>
          <w:kern w:val="2"/>
          <w:sz w:val="30"/>
          <w:szCs w:val="32"/>
          <w:highlight w:val="none"/>
        </w:rPr>
      </w:pPr>
      <w:r>
        <w:rPr>
          <w:rFonts w:hint="eastAsia" w:cs="Times New Roman"/>
          <w:color w:val="auto"/>
          <w:kern w:val="2"/>
          <w:highlight w:val="none"/>
        </w:rPr>
        <w:t>关于承包人提供的上述文件的使用限制的要求：</w:t>
      </w:r>
      <w:r>
        <w:rPr>
          <w:rFonts w:hint="eastAsia" w:cs="Times New Roman"/>
          <w:color w:val="auto"/>
          <w:highlight w:val="none"/>
          <w:u w:val="single"/>
        </w:rPr>
        <w:t>除用于本工程或获得发包人书面同意外，不得用作任何其他用途。</w:t>
      </w:r>
    </w:p>
    <w:p>
      <w:pPr>
        <w:widowControl w:val="0"/>
        <w:adjustRightInd w:val="0"/>
        <w:snapToGrid w:val="0"/>
        <w:spacing w:line="360" w:lineRule="auto"/>
        <w:ind w:firstLine="480" w:firstLineChars="200"/>
        <w:rPr>
          <w:rFonts w:cs="Times New Roman"/>
          <w:color w:val="auto"/>
          <w:highlight w:val="none"/>
          <w:u w:val="single"/>
        </w:rPr>
      </w:pPr>
      <w:r>
        <w:rPr>
          <w:rFonts w:hint="eastAsia" w:cs="Times New Roman"/>
          <w:color w:val="auto"/>
          <w:kern w:val="2"/>
          <w:highlight w:val="none"/>
        </w:rPr>
        <w:t>（4）承包人在施工过程中所采用的专利、专有技术、技术秘密的使用费的承担方式：</w:t>
      </w:r>
      <w:r>
        <w:rPr>
          <w:rFonts w:hint="eastAsia" w:cs="Times New Roman"/>
          <w:color w:val="auto"/>
          <w:highlight w:val="none"/>
          <w:u w:val="single"/>
        </w:rPr>
        <w:t>由承包人自行解决，</w:t>
      </w:r>
      <w:r>
        <w:rPr>
          <w:rFonts w:hint="eastAsia" w:cs="Times New Roman"/>
          <w:b/>
          <w:bCs/>
          <w:color w:val="auto"/>
          <w:highlight w:val="none"/>
          <w:u w:val="single"/>
        </w:rPr>
        <w:t>费用已在合同价中综合考虑，不再另行计取。</w:t>
      </w:r>
    </w:p>
    <w:p>
      <w:pPr>
        <w:widowControl w:val="0"/>
        <w:adjustRightInd w:val="0"/>
        <w:snapToGrid w:val="0"/>
        <w:spacing w:line="360" w:lineRule="auto"/>
        <w:ind w:firstLine="482" w:firstLineChars="200"/>
        <w:rPr>
          <w:rFonts w:cs="Times New Roman"/>
          <w:b/>
          <w:color w:val="auto"/>
          <w:kern w:val="2"/>
          <w:highlight w:val="none"/>
        </w:rPr>
      </w:pPr>
      <w:r>
        <w:rPr>
          <w:rFonts w:hint="eastAsia" w:cs="Times New Roman"/>
          <w:b/>
          <w:color w:val="auto"/>
          <w:kern w:val="2"/>
          <w:highlight w:val="none"/>
        </w:rPr>
        <w:t>2.17保密</w:t>
      </w:r>
    </w:p>
    <w:p>
      <w:pPr>
        <w:widowControl w:val="0"/>
        <w:adjustRightInd w:val="0"/>
        <w:snapToGrid w:val="0"/>
        <w:spacing w:line="360" w:lineRule="auto"/>
        <w:ind w:firstLine="480" w:firstLineChars="200"/>
        <w:rPr>
          <w:rFonts w:ascii="Times New Roman" w:hAnsi="Times New Roman" w:eastAsia="FangSong_GB2312" w:cs="Times New Roman"/>
          <w:color w:val="auto"/>
          <w:sz w:val="30"/>
          <w:szCs w:val="32"/>
          <w:highlight w:val="none"/>
        </w:rPr>
      </w:pPr>
      <w:r>
        <w:rPr>
          <w:rFonts w:hint="eastAsia" w:cs="Times New Roman"/>
          <w:color w:val="auto"/>
          <w:highlight w:val="none"/>
          <w:u w:val="single"/>
        </w:rPr>
        <w:t>未经发包人书面许可，承包人任何时候均不得将本工程的图纸和技术资料及文件泄漏给第三人。工程竣工验收合格后或应发包人要求，除承包人存档需要的图纸，应将其他全部图纸及资料退还发包人。工程所产生的全部资料、数据、成果、文件、图纸、照片、模型及版权、其他知识产权或其他合法权益的拥有权属于发包人，除用于工程或获得发包人授权或允许外，不得用作任何其他用途。发包人因此应向承包人支付的保密费用及其他费用，</w:t>
      </w:r>
      <w:r>
        <w:rPr>
          <w:rFonts w:hint="eastAsia" w:cs="Times New Roman"/>
          <w:b/>
          <w:bCs/>
          <w:color w:val="auto"/>
          <w:highlight w:val="none"/>
          <w:u w:val="single"/>
        </w:rPr>
        <w:t>已在合同价中综合考虑，不再另行计取。</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67" w:name="_Toc11282"/>
      <w:bookmarkStart w:id="68" w:name="_Toc1109"/>
      <w:bookmarkStart w:id="69" w:name="_Toc1999892"/>
      <w:bookmarkStart w:id="70" w:name="_Toc46325250"/>
      <w:r>
        <w:rPr>
          <w:rFonts w:hint="eastAsia" w:ascii="Times New Roman" w:cs="Times New Roman"/>
          <w:b/>
          <w:bCs/>
          <w:color w:val="auto"/>
          <w:kern w:val="44"/>
          <w:sz w:val="28"/>
          <w:szCs w:val="28"/>
          <w:highlight w:val="none"/>
        </w:rPr>
        <w:t>3 发包人</w:t>
      </w:r>
      <w:bookmarkEnd w:id="67"/>
      <w:bookmarkEnd w:id="68"/>
      <w:bookmarkEnd w:id="69"/>
      <w:bookmarkEnd w:id="70"/>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71" w:name="_Toc12786"/>
      <w:bookmarkStart w:id="72" w:name="_Toc11025"/>
      <w:bookmarkStart w:id="73" w:name="_Toc1999893"/>
      <w:bookmarkStart w:id="74" w:name="_Toc46325251"/>
      <w:r>
        <w:rPr>
          <w:rFonts w:hint="eastAsia" w:cs="Times New Roman"/>
          <w:b/>
          <w:bCs/>
          <w:color w:val="auto"/>
          <w:kern w:val="2"/>
          <w:szCs w:val="32"/>
          <w:highlight w:val="none"/>
        </w:rPr>
        <w:t>3.1 发包人代表</w:t>
      </w:r>
      <w:bookmarkEnd w:id="71"/>
      <w:bookmarkEnd w:id="72"/>
      <w:bookmarkEnd w:id="73"/>
      <w:bookmarkEnd w:id="74"/>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发包人代表的姓名：</w:t>
      </w:r>
      <w:r>
        <w:rPr>
          <w:rFonts w:hint="eastAsia" w:cs="Times New Roman"/>
          <w:color w:val="auto"/>
          <w:kern w:val="2"/>
          <w:highlight w:val="none"/>
          <w:u w:val="single"/>
        </w:rPr>
        <w:t>***</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75" w:name="_Toc46325252"/>
      <w:bookmarkStart w:id="76" w:name="_Toc16862"/>
      <w:bookmarkStart w:id="77" w:name="_Toc21151"/>
      <w:bookmarkStart w:id="78" w:name="_Toc1999894"/>
      <w:r>
        <w:rPr>
          <w:rFonts w:hint="eastAsia" w:cs="Times New Roman"/>
          <w:b/>
          <w:bCs/>
          <w:color w:val="auto"/>
          <w:kern w:val="2"/>
          <w:szCs w:val="32"/>
          <w:highlight w:val="none"/>
        </w:rPr>
        <w:t>3.4 发包人的工作</w:t>
      </w:r>
      <w:bookmarkEnd w:id="75"/>
      <w:bookmarkEnd w:id="76"/>
      <w:bookmarkEnd w:id="77"/>
      <w:bookmarkEnd w:id="78"/>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(1)发包人完成工作的要求：</w:t>
      </w:r>
    </w:p>
    <w:p>
      <w:pPr>
        <w:widowControl w:val="0"/>
        <w:spacing w:line="360" w:lineRule="auto"/>
        <w:ind w:firstLine="480"/>
        <w:rPr>
          <w:rFonts w:cs="Times New Roman"/>
          <w:color w:val="auto"/>
          <w:kern w:val="2"/>
          <w:highlight w:val="none"/>
          <w:u w:val="single"/>
        </w:rPr>
      </w:pPr>
      <w:r>
        <w:rPr>
          <w:rFonts w:hint="eastAsia" w:cs="Times New Roman"/>
          <w:color w:val="auto"/>
          <w:kern w:val="2"/>
          <w:highlight w:val="none"/>
        </w:rPr>
        <w:t>②施工场地内施工所需用水、用电、通讯的接驳地点：</w:t>
      </w:r>
      <w:r>
        <w:rPr>
          <w:rFonts w:hint="eastAsia" w:cs="Times New Roman"/>
          <w:color w:val="auto"/>
          <w:kern w:val="2"/>
          <w:highlight w:val="none"/>
          <w:u w:val="single"/>
        </w:rPr>
        <w:t>临时用水、用电、通讯由承包单位自行解决，发包人可协助处理。水电费由承包人缴纳。</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⑦发包人组织图纸会审和设计交底的时间：</w:t>
      </w:r>
      <w:r>
        <w:rPr>
          <w:rFonts w:hint="eastAsia" w:cs="Times New Roman"/>
          <w:color w:val="auto"/>
          <w:kern w:val="2"/>
          <w:highlight w:val="none"/>
          <w:u w:val="single"/>
        </w:rPr>
        <w:t>视具体情况由发包人决定</w:t>
      </w:r>
      <w:r>
        <w:rPr>
          <w:rFonts w:hint="eastAsia" w:cs="Times New Roman"/>
          <w:color w:val="auto"/>
          <w:kern w:val="2"/>
          <w:highlight w:val="none"/>
        </w:rPr>
        <w:t>。</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⑨发包人应做的其他工作和要求：</w:t>
      </w:r>
      <w:r>
        <w:rPr>
          <w:rFonts w:hint="eastAsia" w:cs="Times New Roman"/>
          <w:color w:val="auto"/>
          <w:kern w:val="2"/>
          <w:highlight w:val="none"/>
          <w:u w:val="single"/>
        </w:rPr>
        <w:t>本工程发包人代表在合同执行中行使发包人的权利和义务，参与施工全过程管理，协调施工中的各种关系；会同监理工程师办理工程变更、工程量计量、工程款支付、竣工验收等手续的审批以及造价送审。具体以发包人的质量管理体系文件、内部管理文件及相关政策规定为准。</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79" w:name="_Toc46325253"/>
      <w:bookmarkStart w:id="80" w:name="_Toc25804"/>
      <w:bookmarkStart w:id="81" w:name="_Toc1999895"/>
      <w:bookmarkStart w:id="82" w:name="_Toc17728"/>
      <w:r>
        <w:rPr>
          <w:rFonts w:hint="eastAsia" w:cs="Times New Roman"/>
          <w:b/>
          <w:bCs/>
          <w:color w:val="auto"/>
          <w:kern w:val="2"/>
          <w:szCs w:val="32"/>
          <w:highlight w:val="none"/>
        </w:rPr>
        <w:t>3.5 发包人委托</w:t>
      </w:r>
      <w:bookmarkEnd w:id="79"/>
      <w:bookmarkEnd w:id="80"/>
      <w:bookmarkEnd w:id="81"/>
      <w:bookmarkEnd w:id="82"/>
    </w:p>
    <w:p>
      <w:pPr>
        <w:widowControl w:val="0"/>
        <w:adjustRightInd w:val="0"/>
        <w:snapToGrid w:val="0"/>
        <w:spacing w:line="360" w:lineRule="auto"/>
        <w:ind w:firstLine="480" w:firstLineChars="200"/>
        <w:rPr>
          <w:b/>
          <w:bCs/>
          <w:color w:val="auto"/>
          <w:kern w:val="2"/>
          <w:highlight w:val="none"/>
          <w:u w:val="single"/>
        </w:rPr>
      </w:pPr>
      <w:r>
        <w:rPr>
          <w:rFonts w:hint="eastAsia" w:cs="Times New Roman"/>
          <w:color w:val="auto"/>
          <w:kern w:val="2"/>
          <w:highlight w:val="none"/>
        </w:rPr>
        <w:t>发包人委托承包人办理的工作：</w:t>
      </w:r>
      <w:bookmarkStart w:id="83" w:name="_Toc1999896"/>
      <w:r>
        <w:rPr>
          <w:rFonts w:hint="eastAsia" w:cs="Times New Roman"/>
          <w:color w:val="auto"/>
          <w:kern w:val="2"/>
          <w:highlight w:val="none"/>
          <w:u w:val="single"/>
        </w:rPr>
        <w:t>详见补充条款及附件1。</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84" w:name="_Toc7666"/>
      <w:bookmarkStart w:id="85" w:name="_Toc15315"/>
      <w:r>
        <w:rPr>
          <w:rFonts w:hint="eastAsia" w:ascii="Times New Roman" w:cs="Times New Roman"/>
          <w:b/>
          <w:bCs/>
          <w:color w:val="auto"/>
          <w:kern w:val="44"/>
          <w:sz w:val="28"/>
          <w:szCs w:val="28"/>
          <w:highlight w:val="none"/>
        </w:rPr>
        <w:t>4 承包人</w:t>
      </w:r>
      <w:bookmarkEnd w:id="83"/>
      <w:bookmarkEnd w:id="84"/>
      <w:bookmarkEnd w:id="85"/>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86" w:name="_Toc1999897"/>
      <w:bookmarkStart w:id="87" w:name="_Toc18278"/>
      <w:bookmarkStart w:id="88" w:name="_Toc17632"/>
      <w:bookmarkStart w:id="89" w:name="_Toc46325254"/>
      <w:r>
        <w:rPr>
          <w:rFonts w:hint="eastAsia" w:cs="Times New Roman"/>
          <w:b/>
          <w:bCs/>
          <w:color w:val="auto"/>
          <w:kern w:val="2"/>
          <w:szCs w:val="32"/>
          <w:highlight w:val="none"/>
        </w:rPr>
        <w:t>4.2 承包人的工作</w:t>
      </w:r>
      <w:bookmarkEnd w:id="86"/>
      <w:bookmarkEnd w:id="87"/>
      <w:bookmarkEnd w:id="88"/>
      <w:bookmarkEnd w:id="89"/>
    </w:p>
    <w:p>
      <w:pPr>
        <w:widowControl w:val="0"/>
        <w:adjustRightInd w:val="0"/>
        <w:snapToGrid w:val="0"/>
        <w:spacing w:line="360" w:lineRule="auto"/>
        <w:ind w:firstLine="480" w:firstLineChars="200"/>
        <w:rPr>
          <w:rFonts w:cs="Times New Roman"/>
          <w:color w:val="auto"/>
          <w:kern w:val="2"/>
          <w:highlight w:val="none"/>
        </w:rPr>
      </w:pPr>
      <w:r>
        <w:rPr>
          <w:rFonts w:hint="eastAsia" w:cs="Times New Roman"/>
          <w:color w:val="auto"/>
          <w:kern w:val="2"/>
          <w:highlight w:val="none"/>
        </w:rPr>
        <w:t>(1)承包人完成工作的要求：</w:t>
      </w:r>
    </w:p>
    <w:p>
      <w:pPr>
        <w:widowControl w:val="0"/>
        <w:adjustRightInd w:val="0"/>
        <w:snapToGrid w:val="0"/>
        <w:spacing w:line="360" w:lineRule="auto"/>
        <w:ind w:firstLine="480" w:firstLineChars="200"/>
        <w:rPr>
          <w:rFonts w:cs="Times New Roman"/>
          <w:color w:val="auto"/>
          <w:kern w:val="2"/>
          <w:highlight w:val="none"/>
          <w:u w:val="single"/>
        </w:rPr>
      </w:pPr>
      <w:r>
        <w:rPr>
          <w:rFonts w:hint="eastAsia" w:cs="Times New Roman"/>
          <w:color w:val="auto"/>
          <w:kern w:val="2"/>
          <w:highlight w:val="none"/>
        </w:rPr>
        <w:t>③承包人向发包人提供施工场地办公和生活的房屋及设施，费用承担方式为：</w:t>
      </w:r>
      <w:r>
        <w:rPr>
          <w:rFonts w:hint="eastAsia" w:cs="Times New Roman"/>
          <w:color w:val="auto"/>
          <w:kern w:val="2"/>
          <w:highlight w:val="none"/>
          <w:u w:val="single"/>
        </w:rPr>
        <w:t xml:space="preserve"> 由承包人承担。</w:t>
      </w:r>
    </w:p>
    <w:p>
      <w:pPr>
        <w:widowControl w:val="0"/>
        <w:adjustRightInd w:val="0"/>
        <w:snapToGrid w:val="0"/>
        <w:spacing w:line="360" w:lineRule="auto"/>
        <w:ind w:firstLine="480"/>
        <w:rPr>
          <w:color w:val="auto"/>
          <w:highlight w:val="none"/>
        </w:rPr>
      </w:pPr>
      <w:r>
        <w:rPr>
          <w:rFonts w:hint="eastAsia" w:cs="Times New Roman"/>
          <w:color w:val="auto"/>
          <w:kern w:val="2"/>
          <w:highlight w:val="none"/>
        </w:rPr>
        <w:t>⑧承包人应在</w:t>
      </w:r>
      <w:r>
        <w:rPr>
          <w:rFonts w:hint="eastAsia" w:cs="Times New Roman"/>
          <w:color w:val="auto"/>
          <w:highlight w:val="none"/>
          <w:u w:val="single"/>
        </w:rPr>
        <w:t>工程竣工验收合格后三个月内</w:t>
      </w:r>
      <w:r>
        <w:rPr>
          <w:rFonts w:hint="eastAsia" w:cs="Times New Roman"/>
          <w:color w:val="auto"/>
          <w:kern w:val="2"/>
          <w:highlight w:val="none"/>
        </w:rPr>
        <w:t>向发包人提交</w:t>
      </w:r>
      <w:r>
        <w:rPr>
          <w:rFonts w:hint="eastAsia" w:cs="Times New Roman"/>
          <w:color w:val="auto"/>
          <w:kern w:val="2"/>
          <w:highlight w:val="none"/>
          <w:u w:val="single"/>
        </w:rPr>
        <w:t xml:space="preserve"> 4 </w:t>
      </w:r>
      <w:r>
        <w:rPr>
          <w:rFonts w:hint="eastAsia" w:cs="Times New Roman"/>
          <w:color w:val="auto"/>
          <w:kern w:val="2"/>
          <w:highlight w:val="none"/>
        </w:rPr>
        <w:t>套竣工资料。</w:t>
      </w:r>
    </w:p>
    <w:p>
      <w:pPr>
        <w:widowControl w:val="0"/>
        <w:adjustRightInd w:val="0"/>
        <w:snapToGrid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fldChar w:fldCharType="begin"/>
      </w:r>
      <w:r>
        <w:rPr>
          <w:rFonts w:hint="eastAsia" w:cs="Times New Roman"/>
          <w:color w:val="auto"/>
          <w:kern w:val="2"/>
          <w:highlight w:val="none"/>
        </w:rPr>
        <w:instrText xml:space="preserve"> = 9 \* GB3 \* MERGEFORMAT </w:instrText>
      </w:r>
      <w:r>
        <w:rPr>
          <w:rFonts w:hint="eastAsia" w:cs="Times New Roman"/>
          <w:color w:val="auto"/>
          <w:kern w:val="2"/>
          <w:highlight w:val="none"/>
        </w:rPr>
        <w:fldChar w:fldCharType="separate"/>
      </w:r>
      <w:r>
        <w:rPr>
          <w:color w:val="auto"/>
          <w:highlight w:val="none"/>
        </w:rPr>
        <w:t>⑨</w:t>
      </w:r>
      <w:r>
        <w:rPr>
          <w:rFonts w:hint="eastAsia" w:cs="Times New Roman"/>
          <w:color w:val="auto"/>
          <w:kern w:val="2"/>
          <w:highlight w:val="none"/>
        </w:rPr>
        <w:fldChar w:fldCharType="end"/>
      </w:r>
      <w:r>
        <w:rPr>
          <w:rFonts w:hint="eastAsia" w:cs="Times New Roman"/>
          <w:color w:val="auto"/>
          <w:kern w:val="2"/>
          <w:highlight w:val="none"/>
        </w:rPr>
        <w:t>承包人应做的其他工作：除了做好本项目范围内的成品保护外，因工作需要将工作面延伸至上下游范围导致该范围内的设备设施或装饰面出现破损或损坏的，由本项目总承包单位进行维修和更换；相关费用已综合考虑，不再另行计取。承包人应做好施工阶段及竣工验收前的保洁工作，具体以甲方的验收要求为准。其余</w:t>
      </w:r>
      <w:r>
        <w:rPr>
          <w:rFonts w:hint="eastAsia" w:cs="Times New Roman"/>
          <w:color w:val="auto"/>
          <w:kern w:val="2"/>
          <w:highlight w:val="none"/>
          <w:u w:val="single"/>
        </w:rPr>
        <w:t>详见补充条款及附件1</w:t>
      </w:r>
      <w:r>
        <w:rPr>
          <w:rFonts w:hint="eastAsia"/>
          <w:color w:val="auto"/>
          <w:kern w:val="2"/>
          <w:highlight w:val="none"/>
          <w:u w:val="single"/>
        </w:rPr>
        <w:t>。</w:t>
      </w:r>
    </w:p>
    <w:p>
      <w:pPr>
        <w:widowControl w:val="0"/>
        <w:tabs>
          <w:tab w:val="left" w:pos="540"/>
          <w:tab w:val="left" w:pos="2340"/>
        </w:tabs>
        <w:adjustRightInd w:val="0"/>
        <w:snapToGrid w:val="0"/>
        <w:spacing w:line="360" w:lineRule="auto"/>
        <w:outlineLvl w:val="2"/>
        <w:rPr>
          <w:rFonts w:cs="Times New Roman"/>
          <w:b/>
          <w:bCs/>
          <w:color w:val="auto"/>
          <w:kern w:val="2"/>
          <w:szCs w:val="32"/>
          <w:highlight w:val="none"/>
        </w:rPr>
      </w:pPr>
      <w:bookmarkStart w:id="90" w:name="_Toc28775"/>
      <w:bookmarkStart w:id="91" w:name="_Toc1999916"/>
      <w:bookmarkStart w:id="92" w:name="_Toc1721"/>
      <w:bookmarkStart w:id="93" w:name="_Toc46325255"/>
      <w:r>
        <w:rPr>
          <w:rFonts w:hint="eastAsia" w:cs="Times New Roman"/>
          <w:b/>
          <w:bCs/>
          <w:color w:val="auto"/>
          <w:kern w:val="2"/>
          <w:szCs w:val="32"/>
          <w:highlight w:val="none"/>
        </w:rPr>
        <w:t>4.3项目经理的任命</w:t>
      </w:r>
      <w:bookmarkEnd w:id="90"/>
      <w:bookmarkEnd w:id="91"/>
      <w:bookmarkEnd w:id="92"/>
      <w:bookmarkEnd w:id="93"/>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rPr>
        <w:t>(2)承包人任命的项目经理姓名：</w:t>
      </w:r>
      <w:r>
        <w:rPr>
          <w:rFonts w:hint="eastAsia" w:cs="Times New Roman"/>
          <w:color w:val="auto"/>
          <w:kern w:val="2"/>
          <w:highlight w:val="none"/>
          <w:u w:val="single"/>
        </w:rPr>
        <w:t>****</w:t>
      </w:r>
      <w:r>
        <w:rPr>
          <w:rFonts w:hint="eastAsia" w:cs="Times New Roman"/>
          <w:color w:val="auto"/>
          <w:kern w:val="2"/>
          <w:highlight w:val="none"/>
        </w:rPr>
        <w:t>，资格证书号：</w:t>
      </w:r>
      <w:r>
        <w:rPr>
          <w:rFonts w:hint="eastAsia" w:cs="Times New Roman"/>
          <w:color w:val="auto"/>
          <w:kern w:val="2"/>
          <w:highlight w:val="none"/>
          <w:u w:val="single"/>
        </w:rPr>
        <w:t>*******</w:t>
      </w:r>
      <w:r>
        <w:rPr>
          <w:rFonts w:hint="eastAsia" w:cs="Times New Roman"/>
          <w:color w:val="auto"/>
          <w:kern w:val="2"/>
          <w:highlight w:val="none"/>
        </w:rPr>
        <w:t>。</w:t>
      </w:r>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(3)承包人的项目经理与投标文件的承诺不一致，或项目经理未及时到位，或同时兼任承包人其它工程项目的项目经理的，承包人应向发包人支付违约金：</w:t>
      </w:r>
      <w:r>
        <w:rPr>
          <w:rFonts w:hint="eastAsia" w:cs="Times New Roman"/>
          <w:color w:val="auto"/>
          <w:kern w:val="2"/>
          <w:highlight w:val="none"/>
          <w:u w:val="single"/>
        </w:rPr>
        <w:t>详见补充条款及附件1约定</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94" w:name="_Toc1999917"/>
      <w:bookmarkStart w:id="95" w:name="_Toc21189"/>
      <w:bookmarkStart w:id="96" w:name="_Toc46325256"/>
      <w:bookmarkStart w:id="97" w:name="_Toc1675"/>
      <w:r>
        <w:rPr>
          <w:rFonts w:hint="eastAsia" w:cs="Times New Roman"/>
          <w:b/>
          <w:bCs/>
          <w:color w:val="auto"/>
          <w:kern w:val="2"/>
          <w:szCs w:val="32"/>
          <w:highlight w:val="none"/>
        </w:rPr>
        <w:t>4.4 项目经理的更换</w:t>
      </w:r>
      <w:bookmarkEnd w:id="94"/>
      <w:bookmarkEnd w:id="95"/>
      <w:bookmarkEnd w:id="96"/>
      <w:bookmarkEnd w:id="97"/>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(2)承包人未经监理工程师及发包人同意更换项目经理的，承包人应向发包人支付违约金：</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s="Times New Roman"/>
          <w:color w:val="auto"/>
          <w:kern w:val="2"/>
          <w:highlight w:val="none"/>
          <w:u w:val="single"/>
        </w:rPr>
        <w:t>约定</w:t>
      </w:r>
      <w:r>
        <w:rPr>
          <w:rFonts w:hint="eastAsia" w:cs="Times New Roman"/>
          <w:color w:val="auto"/>
          <w:kern w:val="2"/>
          <w:highlight w:val="none"/>
        </w:rPr>
        <w:t>。</w:t>
      </w:r>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(3)承包人无正当理由拒绝更换项目经理的违约责任：</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s="Times New Roman"/>
          <w:color w:val="auto"/>
          <w:kern w:val="2"/>
          <w:highlight w:val="none"/>
          <w:u w:val="single"/>
        </w:rPr>
        <w:t>约定</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98" w:name="_Toc3"/>
      <w:bookmarkStart w:id="99" w:name="_Toc19686"/>
      <w:bookmarkStart w:id="100" w:name="_Toc46325257"/>
      <w:bookmarkStart w:id="101" w:name="_Toc1999918"/>
      <w:r>
        <w:rPr>
          <w:rFonts w:hint="eastAsia" w:cs="Times New Roman"/>
          <w:b/>
          <w:bCs/>
          <w:color w:val="auto"/>
          <w:kern w:val="2"/>
          <w:szCs w:val="32"/>
          <w:highlight w:val="none"/>
        </w:rPr>
        <w:t>4.6 施工管理人员</w:t>
      </w:r>
      <w:bookmarkEnd w:id="98"/>
      <w:bookmarkEnd w:id="99"/>
      <w:bookmarkEnd w:id="100"/>
      <w:bookmarkEnd w:id="101"/>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(5)承包人的管理人员在施工期间出现以下情况，应承担的违约责任：</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s="Times New Roman"/>
          <w:color w:val="auto"/>
          <w:kern w:val="2"/>
          <w:highlight w:val="none"/>
          <w:u w:val="single"/>
        </w:rPr>
        <w:t>约定</w:t>
      </w:r>
      <w:r>
        <w:rPr>
          <w:rFonts w:hint="eastAsia" w:cs="Times New Roman"/>
          <w:color w:val="auto"/>
          <w:kern w:val="2"/>
          <w:highlight w:val="none"/>
        </w:rPr>
        <w:t>。</w:t>
      </w:r>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(6)承包人无正当理由拒绝撤换的，应承担的违约责任：</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s="Times New Roman"/>
          <w:color w:val="auto"/>
          <w:kern w:val="2"/>
          <w:highlight w:val="none"/>
          <w:u w:val="single"/>
        </w:rPr>
        <w:t>约定</w:t>
      </w:r>
      <w:r>
        <w:rPr>
          <w:rFonts w:hint="eastAsia" w:cs="Times New Roman"/>
          <w:color w:val="auto"/>
          <w:kern w:val="2"/>
          <w:highlight w:val="none"/>
        </w:rPr>
        <w:t>。</w:t>
      </w:r>
    </w:p>
    <w:p>
      <w:pPr>
        <w:widowControl w:val="0"/>
        <w:adjustRightInd w:val="0"/>
        <w:snapToGrid w:val="0"/>
        <w:spacing w:line="360" w:lineRule="auto"/>
        <w:ind w:left="2" w:firstLine="480"/>
        <w:rPr>
          <w:rFonts w:cs="Times New Roman"/>
          <w:color w:val="auto"/>
          <w:kern w:val="2"/>
          <w:highlight w:val="none"/>
        </w:rPr>
      </w:pPr>
      <w:r>
        <w:rPr>
          <w:rFonts w:hint="eastAsia" w:cs="Times New Roman"/>
          <w:b/>
          <w:bCs/>
          <w:color w:val="auto"/>
          <w:kern w:val="2"/>
          <w:highlight w:val="none"/>
        </w:rPr>
        <w:t>4.8实名制管理</w:t>
      </w:r>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在本工程履约过程中，发包人将对承包人项目经理、主要施工管理人员实行实名制管理，承包人须同意接受发包人对承包人项目经理、主要施工管理人员进行实名采集管理，具体包括实名信息采集登记、电子签到和人员考勤。实名信息采集登记人员须持本人身份证在指定地点进行拍照采集，采集内容包括人员姓名、身份证信息、电话号码、人脸识别图像等相关信息。纳入电子签到范围人员参加投标文件澄清、每次到达项目现场或发包人指定地址参加会议、现场检查等工作时，须通过人脸识别考勤设备进行电子签到。</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102" w:name="_Toc1999919"/>
      <w:bookmarkStart w:id="103" w:name="_Toc9903"/>
      <w:bookmarkStart w:id="104" w:name="_Toc30168"/>
      <w:bookmarkStart w:id="105" w:name="_Toc46325258"/>
      <w:r>
        <w:rPr>
          <w:rFonts w:hint="eastAsia" w:ascii="Times New Roman" w:cs="Times New Roman"/>
          <w:b/>
          <w:bCs/>
          <w:color w:val="auto"/>
          <w:kern w:val="44"/>
          <w:sz w:val="28"/>
          <w:szCs w:val="28"/>
          <w:highlight w:val="none"/>
        </w:rPr>
        <w:t>5 监理人</w:t>
      </w:r>
      <w:bookmarkEnd w:id="102"/>
      <w:bookmarkEnd w:id="103"/>
      <w:bookmarkEnd w:id="104"/>
      <w:bookmarkEnd w:id="105"/>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06" w:name="_Toc20108"/>
      <w:bookmarkStart w:id="107" w:name="_Toc46325259"/>
      <w:bookmarkStart w:id="108" w:name="_Toc18079"/>
      <w:bookmarkStart w:id="109" w:name="_Toc1999920"/>
      <w:r>
        <w:rPr>
          <w:rFonts w:hint="eastAsia" w:cs="Times New Roman"/>
          <w:b/>
          <w:bCs/>
          <w:color w:val="auto"/>
          <w:kern w:val="2"/>
          <w:szCs w:val="32"/>
          <w:highlight w:val="none"/>
        </w:rPr>
        <w:t>5.1 监理人的通知</w:t>
      </w:r>
      <w:bookmarkEnd w:id="106"/>
      <w:bookmarkEnd w:id="107"/>
      <w:bookmarkEnd w:id="108"/>
      <w:bookmarkEnd w:id="109"/>
    </w:p>
    <w:p>
      <w:pPr>
        <w:widowControl w:val="0"/>
        <w:spacing w:line="360" w:lineRule="auto"/>
        <w:ind w:firstLine="480"/>
        <w:rPr>
          <w:rFonts w:cs="Times New Roman"/>
          <w:color w:val="auto"/>
          <w:kern w:val="2"/>
          <w:highlight w:val="none"/>
        </w:rPr>
      </w:pPr>
      <w:bookmarkStart w:id="110" w:name="_Toc46325260"/>
      <w:bookmarkStart w:id="111" w:name="_Toc1999921"/>
      <w:bookmarkStart w:id="112" w:name="_Toc6568"/>
      <w:bookmarkStart w:id="113" w:name="_Toc31911"/>
      <w:r>
        <w:rPr>
          <w:rFonts w:hint="eastAsia" w:cs="Times New Roman"/>
          <w:color w:val="auto"/>
          <w:kern w:val="2"/>
          <w:highlight w:val="none"/>
        </w:rPr>
        <w:t>监理人名称：</w:t>
      </w:r>
      <w:r>
        <w:rPr>
          <w:rFonts w:hint="eastAsia" w:cs="Times New Roman"/>
          <w:color w:val="auto"/>
          <w:highlight w:val="none"/>
          <w:u w:val="single"/>
        </w:rPr>
        <w:t xml:space="preserve">      </w:t>
      </w:r>
      <w:r>
        <w:rPr>
          <w:rFonts w:hint="eastAsia" w:cs="Times New Roman"/>
          <w:color w:val="auto"/>
          <w:kern w:val="2"/>
          <w:highlight w:val="none"/>
        </w:rPr>
        <w:t>。</w:t>
      </w:r>
    </w:p>
    <w:p>
      <w:pPr>
        <w:widowControl w:val="0"/>
        <w:spacing w:line="360" w:lineRule="auto"/>
        <w:ind w:firstLine="480"/>
        <w:rPr>
          <w:rFonts w:cs="Times New Roman"/>
          <w:color w:val="auto"/>
          <w:kern w:val="2"/>
          <w:highlight w:val="none"/>
        </w:rPr>
      </w:pPr>
      <w:r>
        <w:rPr>
          <w:rFonts w:hint="eastAsia" w:cs="Times New Roman"/>
          <w:color w:val="auto"/>
          <w:kern w:val="2"/>
          <w:highlight w:val="none"/>
        </w:rPr>
        <w:t>总监理工程师姓名：</w:t>
      </w:r>
      <w:r>
        <w:rPr>
          <w:rFonts w:hint="eastAsia" w:cs="Times New Roman"/>
          <w:color w:val="auto"/>
          <w:highlight w:val="none"/>
          <w:u w:val="single"/>
        </w:rPr>
        <w:t xml:space="preserve">          </w:t>
      </w:r>
      <w:r>
        <w:rPr>
          <w:rFonts w:hint="eastAsia" w:cs="Times New Roman"/>
          <w:color w:val="auto"/>
          <w:kern w:val="2"/>
          <w:highlight w:val="none"/>
        </w:rPr>
        <w:t>，资格证书号：</w:t>
      </w:r>
      <w:r>
        <w:rPr>
          <w:rFonts w:hint="eastAsia" w:cs="Times New Roman"/>
          <w:color w:val="auto"/>
          <w:highlight w:val="none"/>
          <w:u w:val="single"/>
        </w:rPr>
        <w:t xml:space="preserve">         </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r>
        <w:rPr>
          <w:rFonts w:hint="eastAsia" w:cs="Times New Roman"/>
          <w:b/>
          <w:bCs/>
          <w:color w:val="auto"/>
          <w:kern w:val="2"/>
          <w:szCs w:val="32"/>
          <w:highlight w:val="none"/>
        </w:rPr>
        <w:t>5.3监理人权力的限制</w:t>
      </w:r>
      <w:bookmarkEnd w:id="110"/>
      <w:bookmarkEnd w:id="111"/>
      <w:bookmarkEnd w:id="112"/>
      <w:bookmarkEnd w:id="113"/>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(1)通用条款第5条第5.3款第（1）项修改为：监理人行使下列权力时，应先取得发包人的批准：</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(A）发布开工令、停工令、复工令；</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（B）向设计人或承包人提出建议且提出的建议可能会提高工程造价或延误工期；</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（C）对本工程任何形式、数量、质量、价款和内容上进行变动；</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（D）对合同约定的承包人职责和义务进行变更；</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（E）提出或批准索赔、现场签证；</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（F）支付工程款；</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（G）对主要设备、建材使用的审批；</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（H）更换承包人或其分包人不称职人员；</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（I）批准承包人或其分包人提出更换项目经理等主要管理人员；</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监理人行使需经发包人批准的权力时，应在相应的监理人行使权力的通知、指令或指示之后附上发包人同意监理人行使权力的相关审批文件的复印件，承包人应对审批文件的真实性进行核实，否则由此产生的一切责任由承包人自行承担。</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发包人有权单方修改监理人的权限，并书面通知承包人，修改的权限自通知到达承包人之日起生效。</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114" w:name="_Toc25574"/>
      <w:bookmarkStart w:id="115" w:name="_Toc352"/>
      <w:bookmarkStart w:id="116" w:name="_Toc1999922"/>
      <w:bookmarkStart w:id="117" w:name="_Toc46325261"/>
      <w:r>
        <w:rPr>
          <w:rFonts w:hint="eastAsia" w:ascii="Times New Roman" w:cs="Times New Roman"/>
          <w:b/>
          <w:bCs/>
          <w:color w:val="auto"/>
          <w:kern w:val="44"/>
          <w:sz w:val="28"/>
          <w:szCs w:val="28"/>
          <w:highlight w:val="none"/>
        </w:rPr>
        <w:t>6 转让、分包</w:t>
      </w:r>
      <w:bookmarkEnd w:id="114"/>
      <w:bookmarkEnd w:id="115"/>
      <w:bookmarkEnd w:id="116"/>
      <w:bookmarkEnd w:id="117"/>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18" w:name="_Toc46325262"/>
      <w:bookmarkStart w:id="119" w:name="_Toc7298"/>
      <w:bookmarkStart w:id="120" w:name="_Toc1999923"/>
      <w:bookmarkStart w:id="121" w:name="_Toc19157"/>
      <w:r>
        <w:rPr>
          <w:rFonts w:hint="eastAsia" w:cs="Times New Roman"/>
          <w:b/>
          <w:bCs/>
          <w:color w:val="auto"/>
          <w:kern w:val="2"/>
          <w:szCs w:val="32"/>
          <w:highlight w:val="none"/>
        </w:rPr>
        <w:t>6.1 转让</w:t>
      </w:r>
      <w:bookmarkEnd w:id="118"/>
      <w:bookmarkEnd w:id="119"/>
      <w:bookmarkEnd w:id="120"/>
      <w:bookmarkEnd w:id="121"/>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如承包人有转让行为，应承担的违约责任：</w:t>
      </w:r>
      <w:r>
        <w:rPr>
          <w:rFonts w:hint="eastAsia" w:cs="Times New Roman"/>
          <w:color w:val="auto"/>
          <w:kern w:val="2"/>
          <w:highlight w:val="none"/>
          <w:u w:val="single"/>
        </w:rPr>
        <w:t>详见补充条款及附件1约定</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22" w:name="_Toc46325263"/>
      <w:bookmarkStart w:id="123" w:name="_Toc3052"/>
      <w:bookmarkStart w:id="124" w:name="_Toc1999924"/>
      <w:bookmarkStart w:id="125" w:name="_Toc22003"/>
      <w:r>
        <w:rPr>
          <w:rFonts w:hint="eastAsia" w:cs="Times New Roman"/>
          <w:b/>
          <w:bCs/>
          <w:color w:val="auto"/>
          <w:kern w:val="2"/>
          <w:szCs w:val="32"/>
          <w:highlight w:val="none"/>
        </w:rPr>
        <w:t>6.2 分包</w:t>
      </w:r>
      <w:bookmarkEnd w:id="122"/>
      <w:bookmarkEnd w:id="123"/>
      <w:bookmarkEnd w:id="124"/>
      <w:bookmarkEnd w:id="125"/>
    </w:p>
    <w:p>
      <w:pPr>
        <w:widowControl w:val="0"/>
        <w:tabs>
          <w:tab w:val="left" w:pos="540"/>
          <w:tab w:val="left" w:pos="2340"/>
        </w:tabs>
        <w:adjustRightInd w:val="0"/>
        <w:snapToGrid w:val="0"/>
        <w:spacing w:line="360" w:lineRule="auto"/>
        <w:ind w:left="180" w:firstLine="480" w:firstLineChars="200"/>
        <w:outlineLvl w:val="2"/>
        <w:rPr>
          <w:rFonts w:cs="Times New Roman"/>
          <w:color w:val="auto"/>
          <w:kern w:val="2"/>
          <w:highlight w:val="none"/>
        </w:rPr>
      </w:pPr>
      <w:r>
        <w:rPr>
          <w:rFonts w:hint="eastAsia" w:cs="Times New Roman"/>
          <w:color w:val="auto"/>
          <w:kern w:val="2"/>
          <w:highlight w:val="none"/>
        </w:rPr>
        <w:t>（2）承包人不得分包的主体结构、关键性工作范围包括：</w:t>
      </w:r>
      <w:r>
        <w:rPr>
          <w:rFonts w:hint="eastAsia" w:cs="Times New Roman"/>
          <w:color w:val="auto"/>
          <w:kern w:val="2"/>
          <w:highlight w:val="none"/>
          <w:u w:val="single"/>
        </w:rPr>
        <w:t>按规定执行</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firstLine="480" w:firstLineChars="200"/>
        <w:outlineLvl w:val="2"/>
        <w:rPr>
          <w:rFonts w:cs="Times New Roman"/>
          <w:color w:val="auto"/>
          <w:kern w:val="2"/>
          <w:highlight w:val="none"/>
        </w:rPr>
      </w:pPr>
      <w:r>
        <w:rPr>
          <w:rFonts w:hint="eastAsia" w:cs="Times New Roman"/>
          <w:color w:val="auto"/>
          <w:kern w:val="2"/>
          <w:highlight w:val="none"/>
        </w:rPr>
        <w:t>如承包人有违法及违法合同约定的分包行为，应承担的违约责任：</w:t>
      </w:r>
      <w:r>
        <w:rPr>
          <w:rFonts w:hint="eastAsia" w:cs="Times New Roman"/>
          <w:color w:val="auto"/>
          <w:kern w:val="2"/>
          <w:highlight w:val="none"/>
          <w:u w:val="single"/>
        </w:rPr>
        <w:t>详见补充条款及附件1约定</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26" w:name="_Toc46325264"/>
      <w:bookmarkStart w:id="127" w:name="_Toc1999925"/>
      <w:bookmarkStart w:id="128" w:name="_Toc5163"/>
      <w:bookmarkStart w:id="129" w:name="_Toc29451"/>
      <w:r>
        <w:rPr>
          <w:rFonts w:hint="eastAsia" w:cs="Times New Roman"/>
          <w:b/>
          <w:bCs/>
          <w:color w:val="auto"/>
          <w:kern w:val="2"/>
          <w:szCs w:val="32"/>
          <w:highlight w:val="none"/>
        </w:rPr>
        <w:t>6.3 分包人的确定</w:t>
      </w:r>
      <w:bookmarkEnd w:id="126"/>
      <w:bookmarkEnd w:id="127"/>
      <w:bookmarkEnd w:id="128"/>
      <w:bookmarkEnd w:id="129"/>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rPr>
        <w:t>(1)分包人应符合的条件：</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承包人按照6.2（1）款对某专业工程实施分包时，分包人除必须具备承建该专业工程的施工资质条件外，还须同时满足以下条件：</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分包人除具备相应资质等级、满足主管部门的规定外，还应有类似工程的施工经验，实力强、信誉好。</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发包人对承包人实施分包行为的监督措施包括但不限于：</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1.承包人在实施分包前(含劳务分包)，必须向发包人、监理人提交分包方案，该方案须经发包人审查批准。</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2.承包人如采用招标方式实施分包的，发包人有权审核分包人的投标资格、招标文件，参加评标、合同谈判等活动，有权监督开标、评标、定标全过程；承包人如采用直接委托方式实施分包的，分包方案、分包人与分包合同等应报发包人审查批准；无论采用上述何种方式或中标价如何，发包人均按承包人中标的报价与承包人结算。</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必要时，发包人有权变动经发包人同意承包人分包的专业工程工程款的支付方式：工程款由发包人直接支付给分包人，结算时发包人有权从承包人中标的报价中直接扣除。</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3.若发包人发现承包人选择的分包人资质不够或社会信誉较差或存在挂靠现象的，发包人对承包人选择的分包人有否决权。</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4.发包人有权要求承包人按发包人审核确认的分包合同文本与分包人签订分包合同。</w:t>
      </w:r>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u w:val="single"/>
        </w:rPr>
        <w:t>5.在分包工程开工前5个工作日内，承包人应当将其安排参与施工项目的全部管理人员、技术人员、工人的名册和身份证复印件交监理人备案。在任何时段内，发包人、监理人核实参与施工和管理的管理和技术人员有5名以上，工人30人以上不属于名册内的人员，即视为承包人转包或擅自分包。</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130" w:name="_Toc27947"/>
      <w:bookmarkStart w:id="131" w:name="_Toc1999926"/>
      <w:bookmarkStart w:id="132" w:name="_Toc46325265"/>
      <w:bookmarkStart w:id="133" w:name="_Toc9692"/>
      <w:r>
        <w:rPr>
          <w:rFonts w:hint="eastAsia" w:ascii="Times New Roman" w:cs="Times New Roman"/>
          <w:b/>
          <w:bCs/>
          <w:color w:val="auto"/>
          <w:kern w:val="44"/>
          <w:sz w:val="28"/>
          <w:szCs w:val="28"/>
          <w:highlight w:val="none"/>
        </w:rPr>
        <w:t>7 专业工程发包</w:t>
      </w:r>
      <w:bookmarkEnd w:id="130"/>
      <w:bookmarkEnd w:id="131"/>
      <w:bookmarkEnd w:id="132"/>
      <w:bookmarkEnd w:id="133"/>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34" w:name="_Toc1999927"/>
      <w:bookmarkStart w:id="135" w:name="_Toc28004"/>
      <w:bookmarkStart w:id="136" w:name="_Toc46325266"/>
      <w:bookmarkStart w:id="137" w:name="_Toc24270"/>
      <w:r>
        <w:rPr>
          <w:rFonts w:hint="eastAsia" w:cs="Times New Roman"/>
          <w:b/>
          <w:bCs/>
          <w:color w:val="auto"/>
          <w:kern w:val="2"/>
          <w:szCs w:val="32"/>
          <w:highlight w:val="none"/>
        </w:rPr>
        <w:t>7.1 专业工程承包人</w:t>
      </w:r>
      <w:bookmarkEnd w:id="134"/>
      <w:bookmarkEnd w:id="135"/>
      <w:bookmarkEnd w:id="136"/>
      <w:bookmarkEnd w:id="137"/>
      <w:r>
        <w:rPr>
          <w:rFonts w:hint="eastAsia" w:cs="Times New Roman"/>
          <w:b/>
          <w:bCs/>
          <w:color w:val="auto"/>
          <w:kern w:val="2"/>
          <w:szCs w:val="32"/>
          <w:highlight w:val="none"/>
        </w:rPr>
        <w:tab/>
      </w:r>
    </w:p>
    <w:p>
      <w:pPr>
        <w:widowControl w:val="0"/>
        <w:adjustRightInd w:val="0"/>
        <w:snapToGrid w:val="0"/>
        <w:spacing w:line="360" w:lineRule="auto"/>
        <w:ind w:firstLine="480"/>
        <w:rPr>
          <w:rFonts w:cs="Times New Roman"/>
          <w:bCs/>
          <w:color w:val="auto"/>
          <w:kern w:val="2"/>
          <w:highlight w:val="none"/>
        </w:rPr>
      </w:pPr>
      <w:r>
        <w:rPr>
          <w:rFonts w:hint="eastAsia" w:cs="Times New Roman"/>
          <w:bCs/>
          <w:color w:val="auto"/>
          <w:kern w:val="2"/>
          <w:highlight w:val="none"/>
        </w:rPr>
        <w:t>（1）承包人与专业工程承包人签订的专业工程分包合同应送1份至监理人处留存备案。</w:t>
      </w:r>
    </w:p>
    <w:tbl>
      <w:tblPr>
        <w:tblStyle w:val="18"/>
        <w:tblW w:w="7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120" w:firstLineChars="50"/>
              <w:jc w:val="center"/>
              <w:rPr>
                <w:rFonts w:cs="Times New Roman"/>
                <w:color w:val="auto"/>
                <w:kern w:val="2"/>
                <w:highlight w:val="none"/>
              </w:rPr>
            </w:pPr>
            <w:r>
              <w:rPr>
                <w:rFonts w:hint="eastAsia" w:cs="Times New Roman"/>
                <w:color w:val="auto"/>
                <w:kern w:val="2"/>
                <w:highlight w:val="none"/>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专业工程名称</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专业工程承包人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w:t>
            </w:r>
          </w:p>
        </w:tc>
        <w:tc>
          <w:tcPr>
            <w:tcW w:w="25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w:t>
            </w:r>
          </w:p>
        </w:tc>
        <w:tc>
          <w:tcPr>
            <w:tcW w:w="42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w:t>
            </w:r>
          </w:p>
        </w:tc>
        <w:tc>
          <w:tcPr>
            <w:tcW w:w="25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w:t>
            </w:r>
          </w:p>
        </w:tc>
        <w:tc>
          <w:tcPr>
            <w:tcW w:w="42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color w:val="auto"/>
                <w:kern w:val="2"/>
                <w:highlight w:val="none"/>
              </w:rPr>
            </w:pPr>
            <w:r>
              <w:rPr>
                <w:rFonts w:hint="eastAsia" w:cs="Times New Roman"/>
                <w:color w:val="auto"/>
                <w:kern w:val="2"/>
                <w:highlight w:val="none"/>
              </w:rPr>
              <w:t>/</w:t>
            </w:r>
          </w:p>
        </w:tc>
      </w:tr>
    </w:tbl>
    <w:p>
      <w:pPr>
        <w:widowControl w:val="0"/>
        <w:tabs>
          <w:tab w:val="left" w:pos="540"/>
          <w:tab w:val="left" w:pos="2340"/>
        </w:tabs>
        <w:adjustRightInd w:val="0"/>
        <w:snapToGrid w:val="0"/>
        <w:spacing w:line="360" w:lineRule="auto"/>
        <w:ind w:left="180"/>
        <w:outlineLvl w:val="2"/>
        <w:rPr>
          <w:b/>
          <w:color w:val="auto"/>
          <w:kern w:val="2"/>
          <w:highlight w:val="none"/>
        </w:rPr>
      </w:pPr>
      <w:bookmarkStart w:id="138" w:name="_Toc4847"/>
      <w:bookmarkStart w:id="139" w:name="_Toc1999928"/>
      <w:bookmarkStart w:id="140" w:name="_Toc46325267"/>
      <w:r>
        <w:rPr>
          <w:b/>
          <w:color w:val="auto"/>
          <w:kern w:val="2"/>
          <w:highlight w:val="none"/>
        </w:rPr>
        <w:t xml:space="preserve">7.2 </w:t>
      </w:r>
      <w:r>
        <w:rPr>
          <w:rFonts w:hint="eastAsia"/>
          <w:b/>
          <w:color w:val="auto"/>
          <w:kern w:val="2"/>
          <w:highlight w:val="none"/>
        </w:rPr>
        <w:t>总承包服务费</w:t>
      </w:r>
      <w:bookmarkEnd w:id="138"/>
    </w:p>
    <w:p>
      <w:pPr>
        <w:widowControl w:val="0"/>
        <w:tabs>
          <w:tab w:val="left" w:pos="540"/>
          <w:tab w:val="left" w:pos="2340"/>
        </w:tabs>
        <w:adjustRightInd w:val="0"/>
        <w:snapToGrid w:val="0"/>
        <w:spacing w:line="360" w:lineRule="auto"/>
        <w:ind w:left="180" w:firstLine="480" w:firstLineChars="200"/>
        <w:outlineLvl w:val="2"/>
        <w:rPr>
          <w:color w:val="auto"/>
          <w:highlight w:val="none"/>
          <w:u w:val="single"/>
        </w:rPr>
      </w:pPr>
      <w:r>
        <w:rPr>
          <w:rFonts w:hint="eastAsia"/>
          <w:color w:val="auto"/>
          <w:highlight w:val="none"/>
          <w:u w:val="single"/>
        </w:rPr>
        <w:t>（1）本工程</w:t>
      </w:r>
      <w:r>
        <w:rPr>
          <w:rFonts w:hint="eastAsia"/>
          <w:color w:val="auto"/>
          <w:highlight w:val="none"/>
          <w:u w:val="single"/>
          <w:lang w:val="en-US" w:eastAsia="zh-CN"/>
        </w:rPr>
        <w:t>实际不发生总承包服务费；如后续有发生则总承包服务费不单列计取并且</w:t>
      </w:r>
      <w:r>
        <w:rPr>
          <w:rFonts w:hint="eastAsia"/>
          <w:color w:val="auto"/>
          <w:highlight w:val="none"/>
          <w:u w:val="single"/>
        </w:rPr>
        <w:t>视为已包含在其他工程量清单中，承包人应在投标报价时综合考虑。</w:t>
      </w:r>
    </w:p>
    <w:bookmarkEnd w:id="139"/>
    <w:bookmarkEnd w:id="140"/>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41" w:name="_Toc12466"/>
      <w:bookmarkStart w:id="142" w:name="_Toc1999929"/>
      <w:bookmarkStart w:id="143" w:name="_Toc46325268"/>
      <w:bookmarkStart w:id="144" w:name="_Toc27073"/>
      <w:r>
        <w:rPr>
          <w:rFonts w:hint="eastAsia" w:cs="Times New Roman"/>
          <w:b/>
          <w:bCs/>
          <w:color w:val="auto"/>
          <w:kern w:val="2"/>
          <w:szCs w:val="32"/>
          <w:highlight w:val="none"/>
        </w:rPr>
        <w:t>7.3 工作界面协调</w:t>
      </w:r>
      <w:bookmarkEnd w:id="141"/>
      <w:bookmarkEnd w:id="142"/>
      <w:bookmarkEnd w:id="143"/>
      <w:bookmarkEnd w:id="144"/>
    </w:p>
    <w:p>
      <w:pPr>
        <w:widowControl w:val="0"/>
        <w:adjustRightInd w:val="0"/>
        <w:snapToGrid w:val="0"/>
        <w:spacing w:line="360" w:lineRule="auto"/>
        <w:ind w:left="2" w:firstLine="480"/>
        <w:rPr>
          <w:rFonts w:cs="Times New Roman"/>
          <w:color w:val="auto"/>
          <w:kern w:val="2"/>
          <w:highlight w:val="none"/>
        </w:rPr>
      </w:pPr>
      <w:r>
        <w:rPr>
          <w:rFonts w:hint="eastAsia" w:cs="Times New Roman"/>
          <w:color w:val="auto"/>
          <w:kern w:val="2"/>
          <w:highlight w:val="none"/>
        </w:rPr>
        <w:t>(4)</w:t>
      </w:r>
      <w:r>
        <w:rPr>
          <w:rFonts w:hint="eastAsia" w:cs="Times New Roman"/>
          <w:color w:val="auto"/>
          <w:highlight w:val="none"/>
        </w:rPr>
        <w:t>由于承包人未能及时对工程接口问题进行协调或未及时实施监理人接口指令而造成损失的，承包人应</w:t>
      </w:r>
      <w:r>
        <w:rPr>
          <w:rFonts w:hint="eastAsia" w:cs="Times New Roman"/>
          <w:color w:val="auto"/>
          <w:kern w:val="2"/>
          <w:highlight w:val="none"/>
        </w:rPr>
        <w:t>向发包人支付的违约金：</w:t>
      </w:r>
      <w:r>
        <w:rPr>
          <w:rFonts w:hint="eastAsia" w:cs="Times New Roman"/>
          <w:color w:val="auto"/>
          <w:kern w:val="2"/>
          <w:highlight w:val="none"/>
          <w:u w:val="single"/>
        </w:rPr>
        <w:t>详见补充条款及附件1约定</w:t>
      </w:r>
      <w:r>
        <w:rPr>
          <w:rFonts w:hint="eastAsia" w:cs="Times New Roman"/>
          <w:color w:val="auto"/>
          <w:kern w:val="2"/>
          <w:highlight w:val="none"/>
        </w:rPr>
        <w:t>。</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145" w:name="_Toc1999930"/>
      <w:bookmarkStart w:id="146" w:name="_Toc46325269"/>
      <w:bookmarkStart w:id="147" w:name="_Toc12810"/>
      <w:bookmarkStart w:id="148" w:name="_Toc24959"/>
      <w:r>
        <w:rPr>
          <w:rFonts w:hint="eastAsia" w:ascii="Times New Roman" w:cs="Times New Roman"/>
          <w:b/>
          <w:bCs/>
          <w:color w:val="auto"/>
          <w:kern w:val="44"/>
          <w:sz w:val="28"/>
          <w:szCs w:val="28"/>
          <w:highlight w:val="none"/>
        </w:rPr>
        <w:t>8 用工和劳务</w:t>
      </w:r>
      <w:bookmarkEnd w:id="145"/>
      <w:bookmarkEnd w:id="146"/>
      <w:bookmarkEnd w:id="147"/>
      <w:bookmarkEnd w:id="148"/>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49" w:name="_Toc16744"/>
      <w:bookmarkStart w:id="150" w:name="_Toc1999931"/>
      <w:bookmarkStart w:id="151" w:name="_Toc46325270"/>
      <w:bookmarkStart w:id="152" w:name="_Toc18416"/>
      <w:r>
        <w:rPr>
          <w:rFonts w:hint="eastAsia" w:cs="Times New Roman"/>
          <w:b/>
          <w:bCs/>
          <w:color w:val="auto"/>
          <w:kern w:val="2"/>
          <w:szCs w:val="32"/>
          <w:highlight w:val="none"/>
        </w:rPr>
        <w:t>8.1 劳动合同</w:t>
      </w:r>
      <w:bookmarkEnd w:id="149"/>
      <w:bookmarkEnd w:id="150"/>
      <w:bookmarkEnd w:id="151"/>
      <w:bookmarkEnd w:id="152"/>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rPr>
        <w:t>(3)若发包人或监理人发现有未签订劳动合同的劳动者在现场施工，承包人应向发包人支付违约金：</w:t>
      </w:r>
      <w:r>
        <w:rPr>
          <w:rFonts w:hint="eastAsia" w:cs="Times New Roman"/>
          <w:color w:val="auto"/>
          <w:kern w:val="2"/>
          <w:highlight w:val="none"/>
          <w:u w:val="single"/>
        </w:rPr>
        <w:t>详见补充条款及附件1约定</w:t>
      </w:r>
      <w:r>
        <w:rPr>
          <w:rFonts w:hint="eastAsia" w:cs="Times New Roman"/>
          <w:color w:val="auto"/>
          <w:kern w:val="2"/>
          <w:highlight w:val="none"/>
        </w:rPr>
        <w:t>。</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53" w:name="_Toc46325271"/>
      <w:bookmarkStart w:id="154" w:name="_Toc1999932"/>
      <w:bookmarkStart w:id="155" w:name="_Toc12047"/>
      <w:bookmarkStart w:id="156" w:name="_Toc12236"/>
      <w:r>
        <w:rPr>
          <w:rFonts w:hint="eastAsia" w:cs="Times New Roman"/>
          <w:b/>
          <w:bCs/>
          <w:color w:val="auto"/>
          <w:kern w:val="2"/>
          <w:szCs w:val="32"/>
          <w:highlight w:val="none"/>
        </w:rPr>
        <w:t>8.2 劳务分包</w:t>
      </w:r>
      <w:bookmarkEnd w:id="153"/>
      <w:bookmarkEnd w:id="154"/>
      <w:bookmarkEnd w:id="155"/>
      <w:bookmarkEnd w:id="156"/>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(2)劳务分包企业对所有派遣劳动者购买意外伤害险和工伤保险的保险金额不得低于：</w:t>
      </w:r>
      <w:r>
        <w:rPr>
          <w:rFonts w:hint="eastAsia" w:cs="Times New Roman"/>
          <w:color w:val="auto"/>
          <w:kern w:val="2"/>
          <w:highlight w:val="none"/>
          <w:u w:val="single"/>
        </w:rPr>
        <w:t>按《劳动合同法》、深圳市相关规定及本合同通用条款的要求。</w:t>
      </w:r>
    </w:p>
    <w:p>
      <w:pPr>
        <w:widowControl w:val="0"/>
        <w:tabs>
          <w:tab w:val="left" w:pos="540"/>
          <w:tab w:val="left" w:pos="2340"/>
        </w:tabs>
        <w:adjustRightInd w:val="0"/>
        <w:snapToGrid w:val="0"/>
        <w:spacing w:line="360" w:lineRule="auto"/>
        <w:ind w:left="180"/>
        <w:outlineLvl w:val="2"/>
        <w:rPr>
          <w:rFonts w:cs="Times New Roman"/>
          <w:b/>
          <w:bCs/>
          <w:color w:val="auto"/>
          <w:kern w:val="2"/>
          <w:szCs w:val="32"/>
          <w:highlight w:val="none"/>
        </w:rPr>
      </w:pPr>
      <w:bookmarkStart w:id="157" w:name="_Toc1999933"/>
      <w:bookmarkStart w:id="158" w:name="_Toc19222"/>
      <w:bookmarkStart w:id="159" w:name="_Toc46325272"/>
      <w:bookmarkStart w:id="160" w:name="_Toc24588"/>
      <w:r>
        <w:rPr>
          <w:rFonts w:hint="eastAsia" w:cs="Times New Roman"/>
          <w:b/>
          <w:bCs/>
          <w:color w:val="auto"/>
          <w:kern w:val="2"/>
          <w:szCs w:val="32"/>
          <w:highlight w:val="none"/>
        </w:rPr>
        <w:t>8.3 劳务分包合同</w:t>
      </w:r>
      <w:bookmarkEnd w:id="157"/>
      <w:bookmarkEnd w:id="158"/>
      <w:bookmarkEnd w:id="159"/>
      <w:bookmarkEnd w:id="160"/>
    </w:p>
    <w:p>
      <w:pPr>
        <w:widowControl w:val="0"/>
        <w:adjustRightInd w:val="0"/>
        <w:snapToGrid w:val="0"/>
        <w:spacing w:line="360" w:lineRule="auto"/>
        <w:ind w:left="2" w:firstLine="480"/>
        <w:rPr>
          <w:rFonts w:cs="Times New Roman"/>
          <w:color w:val="auto"/>
          <w:kern w:val="2"/>
          <w:highlight w:val="none"/>
          <w:u w:val="single"/>
        </w:rPr>
      </w:pPr>
      <w:r>
        <w:rPr>
          <w:rFonts w:hint="eastAsia" w:cs="Times New Roman"/>
          <w:color w:val="auto"/>
          <w:kern w:val="2"/>
          <w:highlight w:val="none"/>
        </w:rPr>
        <w:t>(3)若发包人或监理人发现工地上有未签订劳务分包合同或劳务分包合同未进行备案的劳务企业人员在现场施工，承包人应向发包人支付违约金：</w:t>
      </w:r>
      <w:r>
        <w:rPr>
          <w:rFonts w:hint="eastAsia" w:cs="Times New Roman"/>
          <w:color w:val="auto"/>
          <w:kern w:val="2"/>
          <w:highlight w:val="none"/>
          <w:u w:val="single"/>
        </w:rPr>
        <w:t>详见补充条款及附件1约定</w:t>
      </w:r>
      <w:r>
        <w:rPr>
          <w:rFonts w:hint="eastAsia" w:cs="Times New Roman"/>
          <w:color w:val="auto"/>
          <w:kern w:val="2"/>
          <w:highlight w:val="none"/>
        </w:rPr>
        <w:t>。</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161" w:name="_Toc20999"/>
      <w:bookmarkStart w:id="162" w:name="_Toc1999934"/>
      <w:bookmarkStart w:id="163" w:name="_Toc14582"/>
      <w:bookmarkStart w:id="164" w:name="_Toc46325273"/>
      <w:r>
        <w:rPr>
          <w:rFonts w:hint="eastAsia" w:ascii="Times New Roman" w:cs="Times New Roman"/>
          <w:b/>
          <w:bCs/>
          <w:color w:val="auto"/>
          <w:kern w:val="44"/>
          <w:sz w:val="28"/>
          <w:szCs w:val="28"/>
          <w:highlight w:val="none"/>
        </w:rPr>
        <w:t>9 施工组织设计和进度计划</w:t>
      </w:r>
      <w:bookmarkEnd w:id="161"/>
      <w:bookmarkEnd w:id="162"/>
      <w:bookmarkEnd w:id="163"/>
      <w:bookmarkEnd w:id="164"/>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165" w:name="_Toc46325274"/>
      <w:bookmarkStart w:id="166" w:name="_Toc1999935"/>
      <w:bookmarkStart w:id="167" w:name="_Toc19915"/>
      <w:bookmarkStart w:id="168" w:name="_Toc20020"/>
      <w:r>
        <w:rPr>
          <w:rFonts w:hint="eastAsia" w:cs="Times New Roman"/>
          <w:b/>
          <w:bCs/>
          <w:color w:val="auto"/>
          <w:kern w:val="2"/>
          <w:szCs w:val="32"/>
          <w:highlight w:val="none"/>
        </w:rPr>
        <w:t>9.1 施工组织设计和进度计划的编制与提交</w:t>
      </w:r>
      <w:bookmarkEnd w:id="165"/>
      <w:bookmarkEnd w:id="166"/>
      <w:bookmarkEnd w:id="167"/>
      <w:bookmarkEnd w:id="168"/>
    </w:p>
    <w:p>
      <w:pPr>
        <w:widowControl w:val="0"/>
        <w:adjustRightInd w:val="0"/>
        <w:snapToGrid w:val="0"/>
        <w:spacing w:line="360" w:lineRule="auto"/>
        <w:ind w:left="-57" w:right="-105" w:firstLine="480"/>
        <w:rPr>
          <w:rFonts w:cs="Times New Roman"/>
          <w:color w:val="auto"/>
          <w:kern w:val="2"/>
          <w:highlight w:val="none"/>
        </w:rPr>
      </w:pPr>
      <w:r>
        <w:rPr>
          <w:rFonts w:hint="eastAsia" w:cs="Times New Roman"/>
          <w:color w:val="auto"/>
          <w:kern w:val="2"/>
          <w:highlight w:val="none"/>
        </w:rPr>
        <w:t>(1)承包人应提供单项施工组织设计和工程进度计划的单项工程名称：</w:t>
      </w:r>
      <w:r>
        <w:rPr>
          <w:rFonts w:hint="eastAsia" w:cs="Times New Roman"/>
          <w:color w:val="auto"/>
          <w:kern w:val="2"/>
          <w:highlight w:val="none"/>
          <w:u w:val="single"/>
        </w:rPr>
        <w:t>*****。</w:t>
      </w:r>
    </w:p>
    <w:p>
      <w:pPr>
        <w:pStyle w:val="22"/>
        <w:adjustRightInd w:val="0"/>
        <w:snapToGri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(2)承包人提供施工组织设计和工程进度计划的时间和要求：</w:t>
      </w:r>
      <w:r>
        <w:rPr>
          <w:rFonts w:hint="eastAsia" w:ascii="宋体" w:hAnsi="宋体"/>
          <w:color w:val="auto"/>
          <w:sz w:val="24"/>
          <w:szCs w:val="24"/>
          <w:highlight w:val="none"/>
          <w:u w:val="single"/>
        </w:rPr>
        <w:t>①承包人在收到本工程施工图纸后5天内，应向监理工程师提交 3 份内容符合整个工程实际的施工组织设计（含现场安全文明施工设计）、工程进度计划、工程措施费使用计划、工程应急抢险预案等报工程师审批； ②施工方案必须满足技术规范的要求并提出确保工程质量、进度和投资控制的措施，现场安全文明设计必须满足《深圳市建设工程现场文明施工管理办法》的要求。</w:t>
      </w:r>
    </w:p>
    <w:p>
      <w:pPr>
        <w:widowControl w:val="0"/>
        <w:adjustRightInd w:val="0"/>
        <w:snapToGrid w:val="0"/>
        <w:spacing w:line="360" w:lineRule="auto"/>
        <w:ind w:firstLine="480"/>
        <w:jc w:val="both"/>
        <w:rPr>
          <w:color w:val="auto"/>
          <w:kern w:val="2"/>
          <w:highlight w:val="none"/>
          <w:u w:val="single"/>
        </w:rPr>
      </w:pPr>
      <w:r>
        <w:rPr>
          <w:rFonts w:hint="eastAsia"/>
          <w:color w:val="auto"/>
          <w:kern w:val="2"/>
          <w:highlight w:val="none"/>
        </w:rPr>
        <w:t>监理人确认的时间：</w:t>
      </w:r>
      <w:r>
        <w:rPr>
          <w:rFonts w:hint="eastAsia"/>
          <w:color w:val="auto"/>
          <w:kern w:val="2"/>
          <w:highlight w:val="none"/>
          <w:u w:val="single"/>
        </w:rPr>
        <w:t>应在收到施工组织设计和工程进度计划后5日内予以确认或提出修改意见。</w:t>
      </w:r>
    </w:p>
    <w:p>
      <w:pPr>
        <w:widowControl w:val="0"/>
        <w:adjustRightInd w:val="0"/>
        <w:snapToGrid w:val="0"/>
        <w:spacing w:line="360" w:lineRule="auto"/>
        <w:ind w:firstLine="480"/>
        <w:jc w:val="both"/>
        <w:rPr>
          <w:rFonts w:cs="Times New Roman"/>
          <w:color w:val="auto"/>
          <w:kern w:val="2"/>
          <w:highlight w:val="none"/>
          <w:u w:val="single"/>
        </w:rPr>
      </w:pPr>
      <w:r>
        <w:rPr>
          <w:rFonts w:hint="eastAsia"/>
          <w:color w:val="auto"/>
          <w:kern w:val="2"/>
          <w:highlight w:val="none"/>
        </w:rPr>
        <w:t>承包人根据监理人的合理意见提交修改后的施工组织设计和工程进度计划的时间和要求：</w:t>
      </w:r>
      <w:r>
        <w:rPr>
          <w:rFonts w:hint="eastAsia"/>
          <w:color w:val="auto"/>
          <w:kern w:val="2"/>
          <w:highlight w:val="none"/>
          <w:u w:val="single"/>
        </w:rPr>
        <w:t>承包人收到修改意见后 3天内提交修改后的施工组织设计和工程进度计划，待总监理工程师确认后执行。</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169" w:name="_Toc5215"/>
      <w:bookmarkStart w:id="170" w:name="_Toc46325275"/>
      <w:bookmarkStart w:id="171" w:name="_Toc1999936"/>
      <w:bookmarkStart w:id="172" w:name="_Toc18177"/>
      <w:r>
        <w:rPr>
          <w:rFonts w:hint="eastAsia" w:cs="Times New Roman"/>
          <w:b/>
          <w:bCs/>
          <w:color w:val="auto"/>
          <w:kern w:val="2"/>
          <w:szCs w:val="32"/>
          <w:highlight w:val="none"/>
        </w:rPr>
        <w:t>9.4 工程用款计划</w:t>
      </w:r>
      <w:bookmarkEnd w:id="169"/>
      <w:bookmarkEnd w:id="170"/>
      <w:bookmarkEnd w:id="171"/>
      <w:bookmarkEnd w:id="172"/>
    </w:p>
    <w:p>
      <w:pPr>
        <w:widowControl w:val="0"/>
        <w:adjustRightInd w:val="0"/>
        <w:snapToGrid w:val="0"/>
        <w:spacing w:line="360" w:lineRule="auto"/>
        <w:ind w:firstLine="440"/>
        <w:rPr>
          <w:rFonts w:cs="Times New Roman"/>
          <w:bCs/>
          <w:color w:val="auto"/>
          <w:kern w:val="2"/>
          <w:highlight w:val="none"/>
          <w:u w:val="single"/>
        </w:rPr>
      </w:pPr>
      <w:r>
        <w:rPr>
          <w:rFonts w:hint="eastAsia" w:cs="Times New Roman"/>
          <w:bCs/>
          <w:color w:val="auto"/>
          <w:spacing w:val="-10"/>
          <w:kern w:val="2"/>
          <w:highlight w:val="none"/>
        </w:rPr>
        <w:t>承包人提交工程用款计划的要求：</w:t>
      </w:r>
      <w:r>
        <w:rPr>
          <w:rFonts w:hint="eastAsia" w:cs="Times New Roman"/>
          <w:color w:val="auto"/>
          <w:highlight w:val="none"/>
          <w:u w:val="single"/>
        </w:rPr>
        <w:t>满足工程进度要求。</w:t>
      </w:r>
    </w:p>
    <w:p>
      <w:pPr>
        <w:tabs>
          <w:tab w:val="left" w:pos="1620"/>
          <w:tab w:val="left" w:pos="2340"/>
        </w:tabs>
        <w:adjustRightInd w:val="0"/>
        <w:snapToGrid w:val="0"/>
        <w:spacing w:line="360" w:lineRule="auto"/>
        <w:outlineLvl w:val="1"/>
        <w:rPr>
          <w:rFonts w:ascii="Times New Roman" w:cs="Times New Roman"/>
          <w:b/>
          <w:bCs/>
          <w:color w:val="auto"/>
          <w:kern w:val="44"/>
          <w:sz w:val="28"/>
          <w:szCs w:val="28"/>
          <w:highlight w:val="none"/>
        </w:rPr>
      </w:pPr>
      <w:bookmarkStart w:id="173" w:name="_Toc46325276"/>
      <w:bookmarkStart w:id="174" w:name="_Toc1999937"/>
      <w:bookmarkStart w:id="175" w:name="_Toc2235"/>
      <w:bookmarkStart w:id="176" w:name="_Toc12521"/>
      <w:r>
        <w:rPr>
          <w:rFonts w:hint="eastAsia" w:ascii="Times New Roman" w:cs="Times New Roman"/>
          <w:b/>
          <w:bCs/>
          <w:color w:val="auto"/>
          <w:kern w:val="44"/>
          <w:sz w:val="28"/>
          <w:szCs w:val="28"/>
          <w:highlight w:val="none"/>
        </w:rPr>
        <w:t>10 施工准备</w:t>
      </w:r>
      <w:bookmarkEnd w:id="173"/>
      <w:bookmarkEnd w:id="174"/>
      <w:bookmarkEnd w:id="175"/>
      <w:bookmarkEnd w:id="176"/>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177" w:name="_Toc46325277"/>
      <w:bookmarkStart w:id="178" w:name="_Toc1999938"/>
      <w:bookmarkStart w:id="179" w:name="_Toc31876"/>
      <w:bookmarkStart w:id="180" w:name="_Toc12864"/>
      <w:r>
        <w:rPr>
          <w:rFonts w:hint="eastAsia" w:cs="Times New Roman"/>
          <w:b/>
          <w:bCs/>
          <w:color w:val="auto"/>
          <w:kern w:val="2"/>
          <w:szCs w:val="32"/>
          <w:highlight w:val="none"/>
        </w:rPr>
        <w:t>10.2 施工场地提供</w:t>
      </w:r>
      <w:bookmarkEnd w:id="177"/>
      <w:bookmarkEnd w:id="178"/>
      <w:bookmarkEnd w:id="179"/>
      <w:bookmarkEnd w:id="180"/>
    </w:p>
    <w:p>
      <w:pPr>
        <w:widowControl w:val="0"/>
        <w:adjustRightInd w:val="0"/>
        <w:snapToGrid w:val="0"/>
        <w:spacing w:line="360" w:lineRule="auto"/>
        <w:jc w:val="both"/>
        <w:rPr>
          <w:rFonts w:cs="Times New Roman"/>
          <w:color w:val="auto"/>
          <w:highlight w:val="none"/>
          <w:u w:val="single"/>
        </w:rPr>
      </w:pPr>
      <w:r>
        <w:rPr>
          <w:rFonts w:hint="eastAsia" w:cs="Times New Roman"/>
          <w:color w:val="auto"/>
          <w:kern w:val="2"/>
          <w:highlight w:val="none"/>
        </w:rPr>
        <w:t>(1)发包人提供给承包人的工地范围、时间及次序约定：</w:t>
      </w:r>
      <w:r>
        <w:rPr>
          <w:rFonts w:hint="eastAsia" w:cs="Times New Roman"/>
          <w:color w:val="auto"/>
          <w:highlight w:val="none"/>
          <w:u w:val="single"/>
        </w:rPr>
        <w:t>发包人在向承包人发放中标通知书后15日内向承包人移交施工场地、原始基准点等，承包人应进一步调查和了解，以取得其对施工影响的全部信息，发包人不对其所提供资料的准确性负责；</w:t>
      </w:r>
    </w:p>
    <w:p>
      <w:pPr>
        <w:widowControl w:val="0"/>
        <w:adjustRightInd w:val="0"/>
        <w:snapToGrid w:val="0"/>
        <w:spacing w:line="360" w:lineRule="auto"/>
        <w:jc w:val="both"/>
        <w:rPr>
          <w:rFonts w:cs="Times New Roman"/>
          <w:color w:val="auto"/>
          <w:highlight w:val="none"/>
          <w:u w:val="single"/>
        </w:rPr>
      </w:pPr>
      <w:r>
        <w:rPr>
          <w:rFonts w:hint="eastAsia" w:cs="Times New Roman"/>
          <w:color w:val="auto"/>
          <w:kern w:val="2"/>
          <w:highlight w:val="none"/>
        </w:rPr>
        <w:t>(3)红线外临时占地租用费用承担约定：</w:t>
      </w:r>
      <w:r>
        <w:rPr>
          <w:rFonts w:hint="eastAsia" w:cs="Times New Roman"/>
          <w:color w:val="auto"/>
          <w:highlight w:val="none"/>
          <w:u w:val="single"/>
        </w:rPr>
        <w:t>发包人不提供红线外任何场地，所有需要的临时占地的手续和相关租用费由承包人负责办理和支付。临时用地使用完毕后，承包人应自费恢复临时用地的条件。承包人不得以场地不足影响工程进展，不得以此为由提出任何费用或工期索赔。</w:t>
      </w:r>
    </w:p>
    <w:p>
      <w:pPr>
        <w:widowControl w:val="0"/>
        <w:adjustRightInd w:val="0"/>
        <w:snapToGrid w:val="0"/>
        <w:spacing w:line="360" w:lineRule="auto"/>
        <w:jc w:val="both"/>
        <w:rPr>
          <w:rFonts w:cs="Times New Roman"/>
          <w:color w:val="auto"/>
          <w:highlight w:val="none"/>
          <w:u w:val="single"/>
        </w:rPr>
      </w:pPr>
      <w:r>
        <w:rPr>
          <w:rFonts w:hint="eastAsia" w:cs="Times New Roman"/>
          <w:color w:val="auto"/>
          <w:highlight w:val="none"/>
          <w:u w:val="single"/>
        </w:rPr>
        <w:t>（4）发包人移交的工地范围详见施工图纸、招标文件及宗地图。承包人在工地范围内安排办公、材料堆放、材料加工场地等须征得发包人、监理人的书面同意，并按经发包人、监理人审核的施工组织设计要求完成，</w:t>
      </w:r>
      <w:r>
        <w:rPr>
          <w:rFonts w:hint="eastAsia" w:cs="Times New Roman"/>
          <w:b/>
          <w:bCs/>
          <w:color w:val="auto"/>
          <w:highlight w:val="none"/>
          <w:u w:val="single"/>
        </w:rPr>
        <w:t>所有费用均已在合同价中综合考虑，不再另行计算</w:t>
      </w:r>
      <w:r>
        <w:rPr>
          <w:rFonts w:hint="eastAsia" w:cs="Times New Roman"/>
          <w:color w:val="auto"/>
          <w:highlight w:val="none"/>
          <w:u w:val="single"/>
        </w:rPr>
        <w:t>。</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181" w:name="_Toc20565"/>
      <w:bookmarkStart w:id="182" w:name="_Toc46325278"/>
      <w:bookmarkStart w:id="183" w:name="_Toc17929"/>
      <w:bookmarkStart w:id="184" w:name="_Toc1999939"/>
      <w:r>
        <w:rPr>
          <w:rFonts w:hint="eastAsia" w:cs="Times New Roman"/>
          <w:b/>
          <w:bCs/>
          <w:color w:val="auto"/>
          <w:kern w:val="2"/>
          <w:szCs w:val="32"/>
          <w:highlight w:val="none"/>
        </w:rPr>
        <w:t>10.6 不利的外界障碍或条件</w:t>
      </w:r>
      <w:bookmarkEnd w:id="181"/>
      <w:bookmarkEnd w:id="182"/>
      <w:bookmarkEnd w:id="183"/>
      <w:bookmarkEnd w:id="184"/>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(3)本合同可能产生的不利的外界障碍或条件为：</w:t>
      </w:r>
    </w:p>
    <w:p>
      <w:pPr>
        <w:widowControl w:val="0"/>
        <w:adjustRightInd w:val="0"/>
        <w:snapToGrid w:val="0"/>
        <w:spacing w:line="360" w:lineRule="auto"/>
        <w:ind w:firstLine="480"/>
        <w:rPr>
          <w:rFonts w:cs="Times New Roman"/>
          <w:color w:val="auto"/>
          <w:kern w:val="2"/>
          <w:highlight w:val="non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施工现场地形、地质的改变；</w:t>
      </w:r>
    </w:p>
    <w:p>
      <w:pPr>
        <w:widowControl w:val="0"/>
        <w:adjustRightInd w:val="0"/>
        <w:snapToGrid w:val="0"/>
        <w:spacing w:line="360" w:lineRule="auto"/>
        <w:ind w:firstLine="480" w:firstLineChars="150"/>
        <w:rPr>
          <w:rFonts w:cs="Times New Roman"/>
          <w:color w:val="auto"/>
          <w:kern w:val="2"/>
          <w:highlight w:val="none"/>
        </w:rPr>
      </w:pPr>
      <w:r>
        <w:rPr>
          <w:rFonts w:ascii="Segoe UI Emoji" w:hAnsi="Segoe UI Emoji" w:eastAsia="MS Mincho" w:cs="Segoe UI Emoji"/>
          <w:color w:val="auto"/>
          <w:kern w:val="2"/>
          <w:sz w:val="32"/>
          <w:szCs w:val="21"/>
          <w:highlight w:val="none"/>
        </w:rPr>
        <w:t>☑</w:t>
      </w:r>
      <w:r>
        <w:rPr>
          <w:rFonts w:hint="eastAsia" w:cs="Times New Roman"/>
          <w:color w:val="auto"/>
          <w:kern w:val="2"/>
          <w:highlight w:val="none"/>
        </w:rPr>
        <w:t>政府政策性停工；</w:t>
      </w:r>
    </w:p>
    <w:p>
      <w:pPr>
        <w:widowControl w:val="0"/>
        <w:adjustRightInd w:val="0"/>
        <w:snapToGrid w:val="0"/>
        <w:spacing w:line="360" w:lineRule="auto"/>
        <w:ind w:firstLine="480"/>
        <w:rPr>
          <w:rFonts w:cs="Times New Roman"/>
          <w:color w:val="auto"/>
          <w:kern w:val="2"/>
          <w:highlight w:val="none"/>
          <w:u w:val="singl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其他：</w:t>
      </w:r>
      <w:r>
        <w:rPr>
          <w:rFonts w:hint="eastAsia" w:cs="Times New Roman"/>
          <w:color w:val="auto"/>
          <w:kern w:val="2"/>
          <w:highlight w:val="none"/>
          <w:u w:val="single"/>
        </w:rPr>
        <w:t>由于政府（政府部门）政策、决定、通知或航空限高审批、海绵城市、不可抗力等原因，发包人需要延迟项目进度或者停工的，承包人必须无条件执行，发包人不承担由此产生的任何费用、损失；因上述原因，发包人需要终止或者解除合同的，通知到达承包人时本合同终止或解除，发包人除按合同条款根据承包人实际完成的工作量进行结算外，无须向承包人支付任何补偿、赔偿或承担其他法律责任。</w:t>
      </w:r>
    </w:p>
    <w:p>
      <w:pPr>
        <w:tabs>
          <w:tab w:val="left" w:pos="540"/>
          <w:tab w:val="left" w:pos="1620"/>
          <w:tab w:val="left" w:pos="2340"/>
        </w:tabs>
        <w:snapToGrid w:val="0"/>
        <w:spacing w:before="120" w:after="120"/>
        <w:ind w:left="178"/>
        <w:outlineLvl w:val="0"/>
        <w:rPr>
          <w:rFonts w:ascii="Times New Roman" w:cs="Times New Roman"/>
          <w:b/>
          <w:bCs/>
          <w:color w:val="auto"/>
          <w:kern w:val="44"/>
          <w:sz w:val="28"/>
          <w:szCs w:val="28"/>
          <w:highlight w:val="none"/>
        </w:rPr>
      </w:pPr>
      <w:r>
        <w:rPr>
          <w:rFonts w:hint="eastAsia" w:ascii="Times New Roman" w:cs="Times New Roman"/>
          <w:b/>
          <w:bCs/>
          <w:color w:val="auto"/>
          <w:kern w:val="44"/>
          <w:sz w:val="28"/>
          <w:szCs w:val="28"/>
          <w:highlight w:val="none"/>
        </w:rPr>
        <w:t>11 开工及延期</w:t>
      </w:r>
    </w:p>
    <w:p>
      <w:pPr>
        <w:wordWrap w:val="0"/>
        <w:overflowPunct w:val="0"/>
        <w:adjustRightInd w:val="0"/>
        <w:snapToGrid w:val="0"/>
        <w:spacing w:line="360" w:lineRule="auto"/>
        <w:ind w:firstLine="482" w:firstLineChars="200"/>
        <w:rPr>
          <w:b/>
          <w:bCs/>
          <w:color w:val="auto"/>
          <w:highlight w:val="none"/>
        </w:rPr>
      </w:pPr>
      <w:r>
        <w:rPr>
          <w:rFonts w:hint="eastAsia"/>
          <w:b/>
          <w:bCs/>
          <w:color w:val="auto"/>
          <w:highlight w:val="none"/>
        </w:rPr>
        <w:t>11.2开工延期</w:t>
      </w:r>
    </w:p>
    <w:p>
      <w:pPr>
        <w:wordWrap w:val="0"/>
        <w:overflowPunct w:val="0"/>
        <w:adjustRightInd w:val="0"/>
        <w:snapToGrid w:val="0"/>
        <w:spacing w:line="360" w:lineRule="auto"/>
        <w:ind w:firstLine="480" w:firstLineChars="200"/>
        <w:rPr>
          <w:color w:val="auto"/>
          <w:highlight w:val="none"/>
        </w:rPr>
      </w:pPr>
      <w:r>
        <w:rPr>
          <w:rFonts w:hint="eastAsia"/>
          <w:color w:val="auto"/>
          <w:highlight w:val="none"/>
        </w:rPr>
        <w:t>（2）因发包人的原因造成承包人不能在本合同约定的开工日期开工，承包人只能得到顺延工期的补偿。</w:t>
      </w:r>
    </w:p>
    <w:p>
      <w:pPr>
        <w:tabs>
          <w:tab w:val="left" w:pos="54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185" w:name="_Toc1999940"/>
      <w:bookmarkStart w:id="186" w:name="_Toc46325279"/>
      <w:bookmarkStart w:id="187" w:name="_Toc11675"/>
      <w:bookmarkStart w:id="188" w:name="_Toc23255"/>
      <w:r>
        <w:rPr>
          <w:rFonts w:hint="eastAsia" w:ascii="Times New Roman" w:cs="Times New Roman"/>
          <w:b/>
          <w:bCs/>
          <w:color w:val="auto"/>
          <w:kern w:val="44"/>
          <w:sz w:val="28"/>
          <w:szCs w:val="28"/>
          <w:highlight w:val="none"/>
        </w:rPr>
        <w:t>12 暂停施工和恢复施工</w:t>
      </w:r>
      <w:bookmarkEnd w:id="185"/>
      <w:bookmarkEnd w:id="186"/>
      <w:bookmarkEnd w:id="187"/>
      <w:bookmarkEnd w:id="188"/>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189" w:name="_Toc46325280"/>
      <w:bookmarkStart w:id="190" w:name="_Toc12032"/>
      <w:bookmarkStart w:id="191" w:name="_Toc1999941"/>
      <w:bookmarkStart w:id="192" w:name="_Toc3445"/>
      <w:r>
        <w:rPr>
          <w:rFonts w:hint="eastAsia" w:cs="Times New Roman"/>
          <w:b/>
          <w:bCs/>
          <w:color w:val="auto"/>
          <w:kern w:val="2"/>
          <w:szCs w:val="32"/>
          <w:highlight w:val="none"/>
        </w:rPr>
        <w:t>12.2 承包人原因引起的暂停施工</w:t>
      </w:r>
      <w:bookmarkEnd w:id="189"/>
      <w:bookmarkEnd w:id="190"/>
      <w:bookmarkEnd w:id="191"/>
      <w:bookmarkEnd w:id="192"/>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因承包人原因引起的暂停施工，承包人在收到监理人复工指示后复工的期限为：</w:t>
      </w:r>
      <w:r>
        <w:rPr>
          <w:rFonts w:cs="Times New Roman"/>
          <w:color w:val="auto"/>
          <w:highlight w:val="none"/>
          <w:u w:val="single"/>
        </w:rPr>
        <w:t>1</w:t>
      </w:r>
      <w:r>
        <w:rPr>
          <w:rFonts w:hint="eastAsia" w:cs="Times New Roman"/>
          <w:color w:val="auto"/>
          <w:highlight w:val="none"/>
          <w:u w:val="single"/>
        </w:rPr>
        <w:t>日历天。</w:t>
      </w:r>
    </w:p>
    <w:p>
      <w:pPr>
        <w:tabs>
          <w:tab w:val="left" w:pos="54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193" w:name="_Toc1999942"/>
      <w:bookmarkStart w:id="194" w:name="_Toc12708"/>
      <w:bookmarkStart w:id="195" w:name="_Toc46325281"/>
      <w:bookmarkStart w:id="196" w:name="_Toc610"/>
      <w:r>
        <w:rPr>
          <w:rFonts w:hint="eastAsia" w:ascii="Times New Roman" w:cs="Times New Roman"/>
          <w:b/>
          <w:bCs/>
          <w:color w:val="auto"/>
          <w:kern w:val="44"/>
          <w:sz w:val="28"/>
          <w:szCs w:val="28"/>
          <w:highlight w:val="none"/>
        </w:rPr>
        <w:t>13 工期及延误</w:t>
      </w:r>
      <w:bookmarkEnd w:id="193"/>
      <w:bookmarkEnd w:id="194"/>
      <w:bookmarkEnd w:id="195"/>
      <w:bookmarkEnd w:id="196"/>
    </w:p>
    <w:p>
      <w:pPr>
        <w:widowControl w:val="0"/>
        <w:adjustRightInd w:val="0"/>
        <w:snapToGrid w:val="0"/>
        <w:spacing w:line="360" w:lineRule="auto"/>
        <w:ind w:firstLine="420"/>
        <w:jc w:val="both"/>
        <w:rPr>
          <w:color w:val="auto"/>
          <w:kern w:val="2"/>
          <w:szCs w:val="20"/>
          <w:highlight w:val="none"/>
          <w:u w:val="single"/>
        </w:rPr>
      </w:pPr>
      <w:bookmarkStart w:id="197" w:name="_Toc46325282"/>
      <w:bookmarkStart w:id="198" w:name="_Toc1999943"/>
      <w:r>
        <w:rPr>
          <w:rFonts w:hint="eastAsia" w:cs="Times New Roman"/>
          <w:b/>
          <w:bCs/>
          <w:color w:val="auto"/>
          <w:kern w:val="2"/>
          <w:szCs w:val="32"/>
          <w:highlight w:val="none"/>
        </w:rPr>
        <w:t>13.1 总工期及节点工期</w:t>
      </w:r>
      <w:bookmarkEnd w:id="197"/>
      <w:bookmarkEnd w:id="198"/>
      <w:r>
        <w:rPr>
          <w:rFonts w:hint="eastAsia" w:cs="Times New Roman"/>
          <w:b/>
          <w:bCs/>
          <w:color w:val="auto"/>
          <w:kern w:val="2"/>
          <w:szCs w:val="32"/>
          <w:highlight w:val="none"/>
        </w:rPr>
        <w:t>：</w:t>
      </w:r>
      <w:r>
        <w:rPr>
          <w:rFonts w:hint="eastAsia" w:cs="Times New Roman"/>
          <w:color w:val="auto"/>
          <w:kern w:val="2"/>
          <w:szCs w:val="20"/>
          <w:highlight w:val="none"/>
          <w:u w:val="single"/>
        </w:rPr>
        <w:t>详见补充条款及附件1</w:t>
      </w:r>
      <w:r>
        <w:rPr>
          <w:rFonts w:hint="eastAsia"/>
          <w:color w:val="auto"/>
          <w:kern w:val="2"/>
          <w:szCs w:val="20"/>
          <w:highlight w:val="none"/>
          <w:u w:val="single"/>
        </w:rPr>
        <w:t>。</w:t>
      </w:r>
    </w:p>
    <w:p>
      <w:pPr>
        <w:adjustRightInd w:val="0"/>
        <w:snapToGrid w:val="0"/>
        <w:spacing w:line="360" w:lineRule="auto"/>
        <w:ind w:firstLine="482" w:firstLineChars="200"/>
        <w:jc w:val="both"/>
        <w:rPr>
          <w:b/>
          <w:color w:val="auto"/>
          <w:kern w:val="2"/>
          <w:highlight w:val="none"/>
        </w:rPr>
      </w:pPr>
      <w:bookmarkStart w:id="199" w:name="_Toc46325283"/>
      <w:bookmarkStart w:id="200" w:name="_Toc1999944"/>
      <w:r>
        <w:rPr>
          <w:rFonts w:hint="eastAsia"/>
          <w:b/>
          <w:color w:val="auto"/>
          <w:kern w:val="2"/>
          <w:highlight w:val="none"/>
        </w:rPr>
        <w:t>13.2 因发包人原因导致工期延误</w:t>
      </w:r>
    </w:p>
    <w:bookmarkEnd w:id="199"/>
    <w:bookmarkEnd w:id="200"/>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(7)因发包人原因导致工期延误的其他情形：</w:t>
      </w:r>
      <w:r>
        <w:rPr>
          <w:rFonts w:hint="eastAsia" w:cs="Times New Roman"/>
          <w:color w:val="auto"/>
          <w:kern w:val="2"/>
          <w:highlight w:val="none"/>
          <w:u w:val="single"/>
        </w:rPr>
        <w:t xml:space="preserve">通用条款第13.2款予以删除，修改为：“在合同履行过程中，因下列情况导致工期延误，由发包人承担由此延误的工期。承包人应当在工期延误的事由发生后14日内向发包人提出工期补偿，经发包人批准后，工期予以相应顺延，承包人逾期提出的，视为无需进行工期补偿： </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①发包人未能按约定提供图纸及开工条件；</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②因工程变更引起工作量的显著变化引致施工关键线路进度受到重大影响；</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③遇不可抗力并造成工程停工；</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④任何因发包人原因造成的关键线路工期延误，经发包人、监理人书面认可后，可相应顺延工期。</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除本款及专用条款第13.2款上述约定之外，本工程工期不因任何原因而调整。</w:t>
      </w:r>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u w:val="single"/>
        </w:rPr>
        <w:t>工期顺延的情况下，除工期顺延之外，发包人无需向承包人支付任何费用赔偿或补偿，也无需支付承包人任何合理利润。</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01" w:name="_Toc24015"/>
      <w:bookmarkStart w:id="202" w:name="_Toc1999945"/>
      <w:bookmarkStart w:id="203" w:name="_Toc46325284"/>
      <w:bookmarkStart w:id="204" w:name="_Toc22041"/>
      <w:r>
        <w:rPr>
          <w:rFonts w:hint="eastAsia" w:cs="Times New Roman"/>
          <w:b/>
          <w:bCs/>
          <w:color w:val="auto"/>
          <w:kern w:val="2"/>
          <w:szCs w:val="32"/>
          <w:highlight w:val="none"/>
        </w:rPr>
        <w:t>13.3 因承包人原因导致工期延误</w:t>
      </w:r>
      <w:bookmarkEnd w:id="201"/>
      <w:bookmarkEnd w:id="202"/>
      <w:bookmarkEnd w:id="203"/>
      <w:bookmarkEnd w:id="204"/>
    </w:p>
    <w:p>
      <w:pPr>
        <w:widowControl w:val="0"/>
        <w:adjustRightInd w:val="0"/>
        <w:snapToGrid w:val="0"/>
        <w:spacing w:line="360" w:lineRule="auto"/>
        <w:ind w:firstLine="480"/>
        <w:rPr>
          <w:color w:val="auto"/>
          <w:kern w:val="2"/>
          <w:highlight w:val="none"/>
          <w:u w:val="single"/>
        </w:rPr>
      </w:pPr>
      <w:r>
        <w:rPr>
          <w:rFonts w:hint="eastAsia" w:cs="Times New Roman"/>
          <w:color w:val="auto"/>
          <w:kern w:val="2"/>
          <w:highlight w:val="none"/>
        </w:rPr>
        <w:t>逾期竣工违约金计算方法：</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olor w:val="auto"/>
          <w:kern w:val="2"/>
          <w:highlight w:val="none"/>
          <w:u w:val="single"/>
        </w:rPr>
        <w:t>。</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1.本工程有效工期为硬性工期。承包人必须采取一切有效措施保证按有效工期完成，不得延误，除非发生了以下情形：</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（1）政府或发包人对本工程建设项目作出停建、缓建的决定；</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（2）重大设计变更导致本工程在规划、使用、功能方面有重大调整；</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（3）发生不可抗力事件。</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2.工期控制与调整</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根据建设项目工期网络计划安排，承包人必须根据发包人下发的节点工期要求在施工组织设计文件中详细区分，并报经监理人和发包人批准后实施。</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工期调整的原则是：对于承包人原因造成的工期延误，工期一概不得顺延，如果工期延误，承包人应当按照本合同专用条款的约定承担违约责任。</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对于非承包人原因造成的工期延误，根据合同的约定，节点工期可以相应顺延。</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3.工期延误的原因及其处理</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非承包人原因造成的工期延误，是指有确凿证据证实因下列原因而直接造成承包人的原定工期计划延误：</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（1）不可抗力；</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（2）工程设计有重大变更或重大失误；</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（3）发包人延期交付施工场地；</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对于非承包人原因发生的工期延误，承包人应当在工期延误发生后14天内就延误的内容向发包人提出书面报告，逾期不报告，发包人不予确认；</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逾期竣工违约金的上限：</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olor w:val="auto"/>
          <w:kern w:val="2"/>
          <w:highlight w:val="none"/>
          <w:u w:val="single"/>
        </w:rPr>
        <w:t>。</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05" w:name="_Toc26807"/>
      <w:bookmarkStart w:id="206" w:name="_Toc46325285"/>
      <w:bookmarkStart w:id="207" w:name="_Toc13225"/>
      <w:bookmarkStart w:id="208" w:name="_Toc1999946"/>
      <w:r>
        <w:rPr>
          <w:rFonts w:hint="eastAsia" w:cs="Times New Roman"/>
          <w:b/>
          <w:bCs/>
          <w:color w:val="auto"/>
          <w:kern w:val="2"/>
          <w:szCs w:val="32"/>
          <w:highlight w:val="none"/>
        </w:rPr>
        <w:t>13.4 提前竣工</w:t>
      </w:r>
      <w:bookmarkEnd w:id="205"/>
      <w:bookmarkEnd w:id="206"/>
      <w:bookmarkEnd w:id="207"/>
      <w:bookmarkEnd w:id="208"/>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(3)提前竣工奖励费及限额约定：承包人每提前一天竣工奖励</w:t>
      </w:r>
      <w:r>
        <w:rPr>
          <w:rFonts w:hint="eastAsia" w:cs="Times New Roman"/>
          <w:color w:val="auto"/>
          <w:kern w:val="2"/>
          <w:highlight w:val="none"/>
          <w:u w:val="single"/>
        </w:rPr>
        <w:t>/元</w:t>
      </w:r>
      <w:r>
        <w:rPr>
          <w:rFonts w:hint="eastAsia" w:cs="Times New Roman"/>
          <w:color w:val="auto"/>
          <w:kern w:val="2"/>
          <w:highlight w:val="none"/>
        </w:rPr>
        <w:t>；奖励总额不超过签约合同价的</w:t>
      </w:r>
      <w:r>
        <w:rPr>
          <w:rFonts w:cs="Times New Roman"/>
          <w:color w:val="auto"/>
          <w:kern w:val="2"/>
          <w:highlight w:val="none"/>
          <w:u w:val="single"/>
        </w:rPr>
        <w:t>/</w:t>
      </w:r>
      <w:r>
        <w:rPr>
          <w:rFonts w:hint="eastAsia" w:cs="Times New Roman"/>
          <w:color w:val="auto"/>
          <w:kern w:val="2"/>
          <w:highlight w:val="none"/>
          <w:u w:val="single"/>
        </w:rPr>
        <w:t>%</w:t>
      </w:r>
      <w:r>
        <w:rPr>
          <w:rFonts w:hint="eastAsia" w:cs="Times New Roman"/>
          <w:color w:val="auto"/>
          <w:kern w:val="2"/>
          <w:highlight w:val="none"/>
        </w:rPr>
        <w:t>。</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(4)《深圳市建设工程施工工期定额》缺项的专业工程压缩工期补偿费用计算方法：</w:t>
      </w:r>
      <w:r>
        <w:rPr>
          <w:rFonts w:hint="eastAsia" w:cs="Times New Roman"/>
          <w:color w:val="auto"/>
          <w:kern w:val="2"/>
          <w:highlight w:val="none"/>
          <w:u w:val="single"/>
        </w:rPr>
        <w:t xml:space="preserve">/ </w:t>
      </w:r>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需采取特殊措施以缩短工期的专业工程及压缩工期补偿费用计算方法：</w:t>
      </w:r>
      <w:r>
        <w:rPr>
          <w:rFonts w:hint="eastAsia" w:cs="Times New Roman"/>
          <w:color w:val="auto"/>
          <w:kern w:val="2"/>
          <w:highlight w:val="none"/>
          <w:u w:val="single"/>
        </w:rPr>
        <w:t>/</w:t>
      </w:r>
    </w:p>
    <w:p>
      <w:pPr>
        <w:tabs>
          <w:tab w:val="left" w:pos="54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209" w:name="_Toc74"/>
      <w:bookmarkStart w:id="210" w:name="_Toc1999947"/>
      <w:bookmarkStart w:id="211" w:name="_Toc22192"/>
      <w:bookmarkStart w:id="212" w:name="_Toc46325286"/>
      <w:r>
        <w:rPr>
          <w:rFonts w:hint="eastAsia" w:ascii="Times New Roman" w:cs="Times New Roman"/>
          <w:b/>
          <w:bCs/>
          <w:color w:val="auto"/>
          <w:kern w:val="44"/>
          <w:sz w:val="28"/>
          <w:szCs w:val="28"/>
          <w:highlight w:val="none"/>
        </w:rPr>
        <w:t>14 材料设备的供应和检测</w:t>
      </w:r>
      <w:bookmarkEnd w:id="209"/>
      <w:bookmarkEnd w:id="210"/>
      <w:bookmarkEnd w:id="211"/>
      <w:bookmarkEnd w:id="212"/>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13" w:name="_Toc27109"/>
      <w:bookmarkStart w:id="214" w:name="_Toc1999948"/>
      <w:bookmarkStart w:id="215" w:name="_Toc23589"/>
      <w:bookmarkStart w:id="216" w:name="_Toc46325287"/>
      <w:r>
        <w:rPr>
          <w:rFonts w:hint="eastAsia" w:cs="Times New Roman"/>
          <w:b/>
          <w:bCs/>
          <w:color w:val="auto"/>
          <w:kern w:val="2"/>
          <w:szCs w:val="32"/>
          <w:highlight w:val="none"/>
        </w:rPr>
        <w:t>14.1 发包人供应材料设备</w:t>
      </w:r>
      <w:bookmarkEnd w:id="213"/>
      <w:bookmarkEnd w:id="214"/>
      <w:bookmarkEnd w:id="215"/>
      <w:bookmarkEnd w:id="216"/>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(1)发包人供应材料设备清单：详见招标文件工程量清单中的发包人供应材料设备明细表</w:t>
      </w:r>
    </w:p>
    <w:p>
      <w:pPr>
        <w:widowControl w:val="0"/>
        <w:adjustRightInd w:val="0"/>
        <w:snapToGrid w:val="0"/>
        <w:spacing w:line="360" w:lineRule="auto"/>
        <w:ind w:firstLine="482"/>
        <w:jc w:val="center"/>
        <w:rPr>
          <w:rFonts w:cs="Times New Roman"/>
          <w:b/>
          <w:bCs/>
          <w:color w:val="auto"/>
          <w:kern w:val="2"/>
          <w:highlight w:val="none"/>
        </w:rPr>
      </w:pPr>
      <w:r>
        <w:rPr>
          <w:rFonts w:hint="eastAsia" w:cs="Times New Roman"/>
          <w:b/>
          <w:color w:val="auto"/>
          <w:kern w:val="2"/>
          <w:highlight w:val="none"/>
        </w:rPr>
        <w:t>发包人供应材料设备清单</w:t>
      </w:r>
    </w:p>
    <w:tbl>
      <w:tblPr>
        <w:tblStyle w:val="18"/>
        <w:tblW w:w="8473"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8"/>
        <w:gridCol w:w="736"/>
        <w:gridCol w:w="1104"/>
        <w:gridCol w:w="735"/>
        <w:gridCol w:w="736"/>
        <w:gridCol w:w="858"/>
        <w:gridCol w:w="1104"/>
        <w:gridCol w:w="735"/>
        <w:gridCol w:w="9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3" w:hRule="atLeast"/>
        </w:trPr>
        <w:tc>
          <w:tcPr>
            <w:tcW w:w="626"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right="-105"/>
              <w:rPr>
                <w:color w:val="auto"/>
                <w:highlight w:val="none"/>
              </w:rPr>
            </w:pPr>
            <w:r>
              <w:rPr>
                <w:rFonts w:hint="eastAsia"/>
                <w:color w:val="auto"/>
                <w:highlight w:val="none"/>
              </w:rPr>
              <w:t>序号</w:t>
            </w:r>
          </w:p>
        </w:tc>
        <w:tc>
          <w:tcPr>
            <w:tcW w:w="85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rPr>
                <w:color w:val="auto"/>
                <w:highlight w:val="none"/>
              </w:rPr>
            </w:pPr>
            <w:r>
              <w:rPr>
                <w:rFonts w:hint="eastAsia"/>
                <w:color w:val="auto"/>
                <w:highlight w:val="none"/>
              </w:rPr>
              <w:t>材料设备名称</w:t>
            </w:r>
          </w:p>
        </w:tc>
        <w:tc>
          <w:tcPr>
            <w:tcW w:w="736"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rPr>
                <w:color w:val="auto"/>
                <w:highlight w:val="none"/>
              </w:rPr>
            </w:pPr>
            <w:r>
              <w:rPr>
                <w:rFonts w:hint="eastAsia"/>
                <w:color w:val="auto"/>
                <w:highlight w:val="none"/>
              </w:rPr>
              <w:t>规格型号</w:t>
            </w:r>
          </w:p>
        </w:tc>
        <w:tc>
          <w:tcPr>
            <w:tcW w:w="110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firstLine="120" w:firstLineChars="50"/>
              <w:rPr>
                <w:color w:val="auto"/>
                <w:highlight w:val="none"/>
              </w:rPr>
            </w:pPr>
            <w:r>
              <w:rPr>
                <w:rFonts w:hint="eastAsia"/>
                <w:color w:val="auto"/>
                <w:highlight w:val="none"/>
              </w:rPr>
              <w:t>生产厂家</w:t>
            </w:r>
          </w:p>
        </w:tc>
        <w:tc>
          <w:tcPr>
            <w:tcW w:w="735"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firstLine="240" w:firstLineChars="100"/>
              <w:rPr>
                <w:color w:val="auto"/>
                <w:highlight w:val="none"/>
              </w:rPr>
            </w:pPr>
            <w:r>
              <w:rPr>
                <w:rFonts w:hint="eastAsia"/>
                <w:color w:val="auto"/>
                <w:highlight w:val="none"/>
              </w:rPr>
              <w:t>单位</w:t>
            </w:r>
          </w:p>
        </w:tc>
        <w:tc>
          <w:tcPr>
            <w:tcW w:w="736"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firstLine="240" w:firstLineChars="100"/>
              <w:rPr>
                <w:color w:val="auto"/>
                <w:highlight w:val="none"/>
              </w:rPr>
            </w:pPr>
            <w:r>
              <w:rPr>
                <w:rFonts w:hint="eastAsia"/>
                <w:color w:val="auto"/>
                <w:highlight w:val="none"/>
              </w:rPr>
              <w:t>数量</w:t>
            </w:r>
          </w:p>
        </w:tc>
        <w:tc>
          <w:tcPr>
            <w:tcW w:w="85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rPr>
                <w:color w:val="auto"/>
                <w:highlight w:val="none"/>
              </w:rPr>
            </w:pPr>
            <w:r>
              <w:rPr>
                <w:rFonts w:hint="eastAsia"/>
                <w:color w:val="auto"/>
                <w:highlight w:val="none"/>
              </w:rPr>
              <w:t>单价(元)</w:t>
            </w:r>
          </w:p>
        </w:tc>
        <w:tc>
          <w:tcPr>
            <w:tcW w:w="110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right="-105"/>
              <w:rPr>
                <w:color w:val="auto"/>
                <w:highlight w:val="none"/>
              </w:rPr>
            </w:pPr>
            <w:r>
              <w:rPr>
                <w:rFonts w:hint="eastAsia"/>
                <w:color w:val="auto"/>
                <w:highlight w:val="none"/>
              </w:rPr>
              <w:t>总价(元)</w:t>
            </w:r>
          </w:p>
        </w:tc>
        <w:tc>
          <w:tcPr>
            <w:tcW w:w="735"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rPr>
                <w:color w:val="auto"/>
                <w:highlight w:val="none"/>
              </w:rPr>
            </w:pPr>
            <w:r>
              <w:rPr>
                <w:rFonts w:hint="eastAsia"/>
                <w:color w:val="auto"/>
                <w:highlight w:val="none"/>
              </w:rPr>
              <w:t>质量等级</w:t>
            </w:r>
          </w:p>
        </w:tc>
        <w:tc>
          <w:tcPr>
            <w:tcW w:w="981"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60" w:lineRule="auto"/>
              <w:ind w:right="-105"/>
              <w:rPr>
                <w:color w:val="auto"/>
                <w:highlight w:val="none"/>
              </w:rPr>
            </w:pPr>
            <w:r>
              <w:rPr>
                <w:rFonts w:hint="eastAsia"/>
                <w:color w:val="auto"/>
                <w:highlight w:val="none"/>
              </w:rPr>
              <w:t>时间地点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6" w:type="dxa"/>
            <w:tcBorders>
              <w:top w:val="single" w:color="auto" w:sz="4" w:space="0"/>
              <w:left w:val="single" w:color="auto" w:sz="8"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981" w:type="dxa"/>
            <w:tcBorders>
              <w:top w:val="single" w:color="auto" w:sz="4" w:space="0"/>
              <w:left w:val="single" w:color="auto" w:sz="4" w:space="0"/>
              <w:bottom w:val="single" w:color="auto" w:sz="4" w:space="0"/>
              <w:right w:val="single" w:color="auto" w:sz="8"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26" w:type="dxa"/>
            <w:tcBorders>
              <w:top w:val="single" w:color="auto" w:sz="4" w:space="0"/>
              <w:left w:val="single" w:color="auto" w:sz="8"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c>
          <w:tcPr>
            <w:tcW w:w="981" w:type="dxa"/>
            <w:tcBorders>
              <w:top w:val="single" w:color="auto" w:sz="4" w:space="0"/>
              <w:left w:val="single" w:color="auto" w:sz="4" w:space="0"/>
              <w:bottom w:val="single" w:color="auto" w:sz="4" w:space="0"/>
              <w:right w:val="single" w:color="auto" w:sz="8" w:space="0"/>
            </w:tcBorders>
            <w:vAlign w:val="bottom"/>
          </w:tcPr>
          <w:p>
            <w:pPr>
              <w:adjustRightInd w:val="0"/>
              <w:snapToGrid w:val="0"/>
              <w:spacing w:line="360" w:lineRule="auto"/>
              <w:ind w:firstLine="480"/>
              <w:jc w:val="both"/>
              <w:rPr>
                <w:color w:val="auto"/>
                <w:highlight w:val="none"/>
              </w:rPr>
            </w:pPr>
            <w:r>
              <w:rPr>
                <w:rFonts w:hint="eastAsia"/>
                <w:color w:val="auto"/>
                <w:highlight w:val="none"/>
              </w:rPr>
              <w:t>/</w:t>
            </w:r>
          </w:p>
        </w:tc>
      </w:tr>
    </w:tbl>
    <w:p>
      <w:pPr>
        <w:widowControl w:val="0"/>
        <w:adjustRightInd w:val="0"/>
        <w:snapToGrid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(3)发包人供应材料设备保管费(包括装卸费)的费率为：</w:t>
      </w:r>
      <w:r>
        <w:rPr>
          <w:rFonts w:ascii="Calibri" w:hAnsi="Calibri" w:cs="Times New Roman"/>
          <w:color w:val="auto"/>
          <w:highlight w:val="none"/>
          <w:u w:val="single"/>
        </w:rPr>
        <w:t>/</w:t>
      </w:r>
    </w:p>
    <w:p>
      <w:pPr>
        <w:widowControl w:val="0"/>
        <w:tabs>
          <w:tab w:val="left" w:pos="540"/>
          <w:tab w:val="left" w:pos="900"/>
          <w:tab w:val="left" w:pos="2340"/>
        </w:tabs>
        <w:adjustRightInd w:val="0"/>
        <w:snapToGrid w:val="0"/>
        <w:spacing w:line="360" w:lineRule="auto"/>
        <w:ind w:firstLine="482" w:firstLineChars="200"/>
        <w:jc w:val="both"/>
        <w:outlineLvl w:val="2"/>
        <w:rPr>
          <w:rFonts w:cs="Times New Roman"/>
          <w:b/>
          <w:bCs/>
          <w:color w:val="auto"/>
          <w:kern w:val="2"/>
          <w:szCs w:val="32"/>
          <w:highlight w:val="none"/>
        </w:rPr>
      </w:pPr>
      <w:bookmarkStart w:id="217" w:name="_Toc28234"/>
      <w:bookmarkStart w:id="218" w:name="_Toc1999949"/>
      <w:bookmarkStart w:id="219" w:name="_Toc46325288"/>
      <w:bookmarkStart w:id="220" w:name="_Toc15708"/>
      <w:r>
        <w:rPr>
          <w:rFonts w:hint="eastAsia" w:cs="Times New Roman"/>
          <w:b/>
          <w:bCs/>
          <w:color w:val="auto"/>
          <w:kern w:val="2"/>
          <w:szCs w:val="32"/>
          <w:highlight w:val="none"/>
        </w:rPr>
        <w:t>14.2 发包人供应材料设备的结算</w:t>
      </w:r>
      <w:bookmarkEnd w:id="217"/>
      <w:bookmarkEnd w:id="218"/>
      <w:bookmarkEnd w:id="219"/>
      <w:bookmarkEnd w:id="220"/>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rPr>
        <w:t>发包人供应材料设备的结算</w:t>
      </w:r>
      <w:r>
        <w:rPr>
          <w:rFonts w:hint="eastAsia" w:cs="Times New Roman"/>
          <w:bCs/>
          <w:color w:val="auto"/>
          <w:kern w:val="2"/>
          <w:highlight w:val="none"/>
        </w:rPr>
        <w:t>方式</w:t>
      </w:r>
      <w:r>
        <w:rPr>
          <w:rFonts w:hint="eastAsia" w:cs="Times New Roman"/>
          <w:color w:val="auto"/>
          <w:kern w:val="2"/>
          <w:highlight w:val="none"/>
        </w:rPr>
        <w:t>：</w:t>
      </w:r>
      <w:r>
        <w:rPr>
          <w:rFonts w:ascii="Calibri" w:hAnsi="Calibri" w:cs="Times New Roman"/>
          <w:color w:val="auto"/>
          <w:highlight w:val="none"/>
          <w:u w:val="single"/>
        </w:rPr>
        <w:t>/</w:t>
      </w:r>
    </w:p>
    <w:p>
      <w:pPr>
        <w:widowControl w:val="0"/>
        <w:adjustRightInd w:val="0"/>
        <w:snapToGrid w:val="0"/>
        <w:spacing w:line="360" w:lineRule="auto"/>
        <w:ind w:firstLine="480" w:firstLineChars="200"/>
        <w:jc w:val="both"/>
        <w:rPr>
          <w:rFonts w:cs="Times New Roman"/>
          <w:bCs/>
          <w:color w:val="auto"/>
          <w:kern w:val="2"/>
          <w:highlight w:val="none"/>
          <w:u w:val="single"/>
        </w:rPr>
      </w:pPr>
      <w:r>
        <w:rPr>
          <w:rFonts w:hint="eastAsia" w:cs="Times New Roman"/>
          <w:color w:val="auto"/>
          <w:kern w:val="2"/>
          <w:highlight w:val="none"/>
        </w:rPr>
        <w:t>(3)承包人实际使用量小于合理数量时节约的费用分配方式：</w:t>
      </w:r>
      <w:r>
        <w:rPr>
          <w:rFonts w:hint="eastAsia" w:cs="Times New Roman"/>
          <w:color w:val="auto"/>
          <w:kern w:val="2"/>
          <w:highlight w:val="none"/>
          <w:u w:val="single"/>
        </w:rPr>
        <w:t>/</w:t>
      </w:r>
    </w:p>
    <w:p>
      <w:pPr>
        <w:wordWrap w:val="0"/>
        <w:overflowPunct w:val="0"/>
        <w:adjustRightInd w:val="0"/>
        <w:snapToGrid w:val="0"/>
        <w:spacing w:line="360" w:lineRule="auto"/>
        <w:ind w:firstLine="482" w:firstLineChars="200"/>
        <w:jc w:val="both"/>
        <w:rPr>
          <w:b/>
          <w:bCs/>
          <w:color w:val="auto"/>
          <w:highlight w:val="none"/>
        </w:rPr>
      </w:pPr>
      <w:bookmarkStart w:id="221" w:name="_Toc46325289"/>
      <w:bookmarkStart w:id="222" w:name="_Toc1999950"/>
      <w:bookmarkStart w:id="223" w:name="_Toc28263"/>
      <w:bookmarkStart w:id="224" w:name="_Toc17897"/>
      <w:r>
        <w:rPr>
          <w:rFonts w:hint="eastAsia"/>
          <w:b/>
          <w:bCs/>
          <w:color w:val="auto"/>
          <w:highlight w:val="none"/>
        </w:rPr>
        <w:t>14.3 发包人供应材料设备承担的责任</w:t>
      </w:r>
    </w:p>
    <w:p>
      <w:pPr>
        <w:wordWrap w:val="0"/>
        <w:overflowPunct w:val="0"/>
        <w:adjustRightInd w:val="0"/>
        <w:snapToGrid w:val="0"/>
        <w:spacing w:line="360" w:lineRule="auto"/>
        <w:ind w:firstLine="480" w:firstLineChars="200"/>
        <w:jc w:val="both"/>
        <w:rPr>
          <w:rFonts w:cs="Times New Roman"/>
          <w:b/>
          <w:bCs/>
          <w:color w:val="auto"/>
          <w:kern w:val="2"/>
          <w:szCs w:val="32"/>
          <w:highlight w:val="none"/>
        </w:rPr>
      </w:pPr>
      <w:r>
        <w:rPr>
          <w:rFonts w:hint="eastAsia"/>
          <w:color w:val="auto"/>
          <w:highlight w:val="none"/>
        </w:rPr>
        <w:t>通用条款第14.3款第⑸项修改为：“材料设备到货交接时间不符合约定，早于约定时间的由发包人承担因此产生的保管费用，迟于约定时间的，承包人仅能获得顺延工期的补偿。”</w:t>
      </w:r>
    </w:p>
    <w:p>
      <w:pPr>
        <w:widowControl w:val="0"/>
        <w:tabs>
          <w:tab w:val="left" w:pos="540"/>
          <w:tab w:val="left" w:pos="900"/>
          <w:tab w:val="left" w:pos="2340"/>
        </w:tabs>
        <w:adjustRightInd w:val="0"/>
        <w:snapToGrid w:val="0"/>
        <w:spacing w:line="360" w:lineRule="auto"/>
        <w:ind w:firstLine="482" w:firstLineChars="200"/>
        <w:jc w:val="both"/>
        <w:outlineLvl w:val="2"/>
        <w:rPr>
          <w:rFonts w:cs="Times New Roman"/>
          <w:b/>
          <w:bCs/>
          <w:color w:val="auto"/>
          <w:kern w:val="2"/>
          <w:szCs w:val="32"/>
          <w:highlight w:val="none"/>
        </w:rPr>
      </w:pPr>
      <w:r>
        <w:rPr>
          <w:rFonts w:hint="eastAsia" w:cs="Times New Roman"/>
          <w:b/>
          <w:bCs/>
          <w:color w:val="auto"/>
          <w:kern w:val="2"/>
          <w:szCs w:val="32"/>
          <w:highlight w:val="none"/>
        </w:rPr>
        <w:t>14.4 承包人采购材料设备</w:t>
      </w:r>
      <w:bookmarkEnd w:id="221"/>
      <w:bookmarkEnd w:id="222"/>
      <w:bookmarkEnd w:id="223"/>
      <w:bookmarkEnd w:id="224"/>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rPr>
        <w:t>承包人采购材料设备的约定：</w:t>
      </w:r>
      <w:r>
        <w:rPr>
          <w:rFonts w:hint="eastAsia" w:cs="Times New Roman"/>
          <w:color w:val="auto"/>
          <w:kern w:val="2"/>
          <w:highlight w:val="none"/>
          <w:u w:val="single"/>
        </w:rPr>
        <w:t>(1)本工程所需的所有材料设备(含半成品、成品)均由承包人组织采购。承包人供应的材料设备的供货渠道应是品牌制造商或其指定的供应商，都必须是符合建设工程质量管理有关要求和规定，并经发包人和监理人批准的全新合格材料设备，否则不允许进场、不得在工程上使用且不予计量，由此发生的费用和工期延误全部由承包人承担。进口材料、设备需提供相关报关、商检证明文件。</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(2)对发包人约定了参考厂家、品牌、质量等级的设备、材料，承包人应按招标文件和合同文件推荐的设备材料参考品牌，或不低于参考品牌技术标准和品质的其他品牌进行采购（但须报监理人及发包人批准同意）。监理人及发包人对材料设备的确认或否决皆不会免除承包人按合同文件所应承担的责任，所有采购之前需进行材料品牌报审并经监理人及发包人审核同意。</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(3)对于发包人没有约定参考厂家、品牌的材料设备：承包人须保证其使用的材料、设备是由优质原料和先进工艺制成，全新，并完全符合合同文件规定的质量、规格和性能的要求。承包人在订货前1个月须将三家以上的材料设备样品和有关生产厂家及技术资料交发包人、监理人进行确认。主材及发包人认为有必要的材料，承包人应按照要求组织考察，考察涉及的相关费用各方各自承担。</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未经发包人、监理人书面同意的材料和设备不得用于本工程，发包人、监理人有权不予计量并要求承包人撤换未经书面同意的材料设备，由此发生的费用和工期延误全部由承包人承担。</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(4)如发包人提供的参考品牌确实无法实现（无法实现是指厂家停产或市场禁用的情况，而非采购渠道及价格高低因素），则可以选择其他品质不低于发包人约定的参考品牌，但必须书面报监理人及发包人批准同意。</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上述“不低于参考品牌的技术标准或品质要求”的品牌或厂家的确认权属于监理人及发包人。监理人及发包人可要求承包人无条件使用不低于参考品牌的材料设备，承包人必须服从，否则由此引起的工期延误及其他责任由承包人承担。发包人有权根据实际情况调整材料设备厂家品牌，承包人拒绝执行的，则发包人有权选择自行供应此部分材料或设备，由此产生的费用及工期延误由承包人承担，发包人可另外向承包人进行处罚，具体以附件</w:t>
      </w:r>
      <w:r>
        <w:rPr>
          <w:rFonts w:cs="Times New Roman"/>
          <w:color w:val="auto"/>
          <w:kern w:val="2"/>
          <w:highlight w:val="none"/>
          <w:u w:val="single"/>
        </w:rPr>
        <w:t>1为准。</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监理人及发包人对材料的确认或否决皆不会免除承包人按合同文件所应承担的责任。</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olor w:val="auto"/>
          <w:highlight w:val="none"/>
          <w:u w:val="single"/>
        </w:rPr>
        <w:t>(5)所有材料设备，承包人应根据图纸及相关合同条款的要求，提供该品牌的材料的详细资料，包括但不限于权威部门的检测报告、质保书、产地证、合格证、样品、规格型号、技术参数、资质证书、使用工程的介绍等。如发包人认为必要，则有权要求去厂家实地考察，承包人应当予以配合，直至获得发包人、监理人的书面同意，费用由承包人承担。无论发包人、监理人的选择是否与承包人在投标报价中的材料价相符，原合同</w:t>
      </w:r>
      <w:r>
        <w:rPr>
          <w:rFonts w:hint="eastAsia" w:cs="Times New Roman"/>
          <w:color w:val="auto"/>
          <w:kern w:val="2"/>
          <w:highlight w:val="none"/>
          <w:u w:val="single"/>
        </w:rPr>
        <w:t>价款均不因此而调整。</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监理人对材料的来源及送检质量的认可并不意味着此类材料的所有材料都已批准合格，也不应妨碍监理人在任何时候拒绝采用这类材料。</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(6)在承包人提供的材料经发包人、监理人许可投入本工程使用后，如经有关质量、环保检测部门检验认定不符合合同条款、相关法律法规、验收规范要求的，承包人应承担返工、更换合格材料的责任；给发包人造成损失的，应赔偿实际损失；如造成工期延误的，还应承担延期的违约责任。经检验不合格材料、设备不得进入施工场地，已进入施工现场的必须立即退场，不合格材料退场应有监理人及发包人代表现场签发的退场单方可出场。承包人应做好材料设备进退场的详细记录，对退场后更换进场的材料设备必须注明是“更换的材料设备”。</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(7)承包人不能只根据标准、规范及技术要求或图纸所述数量、尺寸而不进行实地量度来订购材料、设备或开始施工。承包人因不进行实地量度而导致的错误或虚耗材料、设备，发包人不承担责任。承包人须自行负责采购的材料、设备的准确性。</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(8)承包人用于本工程的任何材料、设备的品质，在使用前必须得到监理人的批准。承包人须在根据施工进度计划的情况下提前（需提前合理的时间以保证发包人、监理人有充分的时间进行审查）提交样品、样本，在大批订货前送审。获批准的样品、样本须存放在监理人的工地办公室，作为以后验收的标准(样品、样本和其包装由承包人无偿提供)。施工中使用的材料、设备须与获批准的样品、样本一致。</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监理人对任何样品、样本的认可，并不会解除或减轻承包人按合同须履行的责任。若本工程的任何项目因承包人的原因不能及时提交样品、样本供监理人审批而导致工期延误或产生额外的工程费用(不论此等额外工程是否由承包人负责施工)和损失，承包人均需赔偿发包人此等额外工程费用和损失，工期不会因此而顺延。发包人会从应付或将支付给承包人的款项中扣除或向承包人追索。</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 xml:space="preserve">(9)因发包人原因由承包人负责供应的材料设备改由发包人供应，承包人可向发包人收取供应材料设备价款值的1%作为材料、设备保管费，该费用只计取税金。除此之外，发包人不向承包人支付任何补偿或赔偿。因材料设备改由发包人供应导致的价款的减少根据合同约定从应当支付给承包人的价款中予以扣除。 </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(10)承包人需要使用代用材料时应有充足的理由，且代用的材料设备品质标准必须等同或高于招标文件约定的标准，承包人必须事先将替代材料的资料提供给发包人及监理人确认，发包人及监理人有绝对权利批准或不批准。批准应以书面形式发出，否则无效。发包人及监理人的任何批准或不批准不会减轻承包人应承担的材料质量保证责任。在获得批准之前，替代的建议不得实施。如获批准，其增加费用，由承包人承担，其减少的费用从合同价款中扣除。</w:t>
      </w:r>
    </w:p>
    <w:p>
      <w:pPr>
        <w:widowControl w:val="0"/>
        <w:adjustRightInd w:val="0"/>
        <w:snapToGrid w:val="0"/>
        <w:spacing w:line="360" w:lineRule="auto"/>
        <w:ind w:firstLine="480" w:firstLineChars="200"/>
        <w:jc w:val="both"/>
        <w:rPr>
          <w:rFonts w:cs="Times New Roman"/>
          <w:color w:val="auto"/>
          <w:kern w:val="2"/>
          <w:highlight w:val="none"/>
          <w:u w:val="single"/>
        </w:rPr>
      </w:pPr>
      <w:r>
        <w:rPr>
          <w:rFonts w:hint="eastAsia" w:cs="Times New Roman"/>
          <w:color w:val="auto"/>
          <w:kern w:val="2"/>
          <w:highlight w:val="none"/>
          <w:u w:val="single"/>
        </w:rPr>
        <w:t>(11)承包人与其分包人对分包人采购的材料设备应承担连带责任。若分包人采购的材料设备与设计、标准/规范以及合同条款约定的要求不符时,承包人应按监理人要求的时间责令分包人运出施工场地,重新采购符合要求的材料设备,承担因此产生的费用,由此延误的工期不予顺延。不合格材料退场应有监理人现场签发的退场单方可出场。</w:t>
      </w:r>
    </w:p>
    <w:p>
      <w:pPr>
        <w:widowControl w:val="0"/>
        <w:adjustRightInd w:val="0"/>
        <w:snapToGrid w:val="0"/>
        <w:spacing w:line="360" w:lineRule="auto"/>
        <w:ind w:firstLine="480" w:firstLineChars="200"/>
        <w:jc w:val="both"/>
        <w:rPr>
          <w:color w:val="auto"/>
          <w:highlight w:val="none"/>
        </w:rPr>
      </w:pPr>
      <w:r>
        <w:rPr>
          <w:rFonts w:hint="eastAsia" w:cs="Times New Roman"/>
          <w:color w:val="auto"/>
          <w:kern w:val="2"/>
          <w:highlight w:val="none"/>
          <w:u w:val="single"/>
        </w:rPr>
        <w:t>（12）如现场发现使用假冒、伪劣产品、货不对板，经监理人、发包人发现每次罚款详见补充条款及附件</w:t>
      </w:r>
      <w:r>
        <w:rPr>
          <w:rFonts w:cs="Times New Roman"/>
          <w:color w:val="auto"/>
          <w:kern w:val="2"/>
          <w:highlight w:val="none"/>
          <w:u w:val="single"/>
        </w:rPr>
        <w:t>1</w:t>
      </w:r>
      <w:r>
        <w:rPr>
          <w:rFonts w:hint="eastAsia" w:cs="Times New Roman"/>
          <w:color w:val="auto"/>
          <w:kern w:val="2"/>
          <w:highlight w:val="none"/>
          <w:u w:val="single"/>
        </w:rPr>
        <w:t>约定，并将此产品全部退场，罚款直接在工程进度款中全额扣除。</w:t>
      </w:r>
    </w:p>
    <w:p>
      <w:pPr>
        <w:widowControl w:val="0"/>
        <w:adjustRightInd w:val="0"/>
        <w:snapToGrid w:val="0"/>
        <w:spacing w:line="360" w:lineRule="auto"/>
        <w:ind w:firstLine="482"/>
        <w:jc w:val="center"/>
        <w:rPr>
          <w:rFonts w:cs="Times New Roman"/>
          <w:color w:val="auto"/>
          <w:kern w:val="2"/>
          <w:highlight w:val="none"/>
          <w:u w:val="single"/>
        </w:rPr>
      </w:pPr>
      <w:r>
        <w:rPr>
          <w:rFonts w:hint="eastAsia" w:cs="Times New Roman"/>
          <w:b/>
          <w:color w:val="auto"/>
          <w:kern w:val="2"/>
          <w:highlight w:val="none"/>
        </w:rPr>
        <w:t>主要材料</w:t>
      </w:r>
      <w:r>
        <w:rPr>
          <w:rFonts w:hint="eastAsia" w:cs="Times New Roman"/>
          <w:b/>
          <w:bCs/>
          <w:color w:val="auto"/>
          <w:kern w:val="2"/>
          <w:highlight w:val="none"/>
        </w:rPr>
        <w:t>设备限定品牌范围表</w:t>
      </w:r>
    </w:p>
    <w:tbl>
      <w:tblPr>
        <w:tblStyle w:val="18"/>
        <w:tblpPr w:leftFromText="180" w:rightFromText="180" w:vertAnchor="text" w:tblpXSpec="center" w:tblpY="1"/>
        <w:tblOverlap w:val="never"/>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96"/>
        <w:gridCol w:w="4002"/>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2" w:type="dxa"/>
          </w:tcPr>
          <w:p>
            <w:pPr>
              <w:widowControl w:val="0"/>
              <w:adjustRightInd w:val="0"/>
              <w:snapToGrid w:val="0"/>
              <w:spacing w:line="360" w:lineRule="auto"/>
              <w:jc w:val="center"/>
              <w:rPr>
                <w:rFonts w:ascii="等线" w:hAnsi="等线" w:eastAsia="等线" w:cs="Times New Roman"/>
                <w:b/>
                <w:color w:val="auto"/>
                <w:kern w:val="2"/>
                <w:sz w:val="21"/>
                <w:szCs w:val="22"/>
                <w:highlight w:val="none"/>
              </w:rPr>
            </w:pPr>
            <w:bookmarkStart w:id="225" w:name="_Toc46325290"/>
            <w:bookmarkStart w:id="226" w:name="_Toc1999951"/>
            <w:r>
              <w:rPr>
                <w:rFonts w:hint="eastAsia" w:ascii="Calibri" w:hAnsi="Calibri" w:cs="Times New Roman"/>
                <w:b/>
                <w:color w:val="auto"/>
                <w:kern w:val="2"/>
                <w:sz w:val="21"/>
                <w:szCs w:val="22"/>
                <w:highlight w:val="none"/>
              </w:rPr>
              <w:t>编</w:t>
            </w:r>
            <w:r>
              <w:rPr>
                <w:rFonts w:ascii="Calibri" w:hAnsi="Calibri" w:cs="Times New Roman"/>
                <w:b/>
                <w:color w:val="auto"/>
                <w:kern w:val="2"/>
                <w:sz w:val="21"/>
                <w:szCs w:val="22"/>
                <w:highlight w:val="none"/>
              </w:rPr>
              <w:t>号</w:t>
            </w:r>
          </w:p>
        </w:tc>
        <w:tc>
          <w:tcPr>
            <w:tcW w:w="1196" w:type="dxa"/>
          </w:tcPr>
          <w:p>
            <w:pPr>
              <w:widowControl w:val="0"/>
              <w:adjustRightInd w:val="0"/>
              <w:snapToGrid w:val="0"/>
              <w:spacing w:line="360" w:lineRule="auto"/>
              <w:jc w:val="center"/>
              <w:rPr>
                <w:rFonts w:ascii="等线" w:hAnsi="等线" w:eastAsia="等线" w:cs="Times New Roman"/>
                <w:b/>
                <w:color w:val="auto"/>
                <w:kern w:val="2"/>
                <w:sz w:val="21"/>
                <w:szCs w:val="22"/>
                <w:highlight w:val="none"/>
              </w:rPr>
            </w:pPr>
            <w:r>
              <w:rPr>
                <w:rFonts w:hint="eastAsia" w:ascii="Calibri" w:hAnsi="Calibri" w:cs="Times New Roman"/>
                <w:b/>
                <w:color w:val="auto"/>
                <w:kern w:val="2"/>
                <w:sz w:val="21"/>
                <w:szCs w:val="22"/>
                <w:highlight w:val="none"/>
              </w:rPr>
              <w:t>材料品种</w:t>
            </w:r>
          </w:p>
        </w:tc>
        <w:tc>
          <w:tcPr>
            <w:tcW w:w="4002" w:type="dxa"/>
          </w:tcPr>
          <w:p>
            <w:pPr>
              <w:widowControl w:val="0"/>
              <w:adjustRightInd w:val="0"/>
              <w:snapToGrid w:val="0"/>
              <w:spacing w:line="360" w:lineRule="auto"/>
              <w:jc w:val="center"/>
              <w:rPr>
                <w:rFonts w:ascii="等线" w:hAnsi="等线" w:eastAsia="等线" w:cs="Times New Roman"/>
                <w:b/>
                <w:color w:val="auto"/>
                <w:kern w:val="2"/>
                <w:sz w:val="21"/>
                <w:szCs w:val="22"/>
                <w:highlight w:val="none"/>
              </w:rPr>
            </w:pPr>
            <w:r>
              <w:rPr>
                <w:rFonts w:ascii="Calibri" w:hAnsi="Calibri" w:cs="Times New Roman"/>
                <w:b/>
                <w:color w:val="auto"/>
                <w:kern w:val="2"/>
                <w:sz w:val="21"/>
                <w:szCs w:val="22"/>
                <w:highlight w:val="none"/>
              </w:rPr>
              <w:t>企业名称</w:t>
            </w:r>
          </w:p>
        </w:tc>
        <w:tc>
          <w:tcPr>
            <w:tcW w:w="1289" w:type="dxa"/>
          </w:tcPr>
          <w:p>
            <w:pPr>
              <w:widowControl w:val="0"/>
              <w:adjustRightInd w:val="0"/>
              <w:snapToGrid w:val="0"/>
              <w:spacing w:line="360" w:lineRule="auto"/>
              <w:jc w:val="center"/>
              <w:rPr>
                <w:rFonts w:ascii="等线" w:hAnsi="等线" w:eastAsia="等线" w:cs="Times New Roman"/>
                <w:b/>
                <w:color w:val="auto"/>
                <w:kern w:val="2"/>
                <w:sz w:val="21"/>
                <w:szCs w:val="22"/>
                <w:highlight w:val="none"/>
              </w:rPr>
            </w:pPr>
            <w:r>
              <w:rPr>
                <w:rFonts w:ascii="Calibri" w:hAnsi="Calibri" w:cs="Times New Roman"/>
                <w:b/>
                <w:color w:val="auto"/>
                <w:kern w:val="2"/>
                <w:sz w:val="21"/>
                <w:szCs w:val="22"/>
                <w:highlight w:val="none"/>
              </w:rPr>
              <w:t>品牌名称</w:t>
            </w:r>
          </w:p>
        </w:tc>
        <w:tc>
          <w:tcPr>
            <w:tcW w:w="1289" w:type="dxa"/>
          </w:tcPr>
          <w:p>
            <w:pPr>
              <w:widowControl w:val="0"/>
              <w:adjustRightInd w:val="0"/>
              <w:snapToGrid w:val="0"/>
              <w:spacing w:line="360" w:lineRule="auto"/>
              <w:jc w:val="center"/>
              <w:rPr>
                <w:rFonts w:ascii="等线" w:hAnsi="等线" w:eastAsia="等线" w:cs="Times New Roman"/>
                <w:b/>
                <w:color w:val="auto"/>
                <w:kern w:val="2"/>
                <w:sz w:val="21"/>
                <w:szCs w:val="22"/>
                <w:highlight w:val="none"/>
              </w:rPr>
            </w:pPr>
            <w:r>
              <w:rPr>
                <w:rFonts w:hint="eastAsia" w:ascii="Calibri" w:hAnsi="Calibri" w:cs="Times New Roman"/>
                <w:b/>
                <w:color w:val="auto"/>
                <w:kern w:val="2"/>
                <w:sz w:val="21"/>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2" w:type="dxa"/>
          </w:tcPr>
          <w:p>
            <w:pPr>
              <w:widowControl w:val="0"/>
              <w:adjustRightInd w:val="0"/>
              <w:snapToGrid w:val="0"/>
              <w:spacing w:line="360" w:lineRule="auto"/>
              <w:jc w:val="center"/>
              <w:rPr>
                <w:rFonts w:ascii="Calibri" w:hAnsi="Calibri" w:cs="Times New Roman"/>
                <w:b/>
                <w:color w:val="auto"/>
                <w:kern w:val="2"/>
                <w:sz w:val="21"/>
                <w:szCs w:val="22"/>
                <w:highlight w:val="none"/>
              </w:rPr>
            </w:pPr>
          </w:p>
        </w:tc>
        <w:tc>
          <w:tcPr>
            <w:tcW w:w="1196" w:type="dxa"/>
          </w:tcPr>
          <w:p>
            <w:pPr>
              <w:widowControl w:val="0"/>
              <w:adjustRightInd w:val="0"/>
              <w:snapToGrid w:val="0"/>
              <w:spacing w:line="360" w:lineRule="auto"/>
              <w:jc w:val="center"/>
              <w:rPr>
                <w:rFonts w:ascii="Calibri" w:hAnsi="Calibri"/>
                <w:b/>
                <w:color w:val="auto"/>
                <w:kern w:val="2"/>
                <w:sz w:val="21"/>
                <w:highlight w:val="none"/>
              </w:rPr>
            </w:pPr>
            <w:r>
              <w:rPr>
                <w:rFonts w:hint="eastAsia"/>
                <w:color w:val="auto"/>
                <w:kern w:val="2"/>
                <w:highlight w:val="none"/>
                <w:u w:val="single"/>
              </w:rPr>
              <w:t>详附件</w:t>
            </w:r>
            <w:r>
              <w:rPr>
                <w:color w:val="auto"/>
                <w:kern w:val="2"/>
                <w:highlight w:val="none"/>
                <w:u w:val="single"/>
              </w:rPr>
              <w:t>2</w:t>
            </w:r>
          </w:p>
        </w:tc>
        <w:tc>
          <w:tcPr>
            <w:tcW w:w="4002" w:type="dxa"/>
          </w:tcPr>
          <w:p>
            <w:pPr>
              <w:widowControl w:val="0"/>
              <w:adjustRightInd w:val="0"/>
              <w:snapToGrid w:val="0"/>
              <w:spacing w:line="360" w:lineRule="auto"/>
              <w:jc w:val="center"/>
              <w:rPr>
                <w:rFonts w:ascii="Calibri" w:hAnsi="Calibri"/>
                <w:b/>
                <w:color w:val="auto"/>
                <w:kern w:val="2"/>
                <w:sz w:val="21"/>
                <w:highlight w:val="none"/>
              </w:rPr>
            </w:pPr>
            <w:r>
              <w:rPr>
                <w:rFonts w:hint="eastAsia"/>
                <w:color w:val="auto"/>
                <w:kern w:val="2"/>
                <w:highlight w:val="none"/>
                <w:u w:val="single"/>
              </w:rPr>
              <w:t>详附件</w:t>
            </w:r>
            <w:r>
              <w:rPr>
                <w:color w:val="auto"/>
                <w:kern w:val="2"/>
                <w:highlight w:val="none"/>
                <w:u w:val="single"/>
              </w:rPr>
              <w:t>2</w:t>
            </w:r>
          </w:p>
        </w:tc>
        <w:tc>
          <w:tcPr>
            <w:tcW w:w="1289" w:type="dxa"/>
          </w:tcPr>
          <w:p>
            <w:pPr>
              <w:widowControl w:val="0"/>
              <w:adjustRightInd w:val="0"/>
              <w:snapToGrid w:val="0"/>
              <w:spacing w:line="360" w:lineRule="auto"/>
              <w:jc w:val="center"/>
              <w:rPr>
                <w:rFonts w:ascii="Calibri" w:hAnsi="Calibri"/>
                <w:b/>
                <w:color w:val="auto"/>
                <w:kern w:val="2"/>
                <w:sz w:val="21"/>
                <w:highlight w:val="none"/>
              </w:rPr>
            </w:pPr>
            <w:r>
              <w:rPr>
                <w:rFonts w:hint="eastAsia"/>
                <w:color w:val="auto"/>
                <w:kern w:val="2"/>
                <w:highlight w:val="none"/>
                <w:u w:val="single"/>
              </w:rPr>
              <w:t>详附件</w:t>
            </w:r>
            <w:r>
              <w:rPr>
                <w:color w:val="auto"/>
                <w:kern w:val="2"/>
                <w:highlight w:val="none"/>
                <w:u w:val="single"/>
              </w:rPr>
              <w:t>2</w:t>
            </w:r>
          </w:p>
        </w:tc>
        <w:tc>
          <w:tcPr>
            <w:tcW w:w="1289" w:type="dxa"/>
          </w:tcPr>
          <w:p>
            <w:pPr>
              <w:widowControl w:val="0"/>
              <w:adjustRightInd w:val="0"/>
              <w:snapToGrid w:val="0"/>
              <w:spacing w:line="360" w:lineRule="auto"/>
              <w:jc w:val="center"/>
              <w:rPr>
                <w:rFonts w:ascii="Calibri" w:hAnsi="Calibri" w:cs="Times New Roman"/>
                <w:b/>
                <w:color w:val="auto"/>
                <w:kern w:val="2"/>
                <w:sz w:val="21"/>
                <w:szCs w:val="22"/>
                <w:highlight w:val="none"/>
              </w:rPr>
            </w:pPr>
          </w:p>
        </w:tc>
      </w:tr>
    </w:tbl>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27" w:name="_Toc22356"/>
      <w:bookmarkStart w:id="228" w:name="_Toc8418"/>
      <w:r>
        <w:rPr>
          <w:rFonts w:hint="eastAsia" w:cs="Times New Roman"/>
          <w:b/>
          <w:bCs/>
          <w:color w:val="auto"/>
          <w:kern w:val="2"/>
          <w:szCs w:val="32"/>
          <w:highlight w:val="none"/>
        </w:rPr>
        <w:t>14.6 材料和工程设备的替代</w:t>
      </w:r>
      <w:bookmarkEnd w:id="225"/>
      <w:bookmarkEnd w:id="226"/>
      <w:bookmarkEnd w:id="227"/>
      <w:bookmarkEnd w:id="228"/>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(2)承包人需使用替代材料设备应向监理人提出申请的时限：</w:t>
      </w:r>
      <w:r>
        <w:rPr>
          <w:rFonts w:hint="eastAsia" w:cs="Times New Roman"/>
          <w:color w:val="auto"/>
          <w:highlight w:val="none"/>
          <w:u w:val="single"/>
        </w:rPr>
        <w:t>提前30日历天</w:t>
      </w:r>
      <w:r>
        <w:rPr>
          <w:rFonts w:hint="eastAsia" w:cs="Times New Roman"/>
          <w:color w:val="auto"/>
          <w:kern w:val="2"/>
          <w:highlight w:val="none"/>
        </w:rPr>
        <w:t>，监理人应发出书面指示的时限：</w:t>
      </w:r>
      <w:r>
        <w:rPr>
          <w:rFonts w:hint="eastAsia" w:cs="Times New Roman"/>
          <w:color w:val="auto"/>
          <w:highlight w:val="none"/>
          <w:u w:val="single"/>
        </w:rPr>
        <w:t>15日历天，发包人及监理人有绝对权力批准或不批准。批准应以书面形式发出，否则无效。发包人及监理人的任何批准或不批准不会减轻承包人应承担的材料质量保证责任，在获得批准之前，替代的建议不得实施</w:t>
      </w:r>
      <w:r>
        <w:rPr>
          <w:rFonts w:hint="eastAsia" w:cs="Times New Roman"/>
          <w:color w:val="auto"/>
          <w:kern w:val="2"/>
          <w:highlight w:val="none"/>
        </w:rPr>
        <w:t>；</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使用替代材料设备增减合同价格和产生费用的承担方式：</w:t>
      </w:r>
      <w:r>
        <w:rPr>
          <w:rFonts w:hint="eastAsia" w:cs="Times New Roman"/>
          <w:color w:val="auto"/>
          <w:highlight w:val="none"/>
          <w:u w:val="single"/>
        </w:rPr>
        <w:t>其增加费用，由承包人承担，其减少的费用从合同价款中扣除。</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29" w:name="_Toc21233"/>
      <w:bookmarkStart w:id="230" w:name="_Toc8397"/>
      <w:bookmarkStart w:id="231" w:name="_Toc46325291"/>
      <w:bookmarkStart w:id="232" w:name="_Toc1999952"/>
      <w:r>
        <w:rPr>
          <w:rFonts w:hint="eastAsia" w:cs="Times New Roman"/>
          <w:b/>
          <w:bCs/>
          <w:color w:val="auto"/>
          <w:kern w:val="2"/>
          <w:szCs w:val="32"/>
          <w:highlight w:val="none"/>
        </w:rPr>
        <w:t>14.7 材料设备的检验</w:t>
      </w:r>
      <w:bookmarkEnd w:id="229"/>
      <w:bookmarkEnd w:id="230"/>
      <w:bookmarkEnd w:id="231"/>
      <w:bookmarkEnd w:id="23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(1)用于本工程的材料设备的检验要求：</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承包人按现行法律、法规、规章和有关标准、规范的规定检验。</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本工程的材料设备检验机构为：</w:t>
      </w:r>
      <w:r>
        <w:rPr>
          <w:rFonts w:hint="eastAsia" w:cs="Times New Roman"/>
          <w:color w:val="auto"/>
          <w:highlight w:val="none"/>
          <w:u w:val="single"/>
        </w:rPr>
        <w:t>发包人和监理人认可的检验检测机构。</w:t>
      </w:r>
    </w:p>
    <w:p>
      <w:pPr>
        <w:tabs>
          <w:tab w:val="left" w:pos="54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233" w:name="_Toc9843"/>
      <w:bookmarkStart w:id="234" w:name="_Toc25193"/>
      <w:bookmarkStart w:id="235" w:name="_Toc1999953"/>
      <w:bookmarkStart w:id="236" w:name="_Toc46325292"/>
      <w:r>
        <w:rPr>
          <w:rFonts w:hint="eastAsia" w:ascii="Times New Roman" w:cs="Times New Roman"/>
          <w:b/>
          <w:bCs/>
          <w:color w:val="auto"/>
          <w:kern w:val="44"/>
          <w:sz w:val="28"/>
          <w:szCs w:val="28"/>
          <w:highlight w:val="none"/>
        </w:rPr>
        <w:t>15 工程质量和检测</w:t>
      </w:r>
      <w:bookmarkEnd w:id="233"/>
      <w:bookmarkEnd w:id="234"/>
      <w:bookmarkEnd w:id="235"/>
      <w:bookmarkEnd w:id="236"/>
    </w:p>
    <w:p>
      <w:pPr>
        <w:widowControl w:val="0"/>
        <w:tabs>
          <w:tab w:val="left" w:pos="540"/>
          <w:tab w:val="left" w:pos="900"/>
          <w:tab w:val="left" w:pos="2340"/>
          <w:tab w:val="left" w:pos="4032"/>
        </w:tabs>
        <w:adjustRightInd w:val="0"/>
        <w:snapToGrid w:val="0"/>
        <w:spacing w:line="360" w:lineRule="auto"/>
        <w:ind w:left="359"/>
        <w:outlineLvl w:val="4"/>
        <w:rPr>
          <w:rFonts w:cs="Times New Roman"/>
          <w:b/>
          <w:bCs/>
          <w:color w:val="auto"/>
          <w:kern w:val="2"/>
          <w:szCs w:val="32"/>
          <w:highlight w:val="none"/>
        </w:rPr>
      </w:pPr>
      <w:bookmarkStart w:id="237" w:name="_Toc32466"/>
      <w:bookmarkStart w:id="238" w:name="_Toc1999954"/>
      <w:bookmarkStart w:id="239" w:name="_Toc46325293"/>
      <w:r>
        <w:rPr>
          <w:rFonts w:hint="eastAsia" w:cs="Times New Roman"/>
          <w:b/>
          <w:bCs/>
          <w:color w:val="auto"/>
          <w:kern w:val="2"/>
          <w:szCs w:val="32"/>
          <w:highlight w:val="none"/>
        </w:rPr>
        <w:t>15.7 工程质量检测费用</w:t>
      </w:r>
      <w:bookmarkEnd w:id="237"/>
    </w:p>
    <w:bookmarkEnd w:id="238"/>
    <w:bookmarkEnd w:id="239"/>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本工程质量检验检测项目包括：</w:t>
      </w:r>
      <w:r>
        <w:rPr>
          <w:rFonts w:hint="eastAsia" w:cs="Times New Roman"/>
          <w:color w:val="auto"/>
          <w:highlight w:val="none"/>
          <w:u w:val="single"/>
        </w:rPr>
        <w:t>按现行的法律、法规、规章和有关标准、规范的规定，进场后必须履检的材料、设备，其检验费用均认为已包含在投标报价中由承包人承担；承包人应了解到部分测试可能不在深圳市内，工程师及设计人亦须见证测试，承包人须承担工程师等前往见证测试的交通及住宿等所有费用；该部分费用含在投标报价中，不另行支付。若发包人或工程师对承包人提供的材料、设备的质量提出异议，要求重新检验，承包人应送国家有关权威检测部门检验，若检验不合格，则检验费用由承包人承担。</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承包人承担其采购供应的所有材料设备检验、结构实体检测、材料环保检测、现场工艺试验（包括但不限于钢结构试验、基坑监测、植筋拉拔试验）等，按照法律、法规、规章和有关标准、规范的规定进行的检验试验（包括但不限于质量监督管理部门按一定比例抽取现场材料的检验、建筑材料检测、钢结构检测、室内空气污染物浓度检测、节能检测、绿建检测、能耗上传、绿色建筑评价标识及</w:t>
      </w:r>
      <w:r>
        <w:rPr>
          <w:rFonts w:cs="Times New Roman"/>
          <w:color w:val="auto"/>
          <w:highlight w:val="none"/>
          <w:u w:val="single"/>
        </w:rPr>
        <w:t>LEED金级认证等相关检测，现场实际检测内容以设计图纸、技术要求和相关的标准、规范为准），并将材料试验报告报送工程师、发包人审查。不论检验试验结果合格</w:t>
      </w:r>
      <w:r>
        <w:rPr>
          <w:rFonts w:hint="eastAsia" w:cs="Times New Roman"/>
          <w:color w:val="auto"/>
          <w:highlight w:val="none"/>
          <w:u w:val="single"/>
        </w:rPr>
        <w:t>与否，费用由承包人承担，已包含在承包人的投标报价中。</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①检验机构由承包人推荐的,事先必须经发包人和工程师书面同意，其相应的资质必须符合法律、法规的规定。承包人不得拒绝工程师、发包人要求的规范以外但对工程质量和安全有利的材料送检。</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②在工程开工前承包人应组织安排好机械设备和材料进场，并上报发包人和工程师进行资料和质量审核；需按照深圳市建筑材料送检规定的材料应由工程师取样见证送检，检验合格后方可投入使用。</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 xml:space="preserve">③承包人通过现场工艺试验选定的工艺流程、施工方法、施工参数、和质量控制标准等，均应编制现场工艺试验报告，报送工程师审批，并经发包人批准后才能用于施工。 </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 xml:space="preserve">④上述承包人按照现行的法律、法规、规章和有关标准、规范的规定或发包人/监理人的要求进行的工程材料取样试验和现场工艺试验所发生的费用由承包人承担。 </w:t>
      </w:r>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highlight w:val="none"/>
          <w:u w:val="single"/>
        </w:rPr>
        <w:t>⑤如发包人、工程师对检测结果有疑义，发包人有权委托其他独立的检测机构另行检测，检测结果合格的，发包人承担检测费用；检测结果不合格的，相应检测费用由承包人承担或发包人直接从应付的工程进度中扣除。</w:t>
      </w:r>
    </w:p>
    <w:p>
      <w:pPr>
        <w:tabs>
          <w:tab w:val="left" w:pos="54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240" w:name="_Toc5904"/>
      <w:bookmarkStart w:id="241" w:name="_Toc1999955"/>
      <w:bookmarkStart w:id="242" w:name="_Toc809"/>
      <w:bookmarkStart w:id="243" w:name="_Toc46325294"/>
      <w:r>
        <w:rPr>
          <w:rFonts w:hint="eastAsia" w:ascii="Times New Roman" w:cs="Times New Roman"/>
          <w:b/>
          <w:bCs/>
          <w:color w:val="auto"/>
          <w:kern w:val="44"/>
          <w:sz w:val="28"/>
          <w:szCs w:val="28"/>
          <w:highlight w:val="none"/>
        </w:rPr>
        <w:t>16 工程试运行</w:t>
      </w:r>
      <w:bookmarkEnd w:id="240"/>
      <w:bookmarkEnd w:id="241"/>
      <w:bookmarkEnd w:id="242"/>
      <w:bookmarkEnd w:id="243"/>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44" w:name="_Toc13085"/>
      <w:bookmarkStart w:id="245" w:name="_Toc46325295"/>
      <w:bookmarkStart w:id="246" w:name="_Toc1999956"/>
      <w:bookmarkStart w:id="247" w:name="_Toc2368"/>
      <w:r>
        <w:rPr>
          <w:rFonts w:hint="eastAsia" w:cs="Times New Roman"/>
          <w:b/>
          <w:bCs/>
          <w:color w:val="auto"/>
          <w:kern w:val="2"/>
          <w:szCs w:val="32"/>
          <w:highlight w:val="none"/>
        </w:rPr>
        <w:t>16.1 工程试运行内容和程序</w:t>
      </w:r>
      <w:bookmarkEnd w:id="244"/>
      <w:bookmarkEnd w:id="245"/>
      <w:bookmarkEnd w:id="246"/>
      <w:bookmarkEnd w:id="247"/>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工程试运行的内容及其费用承担方式：</w:t>
      </w:r>
      <w:bookmarkStart w:id="248" w:name="_Toc1999957"/>
      <w:r>
        <w:rPr>
          <w:rFonts w:hint="eastAsia" w:cs="Times New Roman"/>
          <w:color w:val="auto"/>
          <w:highlight w:val="none"/>
          <w:u w:val="single"/>
        </w:rPr>
        <w:t>/</w:t>
      </w:r>
    </w:p>
    <w:p>
      <w:pPr>
        <w:tabs>
          <w:tab w:val="left" w:pos="54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249" w:name="_Toc25557"/>
      <w:bookmarkStart w:id="250" w:name="_Toc46325296"/>
      <w:bookmarkStart w:id="251" w:name="_Toc5702"/>
      <w:r>
        <w:rPr>
          <w:rFonts w:hint="eastAsia" w:ascii="Times New Roman" w:cs="Times New Roman"/>
          <w:b/>
          <w:bCs/>
          <w:color w:val="auto"/>
          <w:kern w:val="44"/>
          <w:sz w:val="28"/>
          <w:szCs w:val="28"/>
          <w:highlight w:val="none"/>
        </w:rPr>
        <w:t>17 安全文明施工</w:t>
      </w:r>
      <w:bookmarkEnd w:id="248"/>
      <w:bookmarkEnd w:id="249"/>
      <w:bookmarkEnd w:id="250"/>
      <w:bookmarkEnd w:id="251"/>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252" w:name="_Toc30047"/>
      <w:bookmarkStart w:id="253" w:name="_Toc1999958"/>
      <w:bookmarkStart w:id="254" w:name="_Toc46325297"/>
      <w:bookmarkStart w:id="255" w:name="_Toc27234"/>
      <w:r>
        <w:rPr>
          <w:rFonts w:hint="eastAsia" w:cs="Times New Roman"/>
          <w:b/>
          <w:bCs/>
          <w:color w:val="auto"/>
          <w:kern w:val="2"/>
          <w:szCs w:val="32"/>
          <w:highlight w:val="none"/>
        </w:rPr>
        <w:t>17.1发包人的安全文明施工责任</w:t>
      </w:r>
      <w:bookmarkEnd w:id="252"/>
      <w:bookmarkEnd w:id="253"/>
      <w:bookmarkEnd w:id="254"/>
      <w:bookmarkEnd w:id="255"/>
    </w:p>
    <w:p>
      <w:pPr>
        <w:widowControl w:val="0"/>
        <w:adjustRightInd w:val="0"/>
        <w:snapToGrid w:val="0"/>
        <w:spacing w:line="360" w:lineRule="auto"/>
        <w:ind w:firstLine="600" w:firstLineChars="250"/>
        <w:rPr>
          <w:rFonts w:cs="Times New Roman"/>
          <w:bCs/>
          <w:color w:val="auto"/>
          <w:kern w:val="2"/>
          <w:highlight w:val="none"/>
          <w:u w:val="single"/>
        </w:rPr>
      </w:pPr>
      <w:r>
        <w:rPr>
          <w:rFonts w:hint="eastAsia" w:cs="Times New Roman"/>
          <w:snapToGrid w:val="0"/>
          <w:color w:val="auto"/>
          <w:kern w:val="2"/>
          <w:highlight w:val="none"/>
        </w:rPr>
        <w:t>(6)发包人应承担的安全文明施工责任：</w:t>
      </w:r>
      <w:r>
        <w:rPr>
          <w:rFonts w:hint="eastAsia"/>
          <w:color w:val="auto"/>
          <w:highlight w:val="none"/>
          <w:u w:val="single"/>
        </w:rPr>
        <w:t>按通用条款执行</w:t>
      </w:r>
      <w:r>
        <w:rPr>
          <w:rFonts w:hint="eastAsia" w:cs="Times New Roman"/>
          <w:color w:val="auto"/>
          <w:kern w:val="2"/>
          <w:highlight w:val="none"/>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256" w:name="_Toc29383"/>
      <w:bookmarkStart w:id="257" w:name="_Toc46325298"/>
      <w:bookmarkStart w:id="258" w:name="_Toc15694"/>
      <w:bookmarkStart w:id="259" w:name="_Toc1999959"/>
      <w:r>
        <w:rPr>
          <w:rFonts w:hint="eastAsia" w:cs="Times New Roman"/>
          <w:b/>
          <w:bCs/>
          <w:color w:val="auto"/>
          <w:kern w:val="2"/>
          <w:szCs w:val="32"/>
          <w:highlight w:val="none"/>
        </w:rPr>
        <w:t>17.2 承包人的安全文明施工责任</w:t>
      </w:r>
      <w:bookmarkEnd w:id="256"/>
      <w:bookmarkEnd w:id="257"/>
      <w:bookmarkEnd w:id="258"/>
      <w:bookmarkEnd w:id="259"/>
    </w:p>
    <w:p>
      <w:pPr>
        <w:widowControl w:val="0"/>
        <w:adjustRightInd w:val="0"/>
        <w:snapToGrid w:val="0"/>
        <w:spacing w:line="360" w:lineRule="auto"/>
        <w:ind w:firstLine="480"/>
        <w:rPr>
          <w:rFonts w:cs="Times New Roman"/>
          <w:bCs/>
          <w:snapToGrid w:val="0"/>
          <w:color w:val="auto"/>
          <w:kern w:val="2"/>
          <w:highlight w:val="none"/>
          <w:u w:val="single"/>
        </w:rPr>
      </w:pPr>
      <w:r>
        <w:rPr>
          <w:rFonts w:hint="eastAsia" w:cs="Times New Roman"/>
          <w:bCs/>
          <w:snapToGrid w:val="0"/>
          <w:color w:val="auto"/>
          <w:kern w:val="2"/>
          <w:highlight w:val="none"/>
        </w:rPr>
        <w:t>(9)承包人应承担的安全文明施工责任：</w:t>
      </w:r>
      <w:r>
        <w:rPr>
          <w:rFonts w:hint="eastAsia" w:cs="Times New Roman"/>
          <w:bCs/>
          <w:snapToGrid w:val="0"/>
          <w:color w:val="auto"/>
          <w:kern w:val="2"/>
          <w:highlight w:val="none"/>
          <w:u w:val="single"/>
        </w:rPr>
        <w:t>具体详见补充条款及附件1。</w:t>
      </w:r>
    </w:p>
    <w:p>
      <w:pPr>
        <w:tabs>
          <w:tab w:val="left" w:pos="540"/>
          <w:tab w:val="left" w:pos="1620"/>
          <w:tab w:val="left" w:pos="2340"/>
        </w:tabs>
        <w:adjustRightInd w:val="0"/>
        <w:snapToGrid w:val="0"/>
        <w:ind w:left="178"/>
        <w:outlineLvl w:val="1"/>
        <w:rPr>
          <w:color w:val="auto"/>
          <w:highlight w:val="none"/>
          <w:u w:val="single"/>
        </w:rPr>
      </w:pPr>
      <w:bookmarkStart w:id="260" w:name="_Toc46325299"/>
      <w:bookmarkStart w:id="261" w:name="_Toc16064"/>
      <w:bookmarkStart w:id="262" w:name="_Toc1999960"/>
      <w:bookmarkStart w:id="263" w:name="_Toc25316"/>
      <w:r>
        <w:rPr>
          <w:rFonts w:hint="eastAsia" w:ascii="Times New Roman" w:cs="Times New Roman"/>
          <w:b/>
          <w:bCs/>
          <w:color w:val="auto"/>
          <w:kern w:val="44"/>
          <w:sz w:val="28"/>
          <w:szCs w:val="28"/>
          <w:highlight w:val="none"/>
        </w:rPr>
        <w:t>18 余泥渣土运输</w:t>
      </w:r>
      <w:bookmarkEnd w:id="260"/>
      <w:bookmarkEnd w:id="261"/>
      <w:bookmarkEnd w:id="262"/>
      <w:bookmarkEnd w:id="263"/>
    </w:p>
    <w:p>
      <w:pPr>
        <w:widowControl w:val="0"/>
        <w:tabs>
          <w:tab w:val="left" w:pos="540"/>
          <w:tab w:val="left" w:pos="900"/>
          <w:tab w:val="left" w:pos="2340"/>
        </w:tabs>
        <w:adjustRightInd w:val="0"/>
        <w:snapToGrid w:val="0"/>
        <w:spacing w:line="360" w:lineRule="auto"/>
        <w:ind w:left="359"/>
        <w:outlineLvl w:val="2"/>
        <w:rPr>
          <w:rFonts w:cs="Times New Roman"/>
          <w:color w:val="auto"/>
          <w:kern w:val="2"/>
          <w:highlight w:val="none"/>
          <w:u w:val="single"/>
        </w:rPr>
      </w:pPr>
      <w:bookmarkStart w:id="264" w:name="_Toc1999961"/>
      <w:bookmarkStart w:id="265" w:name="_Toc500"/>
      <w:bookmarkStart w:id="266" w:name="_Toc46325300"/>
      <w:bookmarkStart w:id="267" w:name="_Toc28732"/>
      <w:r>
        <w:rPr>
          <w:rFonts w:hint="eastAsia" w:cs="Times New Roman"/>
          <w:b/>
          <w:bCs/>
          <w:color w:val="auto"/>
          <w:kern w:val="2"/>
          <w:szCs w:val="32"/>
          <w:highlight w:val="none"/>
        </w:rPr>
        <w:t>18.2 承包人自行运输</w:t>
      </w:r>
      <w:bookmarkEnd w:id="264"/>
      <w:bookmarkEnd w:id="265"/>
      <w:bookmarkEnd w:id="266"/>
      <w:bookmarkEnd w:id="267"/>
      <w:r>
        <w:rPr>
          <w:rFonts w:hint="eastAsia" w:cs="Times New Roman"/>
          <w:b/>
          <w:bCs/>
          <w:color w:val="auto"/>
          <w:kern w:val="2"/>
          <w:szCs w:val="32"/>
          <w:highlight w:val="none"/>
        </w:rPr>
        <w:t>：</w:t>
      </w:r>
      <w:r>
        <w:rPr>
          <w:rFonts w:hint="eastAsia" w:cs="Times New Roman"/>
          <w:color w:val="auto"/>
          <w:kern w:val="2"/>
          <w:highlight w:val="none"/>
          <w:u w:val="single"/>
        </w:rPr>
        <w:t xml:space="preserve"> /  </w:t>
      </w:r>
      <w:bookmarkStart w:id="268" w:name="_Toc7682"/>
      <w:bookmarkStart w:id="269" w:name="_Toc46325301"/>
      <w:bookmarkStart w:id="270" w:name="_Toc1999962"/>
      <w:bookmarkStart w:id="271" w:name="_Toc32559"/>
      <w:r>
        <w:rPr>
          <w:rFonts w:hint="eastAsia" w:cs="Times New Roman"/>
          <w:color w:val="auto"/>
          <w:kern w:val="2"/>
          <w:highlight w:val="none"/>
          <w:u w:val="single"/>
        </w:rPr>
        <w:t>。</w:t>
      </w:r>
    </w:p>
    <w:p>
      <w:pPr>
        <w:widowControl w:val="0"/>
        <w:tabs>
          <w:tab w:val="left" w:pos="540"/>
          <w:tab w:val="left" w:pos="900"/>
          <w:tab w:val="left" w:pos="2340"/>
        </w:tabs>
        <w:adjustRightInd w:val="0"/>
        <w:snapToGrid w:val="0"/>
        <w:spacing w:line="360" w:lineRule="auto"/>
        <w:ind w:left="359"/>
        <w:outlineLvl w:val="2"/>
        <w:rPr>
          <w:rFonts w:cs="Times New Roman"/>
          <w:color w:val="auto"/>
          <w:kern w:val="2"/>
          <w:highlight w:val="none"/>
        </w:rPr>
      </w:pPr>
      <w:r>
        <w:rPr>
          <w:rFonts w:hint="eastAsia" w:cs="Times New Roman"/>
          <w:b/>
          <w:bCs/>
          <w:color w:val="auto"/>
          <w:kern w:val="2"/>
          <w:szCs w:val="32"/>
          <w:highlight w:val="none"/>
        </w:rPr>
        <w:t>18.3 余泥渣土运输分包</w:t>
      </w:r>
      <w:bookmarkEnd w:id="268"/>
      <w:bookmarkEnd w:id="269"/>
      <w:bookmarkEnd w:id="270"/>
      <w:bookmarkEnd w:id="271"/>
      <w:r>
        <w:rPr>
          <w:rFonts w:hint="eastAsia" w:cs="Times New Roman"/>
          <w:b/>
          <w:bCs/>
          <w:color w:val="auto"/>
          <w:kern w:val="2"/>
          <w:szCs w:val="32"/>
          <w:highlight w:val="none"/>
        </w:rPr>
        <w:t>：</w:t>
      </w:r>
      <w:r>
        <w:rPr>
          <w:rFonts w:hint="eastAsia" w:cs="Times New Roman"/>
          <w:color w:val="auto"/>
          <w:kern w:val="2"/>
          <w:highlight w:val="none"/>
          <w:u w:val="single"/>
        </w:rPr>
        <w:t xml:space="preserve"> /  。</w:t>
      </w:r>
      <w:r>
        <w:rPr>
          <w:rFonts w:hint="eastAsia" w:cs="Times New Roman"/>
          <w:color w:val="auto"/>
          <w:kern w:val="2"/>
          <w:highlight w:val="none"/>
        </w:rPr>
        <w:t xml:space="preserve"> </w:t>
      </w:r>
      <w:bookmarkStart w:id="272" w:name="_Toc46325302"/>
      <w:bookmarkStart w:id="273" w:name="_Toc1999963"/>
      <w:bookmarkStart w:id="274" w:name="_Toc6826"/>
      <w:bookmarkStart w:id="275" w:name="_Toc13881"/>
    </w:p>
    <w:p>
      <w:pPr>
        <w:widowControl w:val="0"/>
        <w:tabs>
          <w:tab w:val="left" w:pos="540"/>
          <w:tab w:val="left" w:pos="900"/>
          <w:tab w:val="left" w:pos="2340"/>
        </w:tabs>
        <w:adjustRightInd w:val="0"/>
        <w:snapToGrid w:val="0"/>
        <w:spacing w:line="360" w:lineRule="auto"/>
        <w:ind w:left="359"/>
        <w:outlineLvl w:val="2"/>
        <w:rPr>
          <w:rFonts w:cs="Times New Roman"/>
          <w:color w:val="auto"/>
          <w:kern w:val="2"/>
          <w:highlight w:val="none"/>
          <w:u w:val="single"/>
        </w:rPr>
      </w:pPr>
      <w:r>
        <w:rPr>
          <w:rFonts w:hint="eastAsia" w:cs="Times New Roman"/>
          <w:b/>
          <w:bCs/>
          <w:color w:val="auto"/>
          <w:kern w:val="2"/>
          <w:szCs w:val="32"/>
          <w:highlight w:val="none"/>
        </w:rPr>
        <w:t>18.5 余泥渣土运输车辆和驾驶员</w:t>
      </w:r>
      <w:bookmarkEnd w:id="272"/>
      <w:bookmarkEnd w:id="273"/>
      <w:bookmarkEnd w:id="274"/>
      <w:bookmarkEnd w:id="275"/>
      <w:r>
        <w:rPr>
          <w:rFonts w:hint="eastAsia" w:cs="Times New Roman"/>
          <w:b/>
          <w:bCs/>
          <w:color w:val="auto"/>
          <w:kern w:val="2"/>
          <w:szCs w:val="32"/>
          <w:highlight w:val="none"/>
        </w:rPr>
        <w:t>：</w:t>
      </w:r>
      <w:r>
        <w:rPr>
          <w:rFonts w:hint="eastAsia" w:cs="Times New Roman"/>
          <w:color w:val="auto"/>
          <w:kern w:val="2"/>
          <w:highlight w:val="none"/>
          <w:u w:val="single"/>
        </w:rPr>
        <w:t xml:space="preserve"> /  。</w:t>
      </w:r>
    </w:p>
    <w:p>
      <w:pPr>
        <w:widowControl w:val="0"/>
        <w:tabs>
          <w:tab w:val="left" w:pos="540"/>
          <w:tab w:val="left" w:pos="900"/>
          <w:tab w:val="left" w:pos="2340"/>
        </w:tabs>
        <w:adjustRightInd w:val="0"/>
        <w:snapToGrid w:val="0"/>
        <w:spacing w:line="360" w:lineRule="auto"/>
        <w:ind w:left="359"/>
        <w:outlineLvl w:val="2"/>
        <w:rPr>
          <w:rFonts w:cs="Times New Roman"/>
          <w:color w:val="auto"/>
          <w:kern w:val="2"/>
          <w:highlight w:val="none"/>
          <w:u w:val="single"/>
        </w:rPr>
      </w:pPr>
      <w:bookmarkStart w:id="276" w:name="_Toc6049"/>
      <w:bookmarkStart w:id="277" w:name="_Toc18549"/>
      <w:bookmarkStart w:id="278" w:name="_Toc46325303"/>
      <w:bookmarkStart w:id="279" w:name="_Toc1999964"/>
      <w:r>
        <w:rPr>
          <w:rFonts w:hint="eastAsia" w:cs="Times New Roman"/>
          <w:b/>
          <w:bCs/>
          <w:color w:val="auto"/>
          <w:kern w:val="2"/>
          <w:szCs w:val="32"/>
          <w:highlight w:val="none"/>
        </w:rPr>
        <w:t>18.6 专职检查人员</w:t>
      </w:r>
      <w:bookmarkEnd w:id="276"/>
      <w:bookmarkEnd w:id="277"/>
      <w:bookmarkEnd w:id="278"/>
      <w:bookmarkEnd w:id="279"/>
      <w:r>
        <w:rPr>
          <w:rFonts w:hint="eastAsia" w:cs="Times New Roman"/>
          <w:b/>
          <w:bCs/>
          <w:color w:val="auto"/>
          <w:kern w:val="2"/>
          <w:szCs w:val="32"/>
          <w:highlight w:val="none"/>
        </w:rPr>
        <w:t>：</w:t>
      </w:r>
      <w:r>
        <w:rPr>
          <w:rFonts w:hint="eastAsia" w:cs="Times New Roman"/>
          <w:color w:val="auto"/>
          <w:kern w:val="2"/>
          <w:highlight w:val="none"/>
          <w:u w:val="single"/>
        </w:rPr>
        <w:t xml:space="preserve"> /  。</w:t>
      </w:r>
    </w:p>
    <w:p>
      <w:pPr>
        <w:widowControl w:val="0"/>
        <w:tabs>
          <w:tab w:val="left" w:pos="540"/>
          <w:tab w:val="left" w:pos="900"/>
          <w:tab w:val="left" w:pos="2340"/>
        </w:tabs>
        <w:adjustRightInd w:val="0"/>
        <w:snapToGrid w:val="0"/>
        <w:spacing w:line="360" w:lineRule="auto"/>
        <w:ind w:left="359"/>
        <w:outlineLvl w:val="2"/>
        <w:rPr>
          <w:rFonts w:cs="Times New Roman"/>
          <w:color w:val="auto"/>
          <w:kern w:val="2"/>
          <w:highlight w:val="none"/>
          <w:u w:val="single"/>
        </w:rPr>
      </w:pPr>
      <w:bookmarkStart w:id="280" w:name="_Toc46325304"/>
      <w:bookmarkStart w:id="281" w:name="_Toc1999965"/>
      <w:bookmarkStart w:id="282" w:name="_Toc22453"/>
      <w:bookmarkStart w:id="283" w:name="_Toc14349"/>
      <w:r>
        <w:rPr>
          <w:rFonts w:hint="eastAsia" w:cs="Times New Roman"/>
          <w:b/>
          <w:bCs/>
          <w:color w:val="auto"/>
          <w:kern w:val="2"/>
          <w:szCs w:val="32"/>
          <w:highlight w:val="none"/>
        </w:rPr>
        <w:t>18.7 余泥渣土安全文明运输</w:t>
      </w:r>
      <w:bookmarkEnd w:id="280"/>
      <w:bookmarkEnd w:id="281"/>
      <w:bookmarkEnd w:id="282"/>
      <w:bookmarkEnd w:id="283"/>
      <w:r>
        <w:rPr>
          <w:rFonts w:hint="eastAsia" w:cs="Times New Roman"/>
          <w:b/>
          <w:bCs/>
          <w:color w:val="auto"/>
          <w:kern w:val="2"/>
          <w:szCs w:val="32"/>
          <w:highlight w:val="none"/>
        </w:rPr>
        <w:t>：</w:t>
      </w:r>
      <w:r>
        <w:rPr>
          <w:rFonts w:hint="eastAsia" w:cs="Times New Roman"/>
          <w:color w:val="auto"/>
          <w:kern w:val="2"/>
          <w:highlight w:val="none"/>
          <w:u w:val="single"/>
        </w:rPr>
        <w:t xml:space="preserve"> /  。</w:t>
      </w:r>
    </w:p>
    <w:p>
      <w:pPr>
        <w:widowControl w:val="0"/>
        <w:tabs>
          <w:tab w:val="left" w:pos="540"/>
          <w:tab w:val="left" w:pos="900"/>
          <w:tab w:val="left" w:pos="2340"/>
        </w:tabs>
        <w:adjustRightInd w:val="0"/>
        <w:snapToGrid w:val="0"/>
        <w:spacing w:line="360" w:lineRule="auto"/>
        <w:ind w:left="359"/>
        <w:outlineLvl w:val="2"/>
        <w:rPr>
          <w:rFonts w:cs="Times New Roman"/>
          <w:color w:val="auto"/>
          <w:kern w:val="2"/>
          <w:highlight w:val="none"/>
          <w:u w:val="single"/>
        </w:rPr>
      </w:pPr>
      <w:bookmarkStart w:id="284" w:name="_Toc1999966"/>
      <w:bookmarkStart w:id="285" w:name="_Toc4493"/>
      <w:bookmarkStart w:id="286" w:name="_Toc46325305"/>
      <w:bookmarkStart w:id="287" w:name="_Toc17151"/>
      <w:r>
        <w:rPr>
          <w:rFonts w:hint="eastAsia" w:cs="Times New Roman"/>
          <w:b/>
          <w:bCs/>
          <w:color w:val="auto"/>
          <w:kern w:val="2"/>
          <w:szCs w:val="32"/>
          <w:highlight w:val="none"/>
        </w:rPr>
        <w:t>18.8 检查纠正责任</w:t>
      </w:r>
      <w:bookmarkEnd w:id="284"/>
      <w:bookmarkEnd w:id="285"/>
      <w:bookmarkEnd w:id="286"/>
      <w:bookmarkEnd w:id="287"/>
      <w:r>
        <w:rPr>
          <w:rFonts w:hint="eastAsia" w:cs="Times New Roman"/>
          <w:b/>
          <w:bCs/>
          <w:color w:val="auto"/>
          <w:kern w:val="2"/>
          <w:szCs w:val="32"/>
          <w:highlight w:val="none"/>
        </w:rPr>
        <w:t>：</w:t>
      </w:r>
      <w:r>
        <w:rPr>
          <w:rFonts w:hint="eastAsia" w:cs="Times New Roman"/>
          <w:color w:val="auto"/>
          <w:kern w:val="2"/>
          <w:highlight w:val="none"/>
          <w:u w:val="single"/>
        </w:rPr>
        <w:t xml:space="preserve"> /  。</w:t>
      </w:r>
    </w:p>
    <w:p>
      <w:pPr>
        <w:tabs>
          <w:tab w:val="left" w:pos="540"/>
          <w:tab w:val="left" w:pos="720"/>
          <w:tab w:val="left" w:pos="1620"/>
          <w:tab w:val="left" w:pos="2340"/>
        </w:tabs>
        <w:adjustRightInd w:val="0"/>
        <w:snapToGrid w:val="0"/>
        <w:spacing w:line="360" w:lineRule="auto"/>
        <w:ind w:left="178"/>
        <w:outlineLvl w:val="1"/>
        <w:rPr>
          <w:rFonts w:ascii="Times New Roman"/>
          <w:b/>
          <w:color w:val="auto"/>
          <w:kern w:val="44"/>
          <w:sz w:val="28"/>
          <w:highlight w:val="none"/>
        </w:rPr>
      </w:pPr>
      <w:bookmarkStart w:id="288" w:name="_Toc19781"/>
      <w:bookmarkStart w:id="289" w:name="_Toc31395"/>
      <w:bookmarkStart w:id="290" w:name="_Toc932"/>
      <w:bookmarkStart w:id="291" w:name="_Toc142387730"/>
      <w:bookmarkStart w:id="292" w:name="_Toc19217"/>
      <w:bookmarkStart w:id="293" w:name="_Toc8675"/>
      <w:bookmarkStart w:id="294" w:name="_Toc5525"/>
      <w:bookmarkStart w:id="295" w:name="_Toc1999967"/>
      <w:bookmarkStart w:id="296" w:name="_Toc46325306"/>
      <w:r>
        <w:rPr>
          <w:rFonts w:hint="eastAsia" w:ascii="Times New Roman"/>
          <w:b/>
          <w:color w:val="auto"/>
          <w:kern w:val="44"/>
          <w:sz w:val="28"/>
          <w:highlight w:val="none"/>
        </w:rPr>
        <w:t>20 合同价格的确定和调整</w:t>
      </w:r>
      <w:bookmarkEnd w:id="288"/>
      <w:bookmarkEnd w:id="289"/>
      <w:bookmarkEnd w:id="290"/>
      <w:bookmarkEnd w:id="291"/>
      <w:bookmarkEnd w:id="292"/>
      <w:bookmarkEnd w:id="293"/>
      <w:bookmarkEnd w:id="294"/>
    </w:p>
    <w:bookmarkEnd w:id="295"/>
    <w:bookmarkEnd w:id="296"/>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297" w:name="_Toc1999968"/>
      <w:bookmarkStart w:id="298" w:name="_Toc7669"/>
      <w:bookmarkStart w:id="299" w:name="_Toc21328"/>
      <w:bookmarkStart w:id="300" w:name="_Toc46325307"/>
      <w:r>
        <w:rPr>
          <w:rFonts w:hint="eastAsia" w:cs="Times New Roman"/>
          <w:b/>
          <w:bCs/>
          <w:color w:val="auto"/>
          <w:kern w:val="2"/>
          <w:szCs w:val="32"/>
          <w:highlight w:val="none"/>
        </w:rPr>
        <w:t>20.1 签约合同价的确定</w:t>
      </w:r>
      <w:bookmarkEnd w:id="297"/>
      <w:bookmarkEnd w:id="298"/>
      <w:bookmarkEnd w:id="299"/>
      <w:bookmarkEnd w:id="300"/>
    </w:p>
    <w:p>
      <w:pPr>
        <w:widowControl w:val="0"/>
        <w:tabs>
          <w:tab w:val="left" w:pos="540"/>
          <w:tab w:val="left" w:pos="900"/>
          <w:tab w:val="left" w:pos="2340"/>
        </w:tabs>
        <w:adjustRightInd w:val="0"/>
        <w:snapToGrid w:val="0"/>
        <w:spacing w:line="360" w:lineRule="auto"/>
        <w:ind w:left="359"/>
        <w:outlineLvl w:val="2"/>
        <w:rPr>
          <w:color w:val="auto"/>
          <w:highlight w:val="none"/>
        </w:rPr>
      </w:pPr>
      <w:bookmarkStart w:id="301" w:name="_Toc1999969"/>
      <w:r>
        <w:rPr>
          <w:rFonts w:hint="eastAsia" w:cs="Times New Roman"/>
          <w:color w:val="auto"/>
          <w:kern w:val="2"/>
          <w:highlight w:val="none"/>
          <w:u w:val="single"/>
        </w:rPr>
        <w:t>详见补充条款约定。</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02" w:name="_Toc28523"/>
      <w:bookmarkStart w:id="303" w:name="_Toc46325308"/>
      <w:bookmarkStart w:id="304" w:name="_Toc8588"/>
      <w:r>
        <w:rPr>
          <w:rFonts w:hint="eastAsia" w:cs="Times New Roman"/>
          <w:b/>
          <w:bCs/>
          <w:color w:val="auto"/>
          <w:kern w:val="2"/>
          <w:szCs w:val="32"/>
          <w:highlight w:val="none"/>
        </w:rPr>
        <w:t>20.2 合同价格的调整</w:t>
      </w:r>
      <w:bookmarkEnd w:id="301"/>
      <w:bookmarkEnd w:id="302"/>
      <w:bookmarkEnd w:id="303"/>
      <w:bookmarkEnd w:id="304"/>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(11)本工程合同价格调整的其他约定：</w:t>
      </w:r>
      <w:r>
        <w:rPr>
          <w:rFonts w:hint="eastAsia" w:cs="Times New Roman"/>
          <w:color w:val="auto"/>
          <w:kern w:val="2"/>
          <w:highlight w:val="none"/>
          <w:u w:val="single"/>
        </w:rPr>
        <w:t>详见补充条款约定。</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05" w:name="_Toc17127"/>
      <w:bookmarkStart w:id="306" w:name="_Toc10564"/>
      <w:bookmarkStart w:id="307" w:name="_Toc1999970"/>
      <w:bookmarkStart w:id="308" w:name="_Toc46325309"/>
      <w:r>
        <w:rPr>
          <w:rFonts w:hint="eastAsia" w:cs="Times New Roman"/>
          <w:b/>
          <w:bCs/>
          <w:color w:val="auto"/>
          <w:kern w:val="2"/>
          <w:szCs w:val="32"/>
          <w:highlight w:val="none"/>
        </w:rPr>
        <w:t>20.4 工料机调差</w:t>
      </w:r>
      <w:bookmarkEnd w:id="305"/>
      <w:bookmarkEnd w:id="306"/>
      <w:bookmarkEnd w:id="307"/>
      <w:bookmarkEnd w:id="308"/>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(2)用于本工程的人工、主要材料及机械使用发生价格波动时的约定如下：</w:t>
      </w:r>
      <w:r>
        <w:rPr>
          <w:rFonts w:hint="eastAsia" w:cs="Times New Roman"/>
          <w:color w:val="auto"/>
          <w:kern w:val="2"/>
          <w:highlight w:val="none"/>
          <w:u w:val="single"/>
        </w:rPr>
        <w:t>详见补充条款约定</w:t>
      </w:r>
      <w:r>
        <w:rPr>
          <w:rFonts w:hint="eastAsia" w:cs="Times New Roman"/>
          <w:bCs/>
          <w:color w:val="auto"/>
          <w:kern w:val="2"/>
          <w:highlight w:val="none"/>
          <w:u w:val="single"/>
        </w:rPr>
        <w:t>。</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(3)主要材料是指用于本工程的某种材料价款总额达到签约合同价的</w:t>
      </w:r>
      <w:r>
        <w:rPr>
          <w:rFonts w:hint="eastAsia" w:cs="Times New Roman"/>
          <w:color w:val="auto"/>
          <w:kern w:val="2"/>
          <w:highlight w:val="none"/>
          <w:u w:val="single"/>
        </w:rPr>
        <w:t>/</w:t>
      </w:r>
      <w:r>
        <w:rPr>
          <w:rFonts w:hint="eastAsia" w:cs="Times New Roman"/>
          <w:color w:val="auto"/>
          <w:sz w:val="21"/>
          <w:highlight w:val="none"/>
          <w:u w:val="single"/>
        </w:rPr>
        <w:t>%</w:t>
      </w:r>
      <w:r>
        <w:rPr>
          <w:rFonts w:hint="eastAsia" w:cs="Times New Roman"/>
          <w:color w:val="auto"/>
          <w:kern w:val="2"/>
          <w:highlight w:val="none"/>
        </w:rPr>
        <w:t>。</w:t>
      </w:r>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(4)发包人和承包人根据本工程的具体实际，约定用于本工程的未达到第20.4(3)项约定比例的其它材料中可调差的材料种类为：</w:t>
      </w:r>
      <w:r>
        <w:rPr>
          <w:rFonts w:ascii="Segoe UI Emoji" w:hAnsi="Segoe UI Emoji" w:eastAsia="MS Mincho" w:cs="Segoe UI Emoji"/>
          <w:color w:val="auto"/>
          <w:sz w:val="32"/>
          <w:szCs w:val="21"/>
          <w:highlight w:val="none"/>
        </w:rPr>
        <w:drawing>
          <wp:inline distT="0" distB="0" distL="0" distR="0">
            <wp:extent cx="152400" cy="141605"/>
            <wp:effectExtent l="0" t="0" r="0" b="10795"/>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结构用钢材、</w:t>
      </w:r>
      <w:r>
        <w:rPr>
          <w:rFonts w:ascii="Segoe UI Emoji" w:hAnsi="Segoe UI Emoji" w:eastAsia="MS Mincho" w:cs="Segoe UI Emoji"/>
          <w:color w:val="auto"/>
          <w:sz w:val="32"/>
          <w:szCs w:val="21"/>
          <w:highlight w:val="none"/>
        </w:rPr>
        <w:drawing>
          <wp:inline distT="0" distB="0" distL="0" distR="0">
            <wp:extent cx="152400" cy="141605"/>
            <wp:effectExtent l="0" t="0" r="0" b="10795"/>
            <wp:docPr id="3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混凝土、</w:t>
      </w:r>
      <w:r>
        <w:rPr>
          <w:rFonts w:cs="Times New Roman"/>
          <w:color w:val="auto"/>
          <w:highlight w:val="none"/>
        </w:rPr>
        <w:drawing>
          <wp:inline distT="0" distB="0" distL="0" distR="0">
            <wp:extent cx="152400" cy="141605"/>
            <wp:effectExtent l="0" t="0" r="0" b="10795"/>
            <wp:docPr id="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沥青混凝土、</w:t>
      </w:r>
      <w:r>
        <w:rPr>
          <w:rFonts w:cs="Times New Roman"/>
          <w:color w:val="auto"/>
          <w:highlight w:val="none"/>
        </w:rPr>
        <w:drawing>
          <wp:inline distT="0" distB="0" distL="0" distR="0">
            <wp:extent cx="152400" cy="141605"/>
            <wp:effectExtent l="0" t="0" r="0" b="10795"/>
            <wp:docPr id="142132147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2"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电缆、</w:t>
      </w:r>
      <w:r>
        <w:rPr>
          <w:rFonts w:cs="Times New Roman"/>
          <w:color w:val="auto"/>
          <w:highlight w:val="none"/>
        </w:rPr>
        <w:drawing>
          <wp:inline distT="0" distB="0" distL="0" distR="0">
            <wp:extent cx="152400" cy="141605"/>
            <wp:effectExtent l="0" t="0" r="0" b="10795"/>
            <wp:docPr id="142132147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3" name="图片 1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预拌砂浆、</w:t>
      </w:r>
      <w:r>
        <w:rPr>
          <w:rFonts w:cs="Times New Roman"/>
          <w:color w:val="auto"/>
          <w:highlight w:val="none"/>
        </w:rPr>
        <w:drawing>
          <wp:inline distT="0" distB="0" distL="0" distR="0">
            <wp:extent cx="152400" cy="141605"/>
            <wp:effectExtent l="0" t="0" r="0" b="10795"/>
            <wp:docPr id="142132147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4"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柴油、</w:t>
      </w:r>
      <w:r>
        <w:rPr>
          <w:rFonts w:cs="Times New Roman"/>
          <w:color w:val="auto"/>
          <w:highlight w:val="none"/>
        </w:rPr>
        <w:drawing>
          <wp:inline distT="0" distB="0" distL="0" distR="0">
            <wp:extent cx="152400" cy="141605"/>
            <wp:effectExtent l="0" t="0" r="0" b="10795"/>
            <wp:docPr id="142132147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5" name="图片 1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汽油、</w:t>
      </w:r>
      <w:r>
        <w:rPr>
          <w:rFonts w:ascii="Segoe UI Emoji" w:hAnsi="Segoe UI Emoji" w:eastAsia="MS Mincho" w:cs="Segoe UI Emoji"/>
          <w:color w:val="auto"/>
          <w:sz w:val="32"/>
          <w:szCs w:val="21"/>
          <w:highlight w:val="none"/>
        </w:rPr>
        <w:drawing>
          <wp:inline distT="0" distB="0" distL="0" distR="0">
            <wp:extent cx="152400" cy="141605"/>
            <wp:effectExtent l="0" t="0" r="0" b="10795"/>
            <wp:docPr id="14213214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6" name="图片 1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 xml:space="preserve">其他： </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(5)本工程工料机调差费用的计算和支付约定如下：</w:t>
      </w:r>
    </w:p>
    <w:p>
      <w:pPr>
        <w:widowControl w:val="0"/>
        <w:adjustRightInd w:val="0"/>
        <w:snapToGrid w:val="0"/>
        <w:spacing w:line="360" w:lineRule="auto"/>
        <w:ind w:firstLine="480"/>
        <w:rPr>
          <w:rFonts w:cs="Times New Roman"/>
          <w:color w:val="auto"/>
          <w:kern w:val="2"/>
          <w:highlight w:val="none"/>
        </w:rPr>
      </w:pPr>
      <w:r>
        <w:rPr>
          <w:rFonts w:cs="Times New Roman"/>
          <w:color w:val="auto"/>
          <w:highlight w:val="none"/>
        </w:rPr>
        <w:drawing>
          <wp:inline distT="0" distB="0" distL="0" distR="0">
            <wp:extent cx="152400" cy="141605"/>
            <wp:effectExtent l="0" t="0" r="0" b="10795"/>
            <wp:docPr id="142132147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7"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与其相关的工程完工后进行计算并同期支付。</w:t>
      </w:r>
    </w:p>
    <w:p>
      <w:pPr>
        <w:widowControl w:val="0"/>
        <w:adjustRightInd w:val="0"/>
        <w:snapToGrid w:val="0"/>
        <w:spacing w:line="360" w:lineRule="auto"/>
        <w:ind w:firstLine="480"/>
        <w:rPr>
          <w:rFonts w:cs="Times New Roman"/>
          <w:color w:val="auto"/>
          <w:kern w:val="2"/>
          <w:highlight w:val="none"/>
        </w:rPr>
      </w:pPr>
      <w:r>
        <w:rPr>
          <w:rFonts w:ascii="Wingdings 2" w:hAnsi="Wingdings 2" w:cs="Segoe UI Emoji"/>
          <w:color w:val="auto"/>
          <w:kern w:val="2"/>
          <w:sz w:val="32"/>
          <w:szCs w:val="21"/>
          <w:highlight w:val="none"/>
        </w:rPr>
        <w:sym w:font="Wingdings 2" w:char="F0A3"/>
      </w:r>
      <w:r>
        <w:rPr>
          <w:rFonts w:hint="eastAsia" w:cs="Times New Roman"/>
          <w:color w:val="auto"/>
          <w:kern w:val="2"/>
          <w:highlight w:val="none"/>
        </w:rPr>
        <w:t>竣工结算时一次性计算和支付。</w:t>
      </w:r>
    </w:p>
    <w:p>
      <w:pPr>
        <w:widowControl w:val="0"/>
        <w:numPr>
          <w:ilvl w:val="12"/>
          <w:numId w:val="0"/>
        </w:numPr>
        <w:adjustRightInd w:val="0"/>
        <w:snapToGrid w:val="0"/>
        <w:spacing w:line="360" w:lineRule="auto"/>
        <w:ind w:firstLine="480"/>
        <w:rPr>
          <w:rFonts w:cs="Times New Roman"/>
          <w:color w:val="auto"/>
          <w:kern w:val="2"/>
          <w:highlight w:val="none"/>
        </w:rPr>
      </w:pPr>
      <w:r>
        <w:rPr>
          <w:rFonts w:ascii="Wingdings 2" w:hAnsi="Wingdings 2" w:cs="Segoe UI Emoji"/>
          <w:color w:val="auto"/>
          <w:kern w:val="2"/>
          <w:sz w:val="32"/>
          <w:szCs w:val="21"/>
          <w:highlight w:val="none"/>
        </w:rPr>
        <w:sym w:font="Wingdings 2" w:char="F052"/>
      </w:r>
      <w:r>
        <w:rPr>
          <w:rFonts w:hint="eastAsia" w:cs="Times New Roman"/>
          <w:color w:val="auto"/>
          <w:kern w:val="2"/>
          <w:highlight w:val="none"/>
        </w:rPr>
        <w:t>其他方式。具体约定为：</w:t>
      </w:r>
      <w:r>
        <w:rPr>
          <w:rFonts w:hint="eastAsia" w:cs="Times New Roman"/>
          <w:color w:val="auto"/>
          <w:kern w:val="2"/>
          <w:highlight w:val="none"/>
          <w:u w:val="single"/>
        </w:rPr>
        <w:t>详见补充条款约定</w:t>
      </w:r>
      <w:r>
        <w:rPr>
          <w:rFonts w:hint="eastAsia" w:cs="Times New Roman"/>
          <w:bCs/>
          <w:color w:val="auto"/>
          <w:kern w:val="2"/>
          <w:highlight w:val="none"/>
          <w:u w:val="single"/>
        </w:rPr>
        <w:t>。</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09" w:name="_Toc46325310"/>
      <w:bookmarkStart w:id="310" w:name="_Toc1999971"/>
      <w:bookmarkStart w:id="311" w:name="_Toc17017"/>
      <w:bookmarkStart w:id="312" w:name="_Toc16467"/>
      <w:r>
        <w:rPr>
          <w:rFonts w:hint="eastAsia" w:cs="Times New Roman"/>
          <w:b/>
          <w:bCs/>
          <w:color w:val="auto"/>
          <w:kern w:val="2"/>
          <w:szCs w:val="32"/>
          <w:highlight w:val="none"/>
        </w:rPr>
        <w:t>20.5 材料调差</w:t>
      </w:r>
      <w:bookmarkEnd w:id="309"/>
      <w:bookmarkEnd w:id="310"/>
      <w:r>
        <w:rPr>
          <w:rFonts w:hint="eastAsia" w:cs="Times New Roman"/>
          <w:b/>
          <w:bCs/>
          <w:color w:val="auto"/>
          <w:kern w:val="2"/>
          <w:szCs w:val="32"/>
          <w:highlight w:val="none"/>
        </w:rPr>
        <w:t>方法</w:t>
      </w:r>
      <w:bookmarkEnd w:id="311"/>
      <w:bookmarkEnd w:id="312"/>
    </w:p>
    <w:p>
      <w:pPr>
        <w:widowControl w:val="0"/>
        <w:adjustRightInd w:val="0"/>
        <w:snapToGrid w:val="0"/>
        <w:spacing w:line="360" w:lineRule="auto"/>
        <w:ind w:firstLine="480"/>
        <w:jc w:val="both"/>
        <w:rPr>
          <w:rFonts w:cs="Times New Roman"/>
          <w:color w:val="auto"/>
          <w:kern w:val="2"/>
          <w:highlight w:val="none"/>
        </w:rPr>
      </w:pPr>
      <w:r>
        <w:rPr>
          <w:rFonts w:hint="eastAsia" w:cs="Times New Roman"/>
          <w:color w:val="auto"/>
          <w:kern w:val="2"/>
          <w:highlight w:val="none"/>
        </w:rPr>
        <w:t>用于本工程的按照20.4(3)、(4)款确定的可调差材料发生价格波动时合同价格的调整方法为：</w:t>
      </w:r>
    </w:p>
    <w:p>
      <w:pPr>
        <w:widowControl w:val="0"/>
        <w:adjustRightInd w:val="0"/>
        <w:snapToGrid w:val="0"/>
        <w:spacing w:line="360" w:lineRule="auto"/>
        <w:ind w:firstLine="480"/>
        <w:jc w:val="both"/>
        <w:rPr>
          <w:rFonts w:cs="Times New Roman"/>
          <w:color w:val="auto"/>
          <w:kern w:val="2"/>
          <w:highlight w:val="none"/>
        </w:rPr>
      </w:pPr>
      <w:r>
        <w:rPr>
          <w:rFonts w:ascii="Wingdings 2" w:hAnsi="Wingdings 2" w:cs="Times New Roman"/>
          <w:color w:val="auto"/>
          <w:kern w:val="2"/>
          <w:highlight w:val="none"/>
        </w:rPr>
        <w:sym w:font="Wingdings 2" w:char="F0A3"/>
      </w:r>
      <w:r>
        <w:rPr>
          <w:rFonts w:hint="eastAsia" w:cs="Times New Roman"/>
          <w:color w:val="auto"/>
          <w:kern w:val="2"/>
          <w:highlight w:val="none"/>
        </w:rPr>
        <w:t>（1）加权平均法。</w:t>
      </w:r>
    </w:p>
    <w:p>
      <w:pPr>
        <w:widowControl w:val="0"/>
        <w:adjustRightInd w:val="0"/>
        <w:snapToGrid w:val="0"/>
        <w:spacing w:line="360" w:lineRule="auto"/>
        <w:ind w:firstLine="480"/>
        <w:jc w:val="both"/>
        <w:rPr>
          <w:rFonts w:cs="Times New Roman"/>
          <w:color w:val="auto"/>
          <w:kern w:val="2"/>
          <w:highlight w:val="none"/>
        </w:rPr>
      </w:pPr>
      <w:r>
        <w:rPr>
          <w:rFonts w:ascii="Wingdings 2" w:hAnsi="Wingdings 2" w:cs="Segoe UI Emoji"/>
          <w:color w:val="auto"/>
          <w:kern w:val="2"/>
          <w:sz w:val="32"/>
          <w:szCs w:val="21"/>
          <w:highlight w:val="none"/>
        </w:rPr>
        <w:sym w:font="Wingdings 2" w:char="F0A3"/>
      </w:r>
      <w:r>
        <w:rPr>
          <w:rFonts w:hint="eastAsia" w:cs="Times New Roman"/>
          <w:color w:val="auto"/>
          <w:kern w:val="2"/>
          <w:highlight w:val="none"/>
        </w:rPr>
        <w:t>（2）算术平均法。</w:t>
      </w:r>
    </w:p>
    <w:p>
      <w:pPr>
        <w:widowControl w:val="0"/>
        <w:adjustRightInd w:val="0"/>
        <w:snapToGrid w:val="0"/>
        <w:spacing w:line="360" w:lineRule="auto"/>
        <w:ind w:firstLine="480"/>
        <w:jc w:val="both"/>
        <w:rPr>
          <w:rFonts w:cs="Times New Roman"/>
          <w:bCs/>
          <w:color w:val="auto"/>
          <w:kern w:val="2"/>
          <w:highlight w:val="none"/>
          <w:u w:val="single"/>
        </w:rPr>
      </w:pPr>
      <w:r>
        <w:rPr>
          <w:rFonts w:ascii="Wingdings 2" w:hAnsi="Wingdings 2" w:cs="Times New Roman"/>
          <w:color w:val="auto"/>
          <w:kern w:val="2"/>
          <w:highlight w:val="none"/>
        </w:rPr>
        <w:sym w:font="Wingdings 2" w:char="F052"/>
      </w:r>
      <w:r>
        <w:rPr>
          <w:rFonts w:hint="eastAsia" w:cs="Times New Roman"/>
          <w:color w:val="auto"/>
          <w:kern w:val="2"/>
          <w:highlight w:val="none"/>
        </w:rPr>
        <w:t>（3）其他方法。具体约定为：</w:t>
      </w:r>
      <w:r>
        <w:rPr>
          <w:rFonts w:hint="eastAsia" w:cs="Times New Roman"/>
          <w:color w:val="auto"/>
          <w:kern w:val="2"/>
          <w:highlight w:val="none"/>
          <w:u w:val="single"/>
        </w:rPr>
        <w:t>详见补充条款约定。</w:t>
      </w:r>
    </w:p>
    <w:p>
      <w:pPr>
        <w:widowControl w:val="0"/>
        <w:adjustRightInd w:val="0"/>
        <w:snapToGrid w:val="0"/>
        <w:spacing w:line="360" w:lineRule="auto"/>
        <w:ind w:firstLine="480"/>
        <w:jc w:val="both"/>
        <w:rPr>
          <w:rFonts w:cs="Times New Roman"/>
          <w:color w:val="auto"/>
          <w:kern w:val="2"/>
          <w:highlight w:val="none"/>
        </w:rPr>
      </w:pPr>
      <w:r>
        <w:rPr>
          <w:rFonts w:hint="eastAsia" w:cs="Times New Roman"/>
          <w:color w:val="auto"/>
          <w:kern w:val="2"/>
          <w:highlight w:val="none"/>
        </w:rPr>
        <w:t>调差公式中，P</w:t>
      </w:r>
      <w:r>
        <w:rPr>
          <w:rFonts w:hint="eastAsia" w:cs="Times New Roman"/>
          <w:color w:val="auto"/>
          <w:kern w:val="2"/>
          <w:highlight w:val="none"/>
          <w:vertAlign w:val="subscript"/>
        </w:rPr>
        <w:t>0</w:t>
      </w:r>
      <w:r>
        <w:rPr>
          <w:rFonts w:hint="eastAsia" w:cs="Times New Roman"/>
          <w:color w:val="auto"/>
          <w:kern w:val="2"/>
          <w:highlight w:val="none"/>
        </w:rPr>
        <w:t>为    年    月《深圳建设工程价格信息》某材料价格。</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13" w:name="_Toc1999972"/>
      <w:bookmarkStart w:id="314" w:name="_Toc46325311"/>
      <w:bookmarkStart w:id="315" w:name="_Toc16735"/>
      <w:bookmarkStart w:id="316" w:name="_Toc32624"/>
      <w:r>
        <w:rPr>
          <w:rFonts w:hint="eastAsia" w:cs="Times New Roman"/>
          <w:b/>
          <w:bCs/>
          <w:color w:val="auto"/>
          <w:kern w:val="2"/>
          <w:szCs w:val="32"/>
          <w:highlight w:val="none"/>
        </w:rPr>
        <w:t>20.6 人工、机械使用调差方法</w:t>
      </w:r>
      <w:bookmarkEnd w:id="313"/>
      <w:bookmarkEnd w:id="314"/>
      <w:bookmarkEnd w:id="315"/>
      <w:bookmarkEnd w:id="316"/>
    </w:p>
    <w:p>
      <w:pPr>
        <w:widowControl w:val="0"/>
        <w:adjustRightInd w:val="0"/>
        <w:snapToGrid w:val="0"/>
        <w:spacing w:line="360" w:lineRule="auto"/>
        <w:ind w:firstLine="480"/>
        <w:rPr>
          <w:rFonts w:cs="Times New Roman"/>
          <w:color w:val="auto"/>
          <w:kern w:val="2"/>
          <w:highlight w:val="none"/>
        </w:rPr>
      </w:pPr>
      <w:r>
        <w:rPr>
          <w:rFonts w:hint="eastAsia" w:cs="Times New Roman"/>
          <w:bCs/>
          <w:color w:val="auto"/>
          <w:kern w:val="2"/>
          <w:highlight w:val="none"/>
        </w:rPr>
        <w:t>⑵用于本工程的人工发生价格波动时，</w:t>
      </w:r>
      <w:r>
        <w:rPr>
          <w:rFonts w:hint="eastAsia" w:cs="Times New Roman"/>
          <w:color w:val="auto"/>
          <w:kern w:val="2"/>
          <w:highlight w:val="none"/>
        </w:rPr>
        <w:t>合同价格的调整方法为：</w:t>
      </w:r>
      <w:r>
        <w:rPr>
          <w:rFonts w:hint="eastAsia" w:cs="Times New Roman"/>
          <w:color w:val="auto"/>
          <w:kern w:val="2"/>
          <w:highlight w:val="none"/>
          <w:u w:val="single"/>
        </w:rPr>
        <w:t>详见补充条款约定。</w:t>
      </w:r>
    </w:p>
    <w:p>
      <w:pPr>
        <w:tabs>
          <w:tab w:val="left" w:pos="420"/>
        </w:tabs>
        <w:adjustRightInd w:val="0"/>
        <w:snapToGrid w:val="0"/>
        <w:spacing w:line="360" w:lineRule="auto"/>
        <w:ind w:firstLine="640" w:firstLineChars="200"/>
        <w:rPr>
          <w:rFonts w:cs="Times New Roman"/>
          <w:color w:val="auto"/>
          <w:kern w:val="2"/>
          <w:highlight w:val="non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①按照20.5款调差公式，将公式中的材料价格替换为人工价格：</w:t>
      </w:r>
    </w:p>
    <w:p>
      <w:pPr>
        <w:widowControl w:val="0"/>
        <w:adjustRightInd w:val="0"/>
        <w:snapToGrid w:val="0"/>
        <w:spacing w:line="360" w:lineRule="auto"/>
        <w:ind w:firstLine="640" w:firstLineChars="200"/>
        <w:rPr>
          <w:rFonts w:cs="Times New Roman"/>
          <w:color w:val="auto"/>
          <w:kern w:val="2"/>
          <w:highlight w:val="non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1.加权平均法。</w:t>
      </w:r>
    </w:p>
    <w:p>
      <w:pPr>
        <w:widowControl w:val="0"/>
        <w:adjustRightInd w:val="0"/>
        <w:snapToGrid w:val="0"/>
        <w:spacing w:line="360" w:lineRule="auto"/>
        <w:ind w:firstLine="640" w:firstLineChars="200"/>
        <w:rPr>
          <w:rFonts w:cs="Times New Roman"/>
          <w:color w:val="auto"/>
          <w:kern w:val="2"/>
          <w:highlight w:val="non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2.算术平均法。</w:t>
      </w:r>
    </w:p>
    <w:p>
      <w:pPr>
        <w:widowControl w:val="0"/>
        <w:adjustRightInd w:val="0"/>
        <w:snapToGrid w:val="0"/>
        <w:spacing w:line="360" w:lineRule="auto"/>
        <w:ind w:left="420"/>
        <w:rPr>
          <w:rFonts w:cs="Times New Roman"/>
          <w:color w:val="auto"/>
          <w:kern w:val="2"/>
          <w:highlight w:val="none"/>
        </w:rPr>
      </w:pPr>
      <w:r>
        <w:rPr>
          <w:rFonts w:hint="eastAsia" w:cs="Times New Roman"/>
          <w:color w:val="auto"/>
          <w:kern w:val="2"/>
          <w:highlight w:val="none"/>
        </w:rPr>
        <w:t>□②人工费指数调差。</w:t>
      </w:r>
    </w:p>
    <w:p>
      <w:pPr>
        <w:widowControl w:val="0"/>
        <w:adjustRightInd w:val="0"/>
        <w:snapToGrid w:val="0"/>
        <w:spacing w:line="360" w:lineRule="auto"/>
        <w:ind w:left="420" w:firstLine="480" w:firstLineChars="200"/>
        <w:rPr>
          <w:rFonts w:cs="Times New Roman"/>
          <w:color w:val="auto"/>
          <w:kern w:val="2"/>
          <w:highlight w:val="none"/>
        </w:rPr>
      </w:pPr>
      <w:r>
        <w:rPr>
          <w:rFonts w:hint="eastAsia" w:cs="Times New Roman"/>
          <w:color w:val="auto"/>
          <w:kern w:val="2"/>
          <w:highlight w:val="none"/>
        </w:rPr>
        <w:t>调差公式中，I</w:t>
      </w:r>
      <w:r>
        <w:rPr>
          <w:rFonts w:hint="eastAsia" w:cs="Times New Roman"/>
          <w:color w:val="auto"/>
          <w:kern w:val="2"/>
          <w:highlight w:val="none"/>
          <w:vertAlign w:val="subscript"/>
        </w:rPr>
        <w:t>o</w:t>
      </w:r>
      <w:r>
        <w:rPr>
          <w:rFonts w:hint="eastAsia" w:cs="Times New Roman"/>
          <w:color w:val="auto"/>
          <w:kern w:val="2"/>
          <w:highlight w:val="none"/>
        </w:rPr>
        <w:t>为年月《深圳建设工程价格信息》某工种定额人工费指数。</w:t>
      </w:r>
    </w:p>
    <w:p>
      <w:pPr>
        <w:widowControl w:val="0"/>
        <w:adjustRightInd w:val="0"/>
        <w:snapToGrid w:val="0"/>
        <w:spacing w:line="360" w:lineRule="auto"/>
        <w:ind w:left="420" w:firstLine="480" w:firstLineChars="200"/>
        <w:rPr>
          <w:rFonts w:cs="Times New Roman"/>
          <w:color w:val="auto"/>
          <w:kern w:val="2"/>
          <w:highlight w:val="none"/>
        </w:rPr>
      </w:pPr>
      <w:r>
        <w:rPr>
          <w:rFonts w:hint="eastAsia" w:cs="Times New Roman"/>
          <w:color w:val="auto"/>
          <w:kern w:val="2"/>
          <w:highlight w:val="none"/>
        </w:rPr>
        <w:t>L</w:t>
      </w:r>
      <w:r>
        <w:rPr>
          <w:rFonts w:hint="eastAsia" w:cs="Times New Roman"/>
          <w:color w:val="auto"/>
          <w:kern w:val="2"/>
          <w:highlight w:val="none"/>
          <w:vertAlign w:val="subscript"/>
        </w:rPr>
        <w:t>总</w:t>
      </w:r>
      <w:r>
        <w:rPr>
          <w:rFonts w:hint="eastAsia" w:cs="Times New Roman"/>
          <w:color w:val="auto"/>
          <w:kern w:val="2"/>
          <w:highlight w:val="none"/>
        </w:rPr>
        <w:t>确定原则：（注：只能选择一种方式，在选定的方式前的“□”内打“√”）</w:t>
      </w:r>
    </w:p>
    <w:p>
      <w:pPr>
        <w:widowControl w:val="0"/>
        <w:adjustRightInd w:val="0"/>
        <w:snapToGrid w:val="0"/>
        <w:spacing w:line="360" w:lineRule="auto"/>
        <w:ind w:left="420" w:firstLine="480" w:firstLineChars="200"/>
        <w:rPr>
          <w:rFonts w:cs="Times New Roman"/>
          <w:color w:val="auto"/>
          <w:kern w:val="2"/>
          <w:highlight w:val="none"/>
        </w:rPr>
      </w:pPr>
      <w:r>
        <w:rPr>
          <w:rFonts w:hint="eastAsia" w:cs="Times New Roman"/>
          <w:color w:val="auto"/>
          <w:kern w:val="2"/>
          <w:highlight w:val="none"/>
        </w:rPr>
        <w:t>□</w:t>
      </w:r>
      <w:r>
        <w:rPr>
          <w:rFonts w:hint="eastAsia"/>
          <w:color w:val="auto"/>
          <w:kern w:val="2"/>
          <w:highlight w:val="none"/>
        </w:rPr>
        <w:t>按投标文件商务标书中某工种总人工费所占比例确定。</w:t>
      </w:r>
    </w:p>
    <w:p>
      <w:pPr>
        <w:widowControl w:val="0"/>
        <w:adjustRightInd w:val="0"/>
        <w:snapToGrid w:val="0"/>
        <w:spacing w:line="360" w:lineRule="auto"/>
        <w:ind w:left="1320" w:leftChars="450" w:hanging="240" w:hangingChars="100"/>
        <w:rPr>
          <w:rFonts w:cs="Times New Roman"/>
          <w:color w:val="auto"/>
          <w:kern w:val="2"/>
          <w:highlight w:val="none"/>
        </w:rPr>
      </w:pPr>
      <w:r>
        <w:rPr>
          <w:rFonts w:hint="eastAsia" w:cs="Times New Roman"/>
          <w:color w:val="auto"/>
          <w:kern w:val="2"/>
          <w:highlight w:val="none"/>
        </w:rPr>
        <w:t>□按合同价格（工料机调差前）的一定比例确定：普工总人工费为合同价格（工料机调差前）的%；技工总人工费为合同价格（工料机调差前）的%；高级技工总人工费为合同价格（工料机调差前）的%。</w:t>
      </w:r>
    </w:p>
    <w:p>
      <w:pPr>
        <w:widowControl w:val="0"/>
        <w:adjustRightInd w:val="0"/>
        <w:snapToGrid w:val="0"/>
        <w:spacing w:line="360" w:lineRule="auto"/>
        <w:ind w:left="420" w:firstLine="480" w:firstLineChars="200"/>
        <w:rPr>
          <w:rFonts w:cs="Times New Roman"/>
          <w:color w:val="auto"/>
          <w:kern w:val="2"/>
          <w:highlight w:val="none"/>
        </w:rPr>
      </w:pPr>
      <w:r>
        <w:rPr>
          <w:rFonts w:hint="eastAsia" w:cs="Times New Roman"/>
          <w:color w:val="auto"/>
          <w:kern w:val="2"/>
          <w:highlight w:val="none"/>
        </w:rPr>
        <w:t>□其他：。</w:t>
      </w:r>
    </w:p>
    <w:p>
      <w:pPr>
        <w:widowControl w:val="0"/>
        <w:adjustRightInd w:val="0"/>
        <w:snapToGrid w:val="0"/>
        <w:spacing w:line="360" w:lineRule="auto"/>
        <w:ind w:left="420"/>
        <w:rPr>
          <w:rFonts w:cs="Times New Roman"/>
          <w:bCs/>
          <w:color w:val="auto"/>
          <w:kern w:val="2"/>
          <w:highlight w:val="none"/>
          <w:u w:val="single"/>
        </w:rPr>
      </w:pPr>
      <w:r>
        <w:rPr>
          <w:rFonts w:hint="eastAsia" w:cs="Times New Roman"/>
          <w:color w:val="auto"/>
          <w:kern w:val="2"/>
          <w:highlight w:val="none"/>
        </w:rPr>
        <w:t>□</w:t>
      </w:r>
      <w:r>
        <w:rPr>
          <w:rFonts w:hint="eastAsia" w:cs="Times New Roman"/>
          <w:bCs/>
          <w:color w:val="auto"/>
          <w:kern w:val="2"/>
          <w:highlight w:val="none"/>
        </w:rPr>
        <w:t>③其他：</w:t>
      </w:r>
      <w:r>
        <w:rPr>
          <w:rFonts w:hint="eastAsia" w:cs="Times New Roman"/>
          <w:bCs/>
          <w:color w:val="auto"/>
          <w:kern w:val="2"/>
          <w:highlight w:val="none"/>
          <w:u w:val="single"/>
        </w:rPr>
        <w:t>协商确认</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17" w:name="_Toc18636"/>
      <w:bookmarkStart w:id="318" w:name="_Toc18538"/>
      <w:bookmarkStart w:id="319" w:name="_Toc46325312"/>
      <w:bookmarkStart w:id="320" w:name="_Toc1999973"/>
      <w:r>
        <w:rPr>
          <w:rFonts w:hint="eastAsia" w:cs="Times New Roman"/>
          <w:b/>
          <w:bCs/>
          <w:color w:val="auto"/>
          <w:kern w:val="2"/>
          <w:szCs w:val="32"/>
          <w:highlight w:val="none"/>
        </w:rPr>
        <w:t>20.8中标净下浮率</w:t>
      </w:r>
      <w:bookmarkEnd w:id="317"/>
      <w:bookmarkEnd w:id="318"/>
      <w:bookmarkEnd w:id="319"/>
      <w:bookmarkEnd w:id="320"/>
    </w:p>
    <w:p>
      <w:pPr>
        <w:widowControl w:val="0"/>
        <w:adjustRightInd w:val="0"/>
        <w:snapToGrid w:val="0"/>
        <w:spacing w:line="360" w:lineRule="auto"/>
        <w:ind w:firstLine="480"/>
        <w:jc w:val="both"/>
        <w:rPr>
          <w:rFonts w:cs="Times New Roman"/>
          <w:color w:val="auto"/>
          <w:kern w:val="2"/>
          <w:highlight w:val="none"/>
        </w:rPr>
      </w:pPr>
      <w:r>
        <w:rPr>
          <w:rFonts w:hint="eastAsia" w:cs="Times New Roman"/>
          <w:color w:val="auto"/>
          <w:kern w:val="2"/>
          <w:highlight w:val="none"/>
        </w:rPr>
        <w:t>本工程中标净下浮率为：</w:t>
      </w:r>
      <w:r>
        <w:rPr>
          <w:rFonts w:hint="eastAsia" w:cs="Times New Roman"/>
          <w:color w:val="auto"/>
          <w:kern w:val="2"/>
          <w:highlight w:val="none"/>
          <w:u w:val="single"/>
        </w:rPr>
        <w:t>***%</w:t>
      </w:r>
      <w:r>
        <w:rPr>
          <w:rFonts w:hint="eastAsia" w:cs="Times New Roman"/>
          <w:color w:val="auto"/>
          <w:highlight w:val="none"/>
        </w:rPr>
        <w:t>。</w:t>
      </w:r>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21" w:name="_Toc24830"/>
      <w:bookmarkStart w:id="322" w:name="_Toc1999974"/>
      <w:bookmarkStart w:id="323" w:name="_Toc46325313"/>
      <w:bookmarkStart w:id="324" w:name="_Toc28500"/>
      <w:r>
        <w:rPr>
          <w:rFonts w:hint="eastAsia" w:cs="Times New Roman"/>
          <w:b/>
          <w:bCs/>
          <w:color w:val="auto"/>
          <w:kern w:val="2"/>
          <w:szCs w:val="32"/>
          <w:highlight w:val="none"/>
        </w:rPr>
        <w:t>20.9 询价采购</w:t>
      </w:r>
      <w:bookmarkEnd w:id="321"/>
      <w:bookmarkEnd w:id="322"/>
      <w:bookmarkEnd w:id="323"/>
      <w:bookmarkEnd w:id="324"/>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(1)本工程需询价采购的材料设备见下表：</w:t>
      </w:r>
    </w:p>
    <w:tbl>
      <w:tblPr>
        <w:tblStyle w:val="18"/>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2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rPr>
                <w:rFonts w:cs="Times New Roman"/>
                <w:color w:val="auto"/>
                <w:kern w:val="2"/>
                <w:highlight w:val="none"/>
              </w:rPr>
            </w:pPr>
            <w:r>
              <w:rPr>
                <w:rFonts w:hint="eastAsia" w:cs="Times New Roman"/>
                <w:color w:val="auto"/>
                <w:kern w:val="2"/>
                <w:highlight w:val="none"/>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firstLine="480"/>
              <w:jc w:val="center"/>
              <w:rPr>
                <w:rFonts w:cs="Times New Roman"/>
                <w:color w:val="auto"/>
                <w:kern w:val="2"/>
                <w:highlight w:val="none"/>
              </w:rPr>
            </w:pPr>
            <w:r>
              <w:rPr>
                <w:rFonts w:hint="eastAsia" w:cs="Times New Roman"/>
                <w:color w:val="auto"/>
                <w:kern w:val="2"/>
                <w:highlight w:val="none"/>
              </w:rPr>
              <w:t>材料设备名称</w:t>
            </w:r>
          </w:p>
        </w:tc>
        <w:tc>
          <w:tcPr>
            <w:tcW w:w="22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firstLine="480"/>
              <w:jc w:val="center"/>
              <w:rPr>
                <w:rFonts w:cs="Times New Roman"/>
                <w:color w:val="auto"/>
                <w:kern w:val="2"/>
                <w:highlight w:val="none"/>
              </w:rPr>
            </w:pPr>
            <w:r>
              <w:rPr>
                <w:rFonts w:hint="eastAsia" w:cs="Times New Roman"/>
                <w:color w:val="auto"/>
                <w:kern w:val="2"/>
                <w:highlight w:val="none"/>
              </w:rPr>
              <w:t>采购估算价（元）</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firstLine="480"/>
              <w:jc w:val="center"/>
              <w:rPr>
                <w:rFonts w:cs="Times New Roman"/>
                <w:color w:val="auto"/>
                <w:kern w:val="2"/>
                <w:highlight w:val="none"/>
              </w:rPr>
            </w:pPr>
            <w:r>
              <w:rPr>
                <w:rFonts w:hint="eastAsia" w:cs="Times New Roman"/>
                <w:color w:val="auto"/>
                <w:kern w:val="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firstLine="120" w:firstLineChars="50"/>
              <w:rPr>
                <w:rFonts w:cs="Times New Roman"/>
                <w:color w:val="auto"/>
                <w:kern w:val="2"/>
                <w:highlight w:val="none"/>
              </w:rPr>
            </w:pPr>
            <w:r>
              <w:rPr>
                <w:rFonts w:hint="eastAsia" w:cs="Times New Roman"/>
                <w:color w:val="auto"/>
                <w:kern w:val="2"/>
                <w:highlight w:val="none"/>
              </w:rPr>
              <w:t>1</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p>
        </w:tc>
        <w:tc>
          <w:tcPr>
            <w:tcW w:w="2925"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firstLine="120" w:firstLineChars="50"/>
              <w:rPr>
                <w:rFonts w:cs="Times New Roman"/>
                <w:color w:val="auto"/>
                <w:kern w:val="2"/>
                <w:highlight w:val="none"/>
              </w:rPr>
            </w:pPr>
            <w:r>
              <w:rPr>
                <w:rFonts w:hint="eastAsia" w:cs="Times New Roman"/>
                <w:color w:val="auto"/>
                <w:kern w:val="2"/>
                <w:highlight w:val="none"/>
              </w:rPr>
              <w:t>2</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p>
        </w:tc>
        <w:tc>
          <w:tcPr>
            <w:tcW w:w="2925"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p>
        </w:tc>
      </w:tr>
    </w:tbl>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(2)询价采购的网络服务平台为：</w:t>
      </w:r>
    </w:p>
    <w:p>
      <w:pPr>
        <w:widowControl w:val="0"/>
        <w:adjustRightInd w:val="0"/>
        <w:snapToGrid w:val="0"/>
        <w:spacing w:line="360" w:lineRule="auto"/>
        <w:ind w:firstLine="640"/>
        <w:rPr>
          <w:rFonts w:cs="Times New Roman"/>
          <w:color w:val="auto"/>
          <w:kern w:val="2"/>
          <w:highlight w:val="non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ab/>
      </w:r>
      <w:r>
        <w:rPr>
          <w:rFonts w:hint="eastAsia" w:cs="Times New Roman"/>
          <w:color w:val="auto"/>
          <w:kern w:val="2"/>
          <w:highlight w:val="none"/>
        </w:rPr>
        <w:t>http://xj.jiaoyi365.com（筑龙）；</w:t>
      </w:r>
    </w:p>
    <w:p>
      <w:pPr>
        <w:widowControl w:val="0"/>
        <w:adjustRightInd w:val="0"/>
        <w:snapToGrid w:val="0"/>
        <w:spacing w:line="360" w:lineRule="auto"/>
        <w:ind w:firstLine="640"/>
        <w:rPr>
          <w:rFonts w:cs="Times New Roman"/>
          <w:color w:val="auto"/>
          <w:kern w:val="2"/>
          <w:highlight w:val="none"/>
        </w:rPr>
      </w:pPr>
      <w:r>
        <w:rPr>
          <w:rFonts w:hint="eastAsia" w:ascii="Segoe UI Emoji" w:hAnsi="Segoe UI Emoji" w:cs="Segoe UI Emoji"/>
          <w:color w:val="auto"/>
          <w:kern w:val="2"/>
          <w:sz w:val="32"/>
          <w:szCs w:val="21"/>
          <w:highlight w:val="none"/>
        </w:rPr>
        <w:t>□</w:t>
      </w:r>
      <w:r>
        <w:rPr>
          <w:rFonts w:hint="eastAsia" w:cs="Times New Roman"/>
          <w:color w:val="auto"/>
          <w:kern w:val="2"/>
          <w:highlight w:val="none"/>
        </w:rPr>
        <w:tab/>
      </w:r>
      <w:r>
        <w:rPr>
          <w:rFonts w:hint="eastAsia" w:cs="Times New Roman"/>
          <w:color w:val="auto"/>
          <w:kern w:val="2"/>
          <w:highlight w:val="none"/>
        </w:rPr>
        <w:t>http://www.51xjcg.com（斯维尔）；</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注：深圳市住房和建设局通过公开招标确定并授予北京筑龙信息技术有限责任公司、深圳市斯维尔科技有限公司两家单位深圳市建设工程材料设备询价采购网络服务平台的特许经营权。</w:t>
      </w:r>
    </w:p>
    <w:p>
      <w:pPr>
        <w:widowControl w:val="0"/>
        <w:adjustRightInd w:val="0"/>
        <w:snapToGrid w:val="0"/>
        <w:spacing w:line="360" w:lineRule="auto"/>
        <w:ind w:firstLine="480"/>
        <w:rPr>
          <w:rFonts w:cs="Times New Roman"/>
          <w:color w:val="auto"/>
          <w:kern w:val="2"/>
          <w:highlight w:val="none"/>
        </w:rPr>
      </w:pPr>
      <w:bookmarkStart w:id="325" w:name="_Toc46325314"/>
      <w:bookmarkStart w:id="326" w:name="_Toc1999975"/>
      <w:r>
        <w:rPr>
          <w:rFonts w:hint="eastAsia" w:cs="Times New Roman"/>
          <w:b/>
          <w:bCs/>
          <w:color w:val="auto"/>
          <w:kern w:val="2"/>
          <w:highlight w:val="none"/>
          <w:u w:val="single"/>
        </w:rPr>
        <w:t>本条详见补充条款约定</w:t>
      </w:r>
      <w:r>
        <w:rPr>
          <w:rFonts w:hint="eastAsia" w:cs="Times New Roman"/>
          <w:color w:val="auto"/>
          <w:kern w:val="2"/>
          <w:highlight w:val="none"/>
          <w:u w:val="single"/>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327" w:name="_Toc26983"/>
      <w:bookmarkStart w:id="328" w:name="_Toc10689"/>
      <w:r>
        <w:rPr>
          <w:rFonts w:hint="eastAsia" w:ascii="Times New Roman" w:cs="Times New Roman"/>
          <w:b/>
          <w:bCs/>
          <w:color w:val="auto"/>
          <w:kern w:val="44"/>
          <w:sz w:val="28"/>
          <w:szCs w:val="28"/>
          <w:highlight w:val="none"/>
        </w:rPr>
        <w:t>21暂估价和暂列金额</w:t>
      </w:r>
      <w:bookmarkEnd w:id="325"/>
      <w:bookmarkEnd w:id="326"/>
      <w:bookmarkEnd w:id="327"/>
      <w:bookmarkEnd w:id="328"/>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29" w:name="_Toc46325315"/>
      <w:bookmarkStart w:id="330" w:name="_Toc796"/>
      <w:bookmarkStart w:id="331" w:name="_Toc5037"/>
      <w:bookmarkStart w:id="332" w:name="_Toc1999976"/>
      <w:r>
        <w:rPr>
          <w:rFonts w:hint="eastAsia" w:cs="Times New Roman"/>
          <w:b/>
          <w:bCs/>
          <w:color w:val="auto"/>
          <w:kern w:val="2"/>
          <w:szCs w:val="32"/>
          <w:highlight w:val="none"/>
        </w:rPr>
        <w:t>21.1材料设备暂估价</w:t>
      </w:r>
      <w:bookmarkEnd w:id="329"/>
      <w:bookmarkEnd w:id="330"/>
      <w:bookmarkEnd w:id="331"/>
      <w:bookmarkEnd w:id="33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 xml:space="preserve">(1)本工程暂估的材料设备的名称、规格、单位和暂估单价见下表：(本表可另附页) </w:t>
      </w:r>
    </w:p>
    <w:tbl>
      <w:tblPr>
        <w:tblStyle w:val="18"/>
        <w:tblW w:w="855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900"/>
        <w:gridCol w:w="2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jc w:val="center"/>
              <w:rPr>
                <w:rFonts w:cs="Times New Roman"/>
                <w:color w:val="auto"/>
                <w:kern w:val="2"/>
                <w:highlight w:val="none"/>
              </w:rPr>
            </w:pPr>
            <w:r>
              <w:rPr>
                <w:rFonts w:hint="eastAsia" w:cs="Times New Roman"/>
                <w:color w:val="auto"/>
                <w:kern w:val="2"/>
                <w:highlight w:val="none"/>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jc w:val="center"/>
              <w:rPr>
                <w:rFonts w:cs="Times New Roman"/>
                <w:color w:val="auto"/>
                <w:kern w:val="2"/>
                <w:highlight w:val="none"/>
              </w:rPr>
            </w:pPr>
            <w:r>
              <w:rPr>
                <w:rFonts w:hint="eastAsia" w:cs="Times New Roman"/>
                <w:color w:val="auto"/>
                <w:kern w:val="2"/>
                <w:highlight w:val="none"/>
              </w:rPr>
              <w:t>暂估的材料设备名称</w:t>
            </w:r>
          </w:p>
        </w:tc>
        <w:tc>
          <w:tcPr>
            <w:tcW w:w="22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840" w:firstLineChars="350"/>
              <w:jc w:val="center"/>
              <w:rPr>
                <w:rFonts w:cs="Times New Roman"/>
                <w:color w:val="auto"/>
                <w:kern w:val="2"/>
                <w:highlight w:val="none"/>
              </w:rPr>
            </w:pPr>
            <w:r>
              <w:rPr>
                <w:rFonts w:hint="eastAsia" w:cs="Times New Roman"/>
                <w:color w:val="auto"/>
                <w:kern w:val="2"/>
                <w:highlight w:val="none"/>
              </w:rPr>
              <w:t>规格</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right="-107"/>
              <w:jc w:val="center"/>
              <w:rPr>
                <w:rFonts w:cs="Times New Roman"/>
                <w:color w:val="auto"/>
                <w:kern w:val="2"/>
                <w:highlight w:val="none"/>
              </w:rPr>
            </w:pPr>
            <w:r>
              <w:rPr>
                <w:rFonts w:hint="eastAsia" w:cs="Times New Roman"/>
                <w:color w:val="auto"/>
                <w:kern w:val="2"/>
                <w:highlight w:val="none"/>
              </w:rPr>
              <w:t>单位</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480"/>
              <w:jc w:val="center"/>
              <w:rPr>
                <w:rFonts w:cs="Times New Roman"/>
                <w:color w:val="auto"/>
                <w:kern w:val="2"/>
                <w:highlight w:val="none"/>
              </w:rPr>
            </w:pPr>
            <w:r>
              <w:rPr>
                <w:rFonts w:hint="eastAsia" w:cs="Times New Roman"/>
                <w:color w:val="auto"/>
                <w:kern w:val="2"/>
                <w:highlight w:val="none"/>
              </w:rPr>
              <w:t>暂估单价（元）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color w:val="auto"/>
                <w:kern w:val="2"/>
                <w:highlight w:val="none"/>
              </w:rPr>
            </w:pPr>
            <w:r>
              <w:rPr>
                <w:rFonts w:hint="eastAsia" w:cs="Times New Roman"/>
                <w:color w:val="auto"/>
                <w:kern w:val="2"/>
                <w:highlight w:val="none"/>
              </w:rPr>
              <w:t>1</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r>
              <w:rPr>
                <w:rFonts w:hint="eastAsia" w:cs="Times New Roman"/>
                <w:color w:val="auto"/>
                <w:kern w:val="2"/>
                <w:highlight w:val="none"/>
              </w:rPr>
              <w:t>详见工程量清单</w:t>
            </w: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120" w:firstLineChars="50"/>
              <w:jc w:val="center"/>
              <w:rPr>
                <w:rFonts w:cs="Times New Roman"/>
                <w:color w:val="auto"/>
                <w:kern w:val="2"/>
                <w:highlight w:val="none"/>
              </w:rPr>
            </w:pPr>
          </w:p>
        </w:tc>
        <w:tc>
          <w:tcPr>
            <w:tcW w:w="2074"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color w:val="auto"/>
                <w:kern w:val="2"/>
                <w:highlight w:val="none"/>
              </w:rPr>
            </w:pPr>
            <w:r>
              <w:rPr>
                <w:rFonts w:hint="eastAsia" w:cs="Times New Roman"/>
                <w:color w:val="auto"/>
                <w:kern w:val="2"/>
                <w:highlight w:val="none"/>
              </w:rPr>
              <w:t>2</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2074"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color w:val="auto"/>
                <w:kern w:val="2"/>
                <w:highlight w:val="none"/>
              </w:rPr>
            </w:pPr>
            <w:r>
              <w:rPr>
                <w:rFonts w:hint="eastAsia" w:cs="Times New Roman"/>
                <w:color w:val="auto"/>
                <w:kern w:val="2"/>
                <w:highlight w:val="none"/>
              </w:rPr>
              <w:t>…</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c>
          <w:tcPr>
            <w:tcW w:w="2074"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color w:val="auto"/>
                <w:kern w:val="2"/>
                <w:highlight w:val="none"/>
              </w:rPr>
            </w:pPr>
          </w:p>
        </w:tc>
      </w:tr>
    </w:tbl>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33" w:name="_Toc46325316"/>
      <w:bookmarkStart w:id="334" w:name="_Toc1999977"/>
      <w:bookmarkStart w:id="335" w:name="_Toc25880"/>
      <w:bookmarkStart w:id="336" w:name="_Toc23695"/>
      <w:r>
        <w:rPr>
          <w:rFonts w:hint="eastAsia" w:cs="Times New Roman"/>
          <w:b/>
          <w:bCs/>
          <w:color w:val="auto"/>
          <w:kern w:val="2"/>
          <w:szCs w:val="32"/>
          <w:highlight w:val="none"/>
        </w:rPr>
        <w:t>21.2专业工程暂估价</w:t>
      </w:r>
      <w:bookmarkEnd w:id="333"/>
      <w:bookmarkEnd w:id="334"/>
      <w:bookmarkEnd w:id="335"/>
      <w:bookmarkEnd w:id="336"/>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(1)本工程暂估的专业工程的名称和暂估价款：(本表可另附页)</w:t>
      </w:r>
    </w:p>
    <w:tbl>
      <w:tblPr>
        <w:tblStyle w:val="18"/>
        <w:tblW w:w="63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3544"/>
        <w:gridCol w:w="18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jc w:val="center"/>
              <w:rPr>
                <w:rFonts w:cs="Times New Roman"/>
                <w:color w:val="auto"/>
                <w:kern w:val="2"/>
                <w:highlight w:val="none"/>
              </w:rPr>
            </w:pPr>
            <w:r>
              <w:rPr>
                <w:rFonts w:hint="eastAsia" w:cs="Times New Roman"/>
                <w:color w:val="auto"/>
                <w:kern w:val="2"/>
                <w:highlight w:val="none"/>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480"/>
              <w:jc w:val="center"/>
              <w:rPr>
                <w:rFonts w:cs="Times New Roman"/>
                <w:color w:val="auto"/>
                <w:kern w:val="2"/>
                <w:highlight w:val="none"/>
              </w:rPr>
            </w:pPr>
            <w:r>
              <w:rPr>
                <w:rFonts w:hint="eastAsia" w:cs="Times New Roman"/>
                <w:color w:val="auto"/>
                <w:kern w:val="2"/>
                <w:highlight w:val="none"/>
              </w:rPr>
              <w:t>暂估的专业工程名称</w:t>
            </w: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480"/>
              <w:jc w:val="center"/>
              <w:rPr>
                <w:rFonts w:cs="Times New Roman"/>
                <w:color w:val="auto"/>
                <w:kern w:val="2"/>
                <w:highlight w:val="none"/>
              </w:rPr>
            </w:pPr>
            <w:r>
              <w:rPr>
                <w:rFonts w:hint="eastAsia" w:cs="Times New Roman"/>
                <w:color w:val="auto"/>
                <w:kern w:val="2"/>
                <w:highlight w:val="none"/>
              </w:rPr>
              <w:t>暂估价款(万元)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240" w:firstLineChars="100"/>
              <w:jc w:val="center"/>
              <w:rPr>
                <w:rFonts w:cs="Times New Roman"/>
                <w:color w:val="auto"/>
                <w:kern w:val="2"/>
                <w:highlight w:val="none"/>
              </w:rPr>
            </w:pPr>
            <w:r>
              <w:rPr>
                <w:rFonts w:hint="eastAsia" w:cs="Times New Roman"/>
                <w:color w:val="auto"/>
                <w:kern w:val="2"/>
                <w:highlight w:val="none"/>
              </w:rPr>
              <w:t>1</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color w:val="auto"/>
                <w:kern w:val="2"/>
                <w:highlight w:val="none"/>
              </w:rPr>
            </w:pPr>
            <w:r>
              <w:rPr>
                <w:rFonts w:hint="eastAsia" w:cs="Times New Roman"/>
                <w:color w:val="auto"/>
                <w:kern w:val="2"/>
                <w:highlight w:val="none"/>
              </w:rPr>
              <w:t>详见工程量清单</w:t>
            </w: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240" w:firstLineChars="100"/>
              <w:jc w:val="center"/>
              <w:rPr>
                <w:rFonts w:cs="Times New Roman"/>
                <w:color w:val="auto"/>
                <w:kern w:val="2"/>
                <w:highlight w:val="none"/>
              </w:rPr>
            </w:pPr>
            <w:r>
              <w:rPr>
                <w:rFonts w:hint="eastAsia" w:cs="Times New Roman"/>
                <w:color w:val="auto"/>
                <w:kern w:val="2"/>
                <w:highlight w:val="none"/>
              </w:rPr>
              <w:t>2</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color w:val="auto"/>
                <w:kern w:val="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color w:val="auto"/>
                <w:kern w:val="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color w:val="auto"/>
                <w:kern w:val="2"/>
                <w:highlight w:val="none"/>
              </w:rPr>
            </w:pPr>
            <w:r>
              <w:rPr>
                <w:rFonts w:hint="eastAsia" w:cs="Times New Roman"/>
                <w:color w:val="auto"/>
                <w:kern w:val="2"/>
                <w:highlight w:val="none"/>
              </w:rPr>
              <w:t>合计</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color w:val="auto"/>
                <w:kern w:val="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color w:val="auto"/>
                <w:kern w:val="2"/>
                <w:highlight w:val="none"/>
              </w:rPr>
            </w:pPr>
          </w:p>
        </w:tc>
      </w:tr>
    </w:tbl>
    <w:p>
      <w:pPr>
        <w:widowControl w:val="0"/>
        <w:adjustRightInd w:val="0"/>
        <w:snapToGrid w:val="0"/>
        <w:spacing w:line="360" w:lineRule="auto"/>
        <w:jc w:val="both"/>
        <w:rPr>
          <w:rFonts w:cs="Times New Roman"/>
          <w:b/>
          <w:color w:val="auto"/>
          <w:highlight w:val="none"/>
          <w:u w:val="single"/>
        </w:rPr>
      </w:pPr>
      <w:r>
        <w:rPr>
          <w:rFonts w:hint="eastAsia" w:cs="Times New Roman"/>
          <w:color w:val="auto"/>
          <w:kern w:val="2"/>
          <w:highlight w:val="none"/>
        </w:rPr>
        <w:t xml:space="preserve"> (3)不属于按规定必须招标的暂估的专业工程结算价款的确定方法：</w:t>
      </w:r>
      <w:r>
        <w:rPr>
          <w:rFonts w:hint="eastAsia" w:cs="Times New Roman"/>
          <w:color w:val="auto"/>
          <w:highlight w:val="none"/>
          <w:u w:val="single"/>
        </w:rPr>
        <w:t>/。</w:t>
      </w:r>
    </w:p>
    <w:p>
      <w:pPr>
        <w:widowControl w:val="0"/>
        <w:tabs>
          <w:tab w:val="left" w:pos="720"/>
          <w:tab w:val="left" w:pos="1620"/>
          <w:tab w:val="left" w:pos="2340"/>
        </w:tabs>
        <w:adjustRightInd w:val="0"/>
        <w:snapToGrid w:val="0"/>
        <w:spacing w:line="360" w:lineRule="auto"/>
        <w:ind w:left="178"/>
        <w:outlineLvl w:val="1"/>
        <w:rPr>
          <w:rFonts w:ascii="华文细黑" w:cs="Times New Roman"/>
          <w:b/>
          <w:bCs/>
          <w:snapToGrid w:val="0"/>
          <w:color w:val="auto"/>
          <w:sz w:val="28"/>
          <w:szCs w:val="44"/>
          <w:highlight w:val="none"/>
        </w:rPr>
      </w:pPr>
      <w:bookmarkStart w:id="337" w:name="_Toc13373"/>
      <w:bookmarkStart w:id="338" w:name="_Toc7470"/>
      <w:bookmarkStart w:id="339" w:name="_Toc46325317"/>
      <w:bookmarkStart w:id="340" w:name="_Toc1999978"/>
      <w:r>
        <w:rPr>
          <w:rFonts w:ascii="华文细黑" w:cs="Times New Roman"/>
          <w:b/>
          <w:bCs/>
          <w:snapToGrid w:val="0"/>
          <w:color w:val="auto"/>
          <w:sz w:val="28"/>
          <w:szCs w:val="44"/>
          <w:highlight w:val="none"/>
        </w:rPr>
        <w:t xml:space="preserve">22 </w:t>
      </w:r>
      <w:r>
        <w:rPr>
          <w:rFonts w:hint="eastAsia" w:ascii="华文细黑" w:cs="Times New Roman"/>
          <w:b/>
          <w:bCs/>
          <w:snapToGrid w:val="0"/>
          <w:color w:val="auto"/>
          <w:sz w:val="28"/>
          <w:szCs w:val="44"/>
          <w:highlight w:val="none"/>
        </w:rPr>
        <w:t>工程量计量</w:t>
      </w:r>
      <w:bookmarkEnd w:id="337"/>
      <w:bookmarkEnd w:id="338"/>
      <w:bookmarkEnd w:id="339"/>
      <w:bookmarkEnd w:id="340"/>
    </w:p>
    <w:p>
      <w:pPr>
        <w:widowControl w:val="0"/>
        <w:tabs>
          <w:tab w:val="left" w:pos="540"/>
          <w:tab w:val="left" w:pos="900"/>
          <w:tab w:val="left" w:pos="2340"/>
        </w:tabs>
        <w:adjustRightInd w:val="0"/>
        <w:snapToGrid w:val="0"/>
        <w:spacing w:line="360" w:lineRule="auto"/>
        <w:ind w:left="359"/>
        <w:outlineLvl w:val="2"/>
        <w:rPr>
          <w:rFonts w:cs="Times New Roman"/>
          <w:b/>
          <w:bCs/>
          <w:color w:val="auto"/>
          <w:kern w:val="2"/>
          <w:szCs w:val="32"/>
          <w:highlight w:val="none"/>
        </w:rPr>
      </w:pPr>
      <w:bookmarkStart w:id="341" w:name="_Toc46325318"/>
      <w:bookmarkStart w:id="342" w:name="_Toc8763"/>
      <w:bookmarkStart w:id="343" w:name="_Toc14819"/>
      <w:bookmarkStart w:id="344" w:name="_Toc1999979"/>
      <w:r>
        <w:rPr>
          <w:rFonts w:hint="eastAsia" w:cs="Times New Roman"/>
          <w:b/>
          <w:bCs/>
          <w:color w:val="auto"/>
          <w:kern w:val="2"/>
          <w:szCs w:val="32"/>
          <w:highlight w:val="none"/>
        </w:rPr>
        <w:t>22.3工程量计算规则</w:t>
      </w:r>
      <w:bookmarkEnd w:id="341"/>
      <w:bookmarkEnd w:id="342"/>
      <w:bookmarkEnd w:id="343"/>
      <w:bookmarkEnd w:id="344"/>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本工程的工程量计算规则采用：</w:t>
      </w:r>
    </w:p>
    <w:p>
      <w:pPr>
        <w:widowControl w:val="0"/>
        <w:adjustRightInd w:val="0"/>
        <w:snapToGrid w:val="0"/>
        <w:spacing w:line="360" w:lineRule="auto"/>
        <w:ind w:left="178" w:firstLine="640"/>
        <w:rPr>
          <w:rFonts w:cs="Times New Roman"/>
          <w:color w:val="auto"/>
          <w:kern w:val="2"/>
          <w:highlight w:val="none"/>
        </w:rPr>
      </w:pPr>
      <w:r>
        <w:rPr>
          <w:rFonts w:ascii="Segoe UI Emoji" w:hAnsi="Segoe UI Emoji" w:eastAsia="MS Mincho" w:cs="Segoe UI Emoji"/>
          <w:color w:val="auto"/>
          <w:kern w:val="2"/>
          <w:sz w:val="32"/>
          <w:szCs w:val="21"/>
          <w:highlight w:val="none"/>
        </w:rPr>
        <w:t>☑</w:t>
      </w:r>
      <w:r>
        <w:rPr>
          <w:rFonts w:hint="eastAsia" w:cs="Times New Roman"/>
          <w:color w:val="auto"/>
          <w:kern w:val="2"/>
          <w:highlight w:val="none"/>
        </w:rPr>
        <w:t>《建设工程工程量清单计价规范》(GB50500—2013)；</w:t>
      </w:r>
    </w:p>
    <w:p>
      <w:pPr>
        <w:widowControl w:val="0"/>
        <w:adjustRightInd w:val="0"/>
        <w:snapToGrid w:val="0"/>
        <w:spacing w:line="360" w:lineRule="auto"/>
        <w:ind w:left="178" w:firstLine="640"/>
        <w:rPr>
          <w:rFonts w:cs="Times New Roman"/>
          <w:color w:val="auto"/>
          <w:kern w:val="2"/>
          <w:highlight w:val="none"/>
        </w:rPr>
      </w:pPr>
      <w:r>
        <w:rPr>
          <w:rFonts w:ascii="Segoe UI Emoji" w:hAnsi="Segoe UI Emoji" w:eastAsia="MS Mincho" w:cs="Segoe UI Emoji"/>
          <w:color w:val="auto"/>
          <w:kern w:val="2"/>
          <w:sz w:val="32"/>
          <w:szCs w:val="21"/>
          <w:highlight w:val="none"/>
        </w:rPr>
        <w:t>☑</w:t>
      </w:r>
      <w:r>
        <w:rPr>
          <w:rFonts w:hint="eastAsia" w:cs="Times New Roman"/>
          <w:color w:val="auto"/>
          <w:kern w:val="2"/>
          <w:highlight w:val="none"/>
        </w:rPr>
        <w:t>《深圳市建设工程计价规程》（2017）；</w:t>
      </w:r>
    </w:p>
    <w:p>
      <w:pPr>
        <w:widowControl w:val="0"/>
        <w:adjustRightInd w:val="0"/>
        <w:snapToGrid w:val="0"/>
        <w:spacing w:line="360" w:lineRule="auto"/>
        <w:ind w:left="178" w:firstLine="640"/>
        <w:rPr>
          <w:rFonts w:ascii="Times New Roman" w:hAnsi="Times New Roman" w:cs="Times New Roman"/>
          <w:color w:val="auto"/>
          <w:kern w:val="2"/>
          <w:sz w:val="21"/>
          <w:highlight w:val="none"/>
        </w:rPr>
      </w:pPr>
      <w:r>
        <w:rPr>
          <w:rFonts w:ascii="Times New Roman" w:hAnsi="Times New Roman" w:cs="Times New Roman"/>
          <w:color w:val="auto"/>
          <w:highlight w:val="none"/>
        </w:rPr>
        <w:drawing>
          <wp:inline distT="0" distB="0" distL="0" distR="0">
            <wp:extent cx="152400" cy="141605"/>
            <wp:effectExtent l="0" t="0" r="0" b="10795"/>
            <wp:docPr id="14213214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8"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 xml:space="preserve">其它工程量计算规则：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345" w:name="_Toc23207"/>
      <w:bookmarkStart w:id="346" w:name="_Toc46325319"/>
      <w:bookmarkStart w:id="347" w:name="_Toc1999980"/>
      <w:bookmarkStart w:id="348" w:name="_Toc22479"/>
      <w:r>
        <w:rPr>
          <w:rFonts w:hint="eastAsia" w:ascii="Times New Roman" w:cs="Times New Roman"/>
          <w:b/>
          <w:bCs/>
          <w:color w:val="auto"/>
          <w:kern w:val="44"/>
          <w:sz w:val="28"/>
          <w:szCs w:val="28"/>
          <w:highlight w:val="none"/>
        </w:rPr>
        <w:t>23 工程款支付</w:t>
      </w:r>
      <w:bookmarkEnd w:id="345"/>
      <w:bookmarkEnd w:id="346"/>
      <w:bookmarkEnd w:id="347"/>
      <w:bookmarkEnd w:id="348"/>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49" w:name="_Toc46325320"/>
      <w:bookmarkStart w:id="350" w:name="_Toc1999981"/>
      <w:bookmarkStart w:id="351" w:name="_Toc12960"/>
      <w:bookmarkStart w:id="352" w:name="_Toc18300"/>
      <w:r>
        <w:rPr>
          <w:rFonts w:hint="eastAsia" w:cs="Times New Roman"/>
          <w:b/>
          <w:bCs/>
          <w:color w:val="auto"/>
          <w:kern w:val="2"/>
          <w:szCs w:val="32"/>
          <w:highlight w:val="none"/>
        </w:rPr>
        <w:t>23.1 工程预付款</w:t>
      </w:r>
      <w:bookmarkEnd w:id="349"/>
      <w:bookmarkEnd w:id="350"/>
      <w:bookmarkEnd w:id="351"/>
      <w:bookmarkEnd w:id="35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u w:val="single"/>
        </w:rPr>
        <w:t>详见补充条款约定。</w:t>
      </w:r>
    </w:p>
    <w:p>
      <w:pPr>
        <w:widowControl w:val="0"/>
        <w:tabs>
          <w:tab w:val="left" w:pos="540"/>
          <w:tab w:val="left" w:pos="900"/>
          <w:tab w:val="left" w:pos="2340"/>
          <w:tab w:val="left" w:pos="4032"/>
        </w:tabs>
        <w:adjustRightInd w:val="0"/>
        <w:snapToGrid w:val="0"/>
        <w:spacing w:line="360" w:lineRule="auto"/>
        <w:ind w:firstLine="482" w:firstLineChars="200"/>
        <w:rPr>
          <w:rFonts w:cs="Times New Roman"/>
          <w:b/>
          <w:bCs/>
          <w:color w:val="auto"/>
          <w:kern w:val="2"/>
          <w:szCs w:val="32"/>
          <w:highlight w:val="none"/>
        </w:rPr>
      </w:pPr>
      <w:bookmarkStart w:id="353" w:name="_Toc46325321"/>
      <w:bookmarkStart w:id="354" w:name="_Toc1999982"/>
      <w:r>
        <w:rPr>
          <w:rFonts w:hint="eastAsia" w:cs="Times New Roman"/>
          <w:b/>
          <w:bCs/>
          <w:color w:val="auto"/>
          <w:kern w:val="2"/>
          <w:szCs w:val="32"/>
          <w:highlight w:val="none"/>
        </w:rPr>
        <w:t>23.</w:t>
      </w:r>
      <w:r>
        <w:rPr>
          <w:rFonts w:cs="Times New Roman"/>
          <w:b/>
          <w:bCs/>
          <w:color w:val="auto"/>
          <w:kern w:val="2"/>
          <w:szCs w:val="32"/>
          <w:highlight w:val="none"/>
        </w:rPr>
        <w:t>4</w:t>
      </w:r>
      <w:r>
        <w:rPr>
          <w:rFonts w:hint="eastAsia" w:cs="Times New Roman"/>
          <w:b/>
          <w:bCs/>
          <w:color w:val="auto"/>
          <w:kern w:val="2"/>
          <w:szCs w:val="32"/>
          <w:highlight w:val="none"/>
        </w:rPr>
        <w:t xml:space="preserve"> 期中支付</w:t>
      </w:r>
      <w:bookmarkEnd w:id="353"/>
      <w:bookmarkEnd w:id="354"/>
    </w:p>
    <w:p>
      <w:pPr>
        <w:widowControl w:val="0"/>
        <w:tabs>
          <w:tab w:val="left" w:pos="540"/>
          <w:tab w:val="left" w:pos="900"/>
          <w:tab w:val="left" w:pos="2340"/>
          <w:tab w:val="left" w:pos="4032"/>
        </w:tabs>
        <w:adjustRightInd w:val="0"/>
        <w:snapToGrid w:val="0"/>
        <w:spacing w:line="360" w:lineRule="auto"/>
        <w:ind w:firstLine="480" w:firstLineChars="200"/>
        <w:rPr>
          <w:rFonts w:cs="Times New Roman"/>
          <w:color w:val="auto"/>
          <w:kern w:val="2"/>
          <w:highlight w:val="none"/>
        </w:rPr>
      </w:pPr>
      <w:r>
        <w:rPr>
          <w:rFonts w:hint="eastAsia" w:cs="Times New Roman"/>
          <w:color w:val="auto"/>
          <w:kern w:val="2"/>
          <w:highlight w:val="none"/>
          <w:u w:val="single"/>
        </w:rPr>
        <w:t>详见补充条款约定。</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55" w:name="_Toc16546"/>
      <w:bookmarkStart w:id="356" w:name="_Toc225"/>
      <w:bookmarkStart w:id="357" w:name="_Toc46325322"/>
      <w:bookmarkStart w:id="358" w:name="_Toc1999984"/>
      <w:r>
        <w:rPr>
          <w:rFonts w:hint="eastAsia" w:cs="Times New Roman"/>
          <w:b/>
          <w:bCs/>
          <w:color w:val="auto"/>
          <w:kern w:val="2"/>
          <w:szCs w:val="32"/>
          <w:highlight w:val="none"/>
        </w:rPr>
        <w:t>23.5 工人工资支付</w:t>
      </w:r>
      <w:bookmarkEnd w:id="355"/>
      <w:bookmarkEnd w:id="356"/>
      <w:bookmarkEnd w:id="357"/>
      <w:bookmarkEnd w:id="358"/>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本工程工人工资支付约定如下：</w:t>
      </w:r>
      <w:r>
        <w:rPr>
          <w:rFonts w:hint="eastAsia" w:cs="Times New Roman"/>
          <w:color w:val="auto"/>
          <w:highlight w:val="none"/>
          <w:u w:val="single"/>
        </w:rPr>
        <w:t>（1）承包人必须严格按照国家、省、市等有关规定支付劳务工工资，不得拖欠或克扣。</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2）承包人应按照《国务院办公厅关于全面治理拖欠农民工工资问题的意见》（国办发〔2016〕1号）、《广东省人民政府办公厅关于全面治理拖欠异地务工人员工资问题的实施意见》（粤府办〔2016〕111号）、《省人力资源和社会保障厅、省公安厅、 省住房和城乡建设厅、省交通运输厅、省水利厅、省总工会关于开展解决拖欠农民工工资问题专项行动的通知》（粤人社明电〔2016〕54号）、《深圳市住建局关于印发全面治理工程建设领域拖欠劳务工工资问题专项治理行动实施方案的通知》（深建市场〔2016〕34号）等文件的要求实行劳务用工实名制、工资分账管理制度及上述文件规定的其他制度。</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3）承包人应按照《深圳市住房和建设局关于开设我市工程建设领域劳务工工资专用账户的指南》的要求为本项目设立劳务工工资专用账户，由承包人、发包人、开户银行订立三方协议，委托银行向劳务工个人账户按月划拨工资。承包人应按照发包人的要求提交该协议及与之相关的各类文件。</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（4）因承包人未能履行上述义务导致的损失由承包人负责，包括但不限于无法办理施工许可证等。</w:t>
      </w:r>
    </w:p>
    <w:p>
      <w:pPr>
        <w:widowControl w:val="0"/>
        <w:adjustRightInd w:val="0"/>
        <w:snapToGrid w:val="0"/>
        <w:spacing w:line="360" w:lineRule="auto"/>
        <w:ind w:firstLine="480" w:firstLineChars="200"/>
        <w:textAlignment w:val="baseline"/>
        <w:rPr>
          <w:rFonts w:cs="Times New Roman"/>
          <w:color w:val="auto"/>
          <w:highlight w:val="none"/>
          <w:u w:val="single"/>
        </w:rPr>
      </w:pPr>
      <w:r>
        <w:rPr>
          <w:rFonts w:hint="eastAsia" w:cs="Times New Roman"/>
          <w:color w:val="auto"/>
          <w:highlight w:val="none"/>
          <w:u w:val="single"/>
        </w:rPr>
        <w:t>（5）承包人为履行本条项下义务而发生的费用由承包人承担。承包人并应保证劳务分包人按照前述文件要求实行劳务用工实名制和工资分账管理制度。如因劳务分包人未履行相关义务引发的责任由承包人承担。</w:t>
      </w:r>
    </w:p>
    <w:p>
      <w:pPr>
        <w:widowControl w:val="0"/>
        <w:adjustRightInd w:val="0"/>
        <w:snapToGrid w:val="0"/>
        <w:spacing w:line="360" w:lineRule="auto"/>
        <w:ind w:firstLine="480" w:firstLineChars="200"/>
        <w:textAlignment w:val="baseline"/>
        <w:rPr>
          <w:rFonts w:cs="Times New Roman"/>
          <w:color w:val="auto"/>
          <w:highlight w:val="none"/>
          <w:u w:val="single"/>
        </w:rPr>
      </w:pPr>
      <w:r>
        <w:rPr>
          <w:rFonts w:hint="eastAsia" w:cs="Times New Roman"/>
          <w:color w:val="auto"/>
          <w:highlight w:val="none"/>
          <w:u w:val="single"/>
        </w:rPr>
        <w:t>（6）按照《保障农民工工资支付条例》（国务院第724号令）第二十四条 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建设单位与施工总承包单位应当将工程施工合同保存备查。第三十一条 工程建设领域推行分包单位农民工工资委托施工总承包单位代发制度。分包单位应当按月考核农民工工作量并编制工资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用于支付农民工工资的银行账户所绑定的农民工本人社会保障卡或者银行卡，用人单位或者其他人员不得以任何理由扣押或者变相扣押。第三十二条 施工总承包单位应当按照有关规定存储工资保证金，专项用于支付为所承包工程提供劳动的农民工被拖欠的工资。工资保证金实行差异化存储办法，对一定时期内未发生工资拖欠的单位实行减免措施，对发生工资拖欠的单位适当提高存储比例。工资保证金可以用金融机构保函替代。工资保证金的存储比例、存储形式、减免措施等具体办法，由国务院人力资源社会保障行政部门会同有关部门制定。保证在工程实施中落实到位。</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color="000000"/>
        </w:rPr>
      </w:pPr>
      <w:r>
        <w:rPr>
          <w:rFonts w:hint="eastAsia" w:ascii="Times New Roman" w:hAnsi="Times New Roman" w:cs="Times New Roman"/>
          <w:color w:val="auto"/>
          <w:kern w:val="2"/>
          <w:highlight w:val="none"/>
          <w:u w:val="single" w:color="000000"/>
        </w:rPr>
        <w:t>（7</w:t>
      </w:r>
      <w:r>
        <w:rPr>
          <w:rFonts w:ascii="Times New Roman" w:hAnsi="Times New Roman" w:cs="Times New Roman"/>
          <w:color w:val="auto"/>
          <w:kern w:val="2"/>
          <w:highlight w:val="none"/>
          <w:u w:val="single" w:color="000000"/>
        </w:rPr>
        <w:t>）承包人应按照当地的规定，根据劳动合同约定的工资标准、支付周期和日期，支付劳动者工资，不得以工程款被拖欠、结算纠纷、垫资施工等理由克扣劳动者工资。承包人应按照发包人的要求，开立农民工支付款专户，按照发包人要求及双方签订的合同，履行农民工工资的账户管理及支付。应符合政府主管部门颁布相关文件《深圳市住房和建设局关于切实推进劳务工实名制和分账制管理工作落地的通知》深建市场〔2017〕20号、《中国人民银行深圳市中心支行关于进一步明确深圳市开立农民工工资专用存款账户有关事项的通知》深人银发〔2018〕26号、《</w:t>
      </w:r>
      <w:r>
        <w:rPr>
          <w:rFonts w:hint="eastAsia" w:ascii="Times New Roman" w:hAnsi="Times New Roman" w:cs="Times New Roman"/>
          <w:color w:val="auto"/>
          <w:kern w:val="2"/>
          <w:highlight w:val="none"/>
          <w:u w:val="single" w:color="000000"/>
        </w:rPr>
        <w:t>广东省建设工程领域工人工资支付专用账户管理办法》（人社规〔</w:t>
      </w:r>
      <w:r>
        <w:rPr>
          <w:rFonts w:ascii="Times New Roman" w:hAnsi="Times New Roman" w:cs="Times New Roman"/>
          <w:color w:val="auto"/>
          <w:kern w:val="2"/>
          <w:highlight w:val="none"/>
          <w:u w:val="single" w:color="000000"/>
        </w:rPr>
        <w:t>2018〕14号）。</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（8</w:t>
      </w:r>
      <w:r>
        <w:rPr>
          <w:rFonts w:ascii="Times New Roman" w:hAnsi="Times New Roman" w:cs="Times New Roman"/>
          <w:color w:val="auto"/>
          <w:kern w:val="2"/>
          <w:highlight w:val="none"/>
          <w:u w:val="single" w:color="000000"/>
        </w:rPr>
        <w:t>）承包人应当每月对劳动者应得的工资进行核算，并由劳动者本人签字。</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（9</w:t>
      </w:r>
      <w:r>
        <w:rPr>
          <w:rFonts w:ascii="Times New Roman" w:hAnsi="Times New Roman" w:cs="Times New Roman"/>
          <w:color w:val="auto"/>
          <w:kern w:val="2"/>
          <w:highlight w:val="none"/>
          <w:u w:val="single" w:color="000000"/>
        </w:rPr>
        <w:t>）建筑施工企业应当至少每月向劳动者支付</w:t>
      </w:r>
      <w:r>
        <w:rPr>
          <w:rFonts w:hint="eastAsia" w:ascii="Times New Roman" w:hAnsi="Times New Roman" w:cs="Times New Roman"/>
          <w:color w:val="auto"/>
          <w:kern w:val="2"/>
          <w:highlight w:val="none"/>
          <w:u w:val="single" w:color="000000"/>
        </w:rPr>
        <w:t>满额</w:t>
      </w:r>
      <w:r>
        <w:rPr>
          <w:rFonts w:ascii="Times New Roman" w:hAnsi="Times New Roman" w:cs="Times New Roman"/>
          <w:color w:val="auto"/>
          <w:kern w:val="2"/>
          <w:highlight w:val="none"/>
          <w:u w:val="single" w:color="000000"/>
        </w:rPr>
        <w:t>工资。</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（10</w:t>
      </w:r>
      <w:r>
        <w:rPr>
          <w:rFonts w:ascii="Times New Roman" w:hAnsi="Times New Roman" w:cs="Times New Roman"/>
          <w:color w:val="auto"/>
          <w:kern w:val="2"/>
          <w:highlight w:val="none"/>
          <w:u w:val="single" w:color="000000"/>
        </w:rPr>
        <w:t>）承包人应当将工资直接发放给劳动者本人，不得将工资发放给包工头或者不具备用工资格的其他组织或个人。</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（11</w:t>
      </w:r>
      <w:r>
        <w:rPr>
          <w:rFonts w:ascii="Times New Roman" w:hAnsi="Times New Roman" w:cs="Times New Roman"/>
          <w:color w:val="auto"/>
          <w:kern w:val="2"/>
          <w:highlight w:val="none"/>
          <w:u w:val="single" w:color="000000"/>
        </w:rPr>
        <w:t>）承包人应当对劳动者出勤情况进行记录，作为发放工资的依据，并按照工资支付周期编制工资支付表，不得伪造、变造、隐匿、销毁出勤记录和工资支付表。</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（12</w:t>
      </w:r>
      <w:r>
        <w:rPr>
          <w:rFonts w:ascii="Times New Roman" w:hAnsi="Times New Roman" w:cs="Times New Roman"/>
          <w:color w:val="auto"/>
          <w:kern w:val="2"/>
          <w:highlight w:val="none"/>
          <w:u w:val="single" w:color="000000"/>
        </w:rPr>
        <w:t>）承包人因暂时生产经营困难无法按劳动合同约定的日期支付工资的，应当向劳动者说明情况，并经与工会或职工代表协商一致后，可以延期支付工资，但最长不得超过30日，超过30日不支付劳动者工资的，属于无故拖欠工资行为。</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（13</w:t>
      </w:r>
      <w:r>
        <w:rPr>
          <w:rFonts w:ascii="Times New Roman" w:hAnsi="Times New Roman" w:cs="Times New Roman"/>
          <w:color w:val="auto"/>
          <w:kern w:val="2"/>
          <w:highlight w:val="none"/>
          <w:u w:val="single" w:color="000000"/>
        </w:rPr>
        <w:t>）承包人与劳动者终止或者依法解除劳动合同，应当在办理终止或解除合同手续的同时一次性付清劳动者工资。</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（14</w:t>
      </w:r>
      <w:r>
        <w:rPr>
          <w:rFonts w:ascii="Times New Roman" w:hAnsi="Times New Roman" w:cs="Times New Roman"/>
          <w:color w:val="auto"/>
          <w:kern w:val="2"/>
          <w:highlight w:val="none"/>
          <w:u w:val="single" w:color="000000"/>
        </w:rPr>
        <w:t>）承包人与劳动者之间的劳资纠纷，由承包人负责妥善解决，因承包人劳资纠纷影响本工程进度或对发包人造成其他损失</w:t>
      </w:r>
      <w:r>
        <w:rPr>
          <w:rFonts w:hint="eastAsia" w:ascii="Times New Roman" w:hAnsi="Times New Roman" w:cs="Times New Roman"/>
          <w:color w:val="auto"/>
          <w:kern w:val="2"/>
          <w:highlight w:val="none"/>
          <w:u w:val="single" w:color="000000"/>
        </w:rPr>
        <w:t>的，由承包人按照本合同约定承担违约责任并赔偿发包人的全部损失。</w:t>
      </w:r>
    </w:p>
    <w:p>
      <w:pPr>
        <w:widowControl w:val="0"/>
        <w:adjustRightInd w:val="0"/>
        <w:snapToGrid w:val="0"/>
        <w:spacing w:line="360" w:lineRule="auto"/>
        <w:ind w:firstLine="480" w:firstLineChars="200"/>
        <w:textAlignment w:val="baseline"/>
        <w:rPr>
          <w:rFonts w:ascii="Times New Roman" w:hAnsi="Times New Roman" w:cs="Times New Roman"/>
          <w:color w:val="auto"/>
          <w:kern w:val="2"/>
          <w:highlight w:val="none"/>
          <w:u w:val="single"/>
        </w:rPr>
      </w:pPr>
      <w:r>
        <w:rPr>
          <w:rFonts w:hint="eastAsia" w:ascii="Times New Roman" w:hAnsi="Times New Roman" w:cs="Times New Roman"/>
          <w:color w:val="auto"/>
          <w:kern w:val="2"/>
          <w:highlight w:val="none"/>
          <w:u w:val="single" w:color="000000"/>
        </w:rPr>
        <w:t>（15</w:t>
      </w:r>
      <w:r>
        <w:rPr>
          <w:rFonts w:ascii="Times New Roman" w:hAnsi="Times New Roman" w:cs="Times New Roman"/>
          <w:color w:val="auto"/>
          <w:kern w:val="2"/>
          <w:highlight w:val="none"/>
          <w:u w:val="single" w:color="000000"/>
        </w:rPr>
        <w:t>）</w:t>
      </w:r>
      <w:r>
        <w:rPr>
          <w:rFonts w:hint="eastAsia" w:ascii="Times New Roman" w:hAnsi="Times New Roman" w:cs="Times New Roman"/>
          <w:color w:val="auto"/>
          <w:kern w:val="2"/>
          <w:highlight w:val="none"/>
          <w:u w:val="single" w:color="000000"/>
        </w:rPr>
        <w:t>承包人</w:t>
      </w:r>
      <w:r>
        <w:rPr>
          <w:rFonts w:ascii="Times New Roman" w:hAnsi="Times New Roman" w:cs="Times New Roman"/>
          <w:color w:val="auto"/>
          <w:kern w:val="2"/>
          <w:highlight w:val="none"/>
          <w:u w:val="single" w:color="000000"/>
        </w:rPr>
        <w:t>有拖欠、克</w:t>
      </w:r>
      <w:r>
        <w:rPr>
          <w:rFonts w:hint="eastAsia" w:ascii="Times New Roman" w:hAnsi="Times New Roman" w:cs="Times New Roman"/>
          <w:color w:val="auto"/>
          <w:kern w:val="2"/>
          <w:highlight w:val="none"/>
          <w:u w:val="single" w:color="000000"/>
        </w:rPr>
        <w:t>扣工人劳动报酬行为的，发包人有权采取下列任一或全部措施，承包人并应赔偿因此而给发包人造成的一切损失：①在承包人工程款中扣除相应款项，直接支付给承包人所属工人，②解除合同。</w:t>
      </w:r>
    </w:p>
    <w:p>
      <w:pPr>
        <w:widowControl w:val="0"/>
        <w:adjustRightInd w:val="0"/>
        <w:snapToGrid w:val="0"/>
        <w:spacing w:line="360" w:lineRule="auto"/>
        <w:ind w:firstLine="480" w:firstLineChars="200"/>
        <w:jc w:val="both"/>
        <w:textAlignment w:val="baseline"/>
        <w:rPr>
          <w:rFonts w:ascii="Times New Roman" w:hAnsi="Times New Roman" w:cs="Times New Roman"/>
          <w:color w:val="auto"/>
          <w:kern w:val="2"/>
          <w:highlight w:val="none"/>
          <w:u w:val="single" w:color="000000"/>
        </w:rPr>
      </w:pPr>
      <w:r>
        <w:rPr>
          <w:rFonts w:hint="eastAsia" w:ascii="Times New Roman" w:hAnsi="Times New Roman" w:cs="Times New Roman"/>
          <w:color w:val="auto"/>
          <w:kern w:val="2"/>
          <w:highlight w:val="none"/>
          <w:u w:val="single" w:color="000000"/>
        </w:rPr>
        <w:t>（16</w:t>
      </w:r>
      <w:r>
        <w:rPr>
          <w:rFonts w:ascii="Times New Roman" w:hAnsi="Times New Roman" w:cs="Times New Roman"/>
          <w:color w:val="auto"/>
          <w:kern w:val="2"/>
          <w:highlight w:val="none"/>
          <w:u w:val="single" w:color="000000"/>
        </w:rPr>
        <w:t>）</w:t>
      </w:r>
      <w:r>
        <w:rPr>
          <w:rFonts w:hint="eastAsia" w:ascii="Times New Roman" w:hAnsi="Times New Roman" w:cs="Times New Roman"/>
          <w:color w:val="auto"/>
          <w:kern w:val="2"/>
          <w:highlight w:val="none"/>
          <w:u w:val="single" w:color="000000"/>
        </w:rPr>
        <w:t>承包人依法根据本合同将工程分包的，对分包单位向其包括农民工在内的所有工人支付工资等劳动报酬承担连带责任，凡分包单位拖欠、克扣工人劳动报酬的，由承包人负责对分包单位所属工人直接支付，所需款项在分包工程款中扣除。承包人未及时履行该连带责任的，发包人有权在承包人工程款中直接扣除相应款项，支付给分包单位所属工人。若出现拖欠、克扣工人劳动报酬信访、上访事件，经发包人查证属实，承包人应向发包人支付违约金1000元/人次。</w:t>
      </w:r>
    </w:p>
    <w:p>
      <w:pPr>
        <w:widowControl w:val="0"/>
        <w:adjustRightInd w:val="0"/>
        <w:snapToGrid w:val="0"/>
        <w:spacing w:line="360" w:lineRule="auto"/>
        <w:ind w:firstLine="480"/>
        <w:rPr>
          <w:rFonts w:cs="Times New Roman"/>
          <w:bCs/>
          <w:color w:val="auto"/>
          <w:kern w:val="2"/>
          <w:highlight w:val="none"/>
          <w:u w:val="single"/>
        </w:rPr>
      </w:pPr>
      <w:r>
        <w:rPr>
          <w:rFonts w:hint="eastAsia" w:ascii="Times New Roman" w:hAnsi="Times New Roman" w:cs="Times New Roman"/>
          <w:color w:val="auto"/>
          <w:kern w:val="2"/>
          <w:highlight w:val="none"/>
          <w:u w:val="single" w:color="000000"/>
        </w:rPr>
        <w:t>（17）竣工验收之前需付清劳动者工资。</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59" w:name="_Toc46325323"/>
      <w:bookmarkStart w:id="360" w:name="_Toc17587"/>
      <w:bookmarkStart w:id="361" w:name="_Toc1999985"/>
      <w:bookmarkStart w:id="362" w:name="_Toc1779"/>
      <w:r>
        <w:rPr>
          <w:rFonts w:hint="eastAsia" w:cs="Times New Roman"/>
          <w:b/>
          <w:bCs/>
          <w:color w:val="auto"/>
          <w:kern w:val="2"/>
          <w:szCs w:val="32"/>
          <w:highlight w:val="none"/>
        </w:rPr>
        <w:t>23.6 工程款专款专用</w:t>
      </w:r>
      <w:bookmarkEnd w:id="359"/>
      <w:bookmarkEnd w:id="360"/>
      <w:bookmarkEnd w:id="361"/>
      <w:bookmarkEnd w:id="36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发包人有权采取以下方式对对承包人的工程款使用情况进行监管：</w:t>
      </w:r>
    </w:p>
    <w:p>
      <w:pPr>
        <w:widowControl w:val="0"/>
        <w:adjustRightInd w:val="0"/>
        <w:snapToGrid w:val="0"/>
        <w:spacing w:line="360" w:lineRule="auto"/>
        <w:ind w:firstLine="480"/>
        <w:rPr>
          <w:rFonts w:cs="Times New Roman"/>
          <w:color w:val="auto"/>
          <w:kern w:val="2"/>
          <w:highlight w:val="none"/>
        </w:rPr>
      </w:pPr>
      <w:r>
        <w:rPr>
          <w:rFonts w:ascii="Wingdings 2" w:hAnsi="Wingdings 2" w:cs="Segoe UI Emoji"/>
          <w:color w:val="auto"/>
          <w:kern w:val="2"/>
          <w:sz w:val="32"/>
          <w:szCs w:val="21"/>
          <w:highlight w:val="none"/>
        </w:rPr>
        <w:sym w:font="Wingdings 2" w:char="F052"/>
      </w:r>
      <w:r>
        <w:rPr>
          <w:rFonts w:hint="eastAsia" w:cs="Times New Roman"/>
          <w:b/>
          <w:color w:val="auto"/>
          <w:kern w:val="2"/>
          <w:highlight w:val="none"/>
        </w:rPr>
        <w:t>资金共管</w:t>
      </w:r>
      <w:r>
        <w:rPr>
          <w:rFonts w:hint="eastAsia" w:cs="Times New Roman"/>
          <w:color w:val="auto"/>
          <w:kern w:val="2"/>
          <w:highlight w:val="none"/>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pPr>
        <w:widowControl w:val="0"/>
        <w:adjustRightInd w:val="0"/>
        <w:snapToGrid w:val="0"/>
        <w:spacing w:line="360" w:lineRule="auto"/>
        <w:ind w:firstLine="480" w:firstLineChars="150"/>
        <w:rPr>
          <w:rFonts w:cs="Times New Roman"/>
          <w:color w:val="auto"/>
          <w:kern w:val="2"/>
          <w:highlight w:val="none"/>
        </w:rPr>
      </w:pPr>
      <w:r>
        <w:rPr>
          <w:rFonts w:ascii="Wingdings 2" w:hAnsi="Wingdings 2" w:cs="Segoe UI Emoji"/>
          <w:color w:val="auto"/>
          <w:kern w:val="2"/>
          <w:sz w:val="32"/>
          <w:szCs w:val="21"/>
          <w:highlight w:val="none"/>
        </w:rPr>
        <w:sym w:font="Wingdings 2" w:char="F052"/>
      </w:r>
      <w:r>
        <w:rPr>
          <w:rFonts w:hint="eastAsia" w:cs="Times New Roman"/>
          <w:b/>
          <w:color w:val="auto"/>
          <w:kern w:val="2"/>
          <w:highlight w:val="none"/>
        </w:rPr>
        <w:t>暂停支付</w:t>
      </w:r>
      <w:r>
        <w:rPr>
          <w:rFonts w:hint="eastAsia" w:cs="Times New Roman"/>
          <w:color w:val="auto"/>
          <w:kern w:val="2"/>
          <w:highlight w:val="none"/>
        </w:rPr>
        <w:t>：发包人有权在下一期中支付时暂停支付与承包人挪用款额相等的工程款；</w:t>
      </w:r>
    </w:p>
    <w:p>
      <w:pPr>
        <w:widowControl w:val="0"/>
        <w:adjustRightInd w:val="0"/>
        <w:snapToGrid w:val="0"/>
        <w:spacing w:line="360" w:lineRule="auto"/>
        <w:ind w:firstLine="480"/>
        <w:rPr>
          <w:rFonts w:cs="Times New Roman"/>
          <w:color w:val="auto"/>
          <w:kern w:val="2"/>
          <w:highlight w:val="none"/>
        </w:rPr>
      </w:pPr>
      <w:r>
        <w:rPr>
          <w:rFonts w:ascii="Wingdings 2" w:hAnsi="Wingdings 2" w:cs="Segoe UI Emoji"/>
          <w:color w:val="auto"/>
          <w:kern w:val="2"/>
          <w:sz w:val="32"/>
          <w:szCs w:val="21"/>
          <w:highlight w:val="none"/>
        </w:rPr>
        <w:sym w:font="Wingdings 2" w:char="F052"/>
      </w:r>
      <w:r>
        <w:rPr>
          <w:rFonts w:hint="eastAsia" w:cs="Times New Roman"/>
          <w:b/>
          <w:color w:val="auto"/>
          <w:kern w:val="2"/>
          <w:highlight w:val="none"/>
        </w:rPr>
        <w:t>代付分包工程款和材料款</w:t>
      </w:r>
      <w:r>
        <w:rPr>
          <w:rFonts w:hint="eastAsia" w:cs="Times New Roman"/>
          <w:color w:val="auto"/>
          <w:kern w:val="2"/>
          <w:highlight w:val="none"/>
        </w:rPr>
        <w:t>：发包人有权根据承包人与分包人(含劳务分包人)、材料供应商的期中结算，在应付承包人的进度款中扣除并代为支付该期分包工程款与材料款；</w:t>
      </w:r>
    </w:p>
    <w:p>
      <w:pPr>
        <w:widowControl w:val="0"/>
        <w:adjustRightInd w:val="0"/>
        <w:snapToGrid w:val="0"/>
        <w:spacing w:line="360" w:lineRule="auto"/>
        <w:ind w:firstLine="480"/>
        <w:rPr>
          <w:rFonts w:cs="Times New Roman"/>
          <w:color w:val="auto"/>
          <w:kern w:val="2"/>
          <w:highlight w:val="none"/>
        </w:rPr>
      </w:pPr>
      <w:r>
        <w:rPr>
          <w:rFonts w:ascii="Wingdings 2" w:hAnsi="Wingdings 2" w:cs="Segoe UI Emoji"/>
          <w:color w:val="auto"/>
          <w:kern w:val="2"/>
          <w:sz w:val="32"/>
          <w:szCs w:val="21"/>
          <w:highlight w:val="none"/>
        </w:rPr>
        <w:sym w:font="Wingdings 2" w:char="F052"/>
      </w:r>
      <w:r>
        <w:rPr>
          <w:rFonts w:hint="eastAsia" w:cs="Times New Roman"/>
          <w:b/>
          <w:color w:val="auto"/>
          <w:kern w:val="2"/>
          <w:highlight w:val="none"/>
        </w:rPr>
        <w:t>代付分包工程款和材料款</w:t>
      </w:r>
      <w:r>
        <w:rPr>
          <w:rFonts w:hint="eastAsia" w:cs="Times New Roman"/>
          <w:color w:val="auto"/>
          <w:kern w:val="2"/>
          <w:highlight w:val="none"/>
        </w:rPr>
        <w:t>：发包人有权根据承包人与分包人(含劳务分包人)、材料供应商的期中结算，在应付承包人的进度款中扣除并代为支付该期分包工程款与材料款；</w:t>
      </w:r>
    </w:p>
    <w:p>
      <w:pPr>
        <w:widowControl w:val="0"/>
        <w:adjustRightInd w:val="0"/>
        <w:snapToGrid w:val="0"/>
        <w:spacing w:line="360" w:lineRule="auto"/>
        <w:ind w:firstLine="640" w:firstLineChars="200"/>
        <w:jc w:val="both"/>
        <w:rPr>
          <w:color w:val="auto"/>
          <w:kern w:val="2"/>
          <w:highlight w:val="none"/>
        </w:rPr>
      </w:pPr>
      <w:r>
        <w:rPr>
          <w:rFonts w:ascii="Wingdings 2" w:hAnsi="Wingdings 2" w:cs="Segoe UI Emoji"/>
          <w:color w:val="auto"/>
          <w:kern w:val="2"/>
          <w:sz w:val="32"/>
          <w:szCs w:val="21"/>
          <w:highlight w:val="none"/>
        </w:rPr>
        <w:sym w:font="Wingdings 2" w:char="F052"/>
      </w:r>
      <w:r>
        <w:rPr>
          <w:rFonts w:hint="eastAsia" w:cs="Times New Roman"/>
          <w:color w:val="auto"/>
          <w:kern w:val="2"/>
          <w:highlight w:val="none"/>
        </w:rPr>
        <w:t>其他：</w:t>
      </w:r>
      <w:r>
        <w:rPr>
          <w:rFonts w:hint="eastAsia"/>
          <w:color w:val="auto"/>
          <w:kern w:val="2"/>
          <w:highlight w:val="none"/>
        </w:rPr>
        <w:t>发包人要求承包人建立监管账户，工程进度款支付到以承包人名义设立的监管账户中，承包人向外支付时，需</w:t>
      </w:r>
      <w:r>
        <w:rPr>
          <w:rFonts w:hint="eastAsia" w:cs="FangSong_GB2312"/>
          <w:color w:val="auto"/>
          <w:szCs w:val="21"/>
          <w:highlight w:val="none"/>
        </w:rPr>
        <w:t>提交支付名单和《资金使用计划（预算）》给发包人审核；在发包人批准的名单和计划内，承包人提交支付指令及银行需要的相关资料（相关合同、票据等），由银行进行逐笔审批单笔支付</w:t>
      </w:r>
      <w:r>
        <w:rPr>
          <w:rFonts w:hint="eastAsia"/>
          <w:color w:val="auto"/>
          <w:kern w:val="2"/>
          <w:highlight w:val="none"/>
        </w:rPr>
        <w:t>。资金共管的范围包括但不限于工程预付款、工程进度款、安全文明措施费等。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资金监管协议书参考模板详见附件5。</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363" w:name="_Toc3238"/>
      <w:bookmarkStart w:id="364" w:name="_Toc1999986"/>
      <w:bookmarkStart w:id="365" w:name="_Toc46325324"/>
      <w:bookmarkStart w:id="366" w:name="_Toc19817"/>
      <w:r>
        <w:rPr>
          <w:rFonts w:hint="eastAsia" w:ascii="Times New Roman" w:cs="Times New Roman"/>
          <w:b/>
          <w:bCs/>
          <w:color w:val="auto"/>
          <w:kern w:val="44"/>
          <w:sz w:val="28"/>
          <w:szCs w:val="28"/>
          <w:highlight w:val="none"/>
        </w:rPr>
        <w:t>24 工程变更</w:t>
      </w:r>
      <w:bookmarkEnd w:id="363"/>
      <w:bookmarkEnd w:id="364"/>
      <w:bookmarkEnd w:id="365"/>
      <w:bookmarkEnd w:id="366"/>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本工程的工程变更(包括设计变更、现场签证等)的管理规定如下：</w:t>
      </w:r>
      <w:r>
        <w:rPr>
          <w:rFonts w:hint="eastAsia"/>
          <w:color w:val="auto"/>
          <w:highlight w:val="none"/>
          <w:u w:val="single"/>
        </w:rPr>
        <w:t>按发包人提供文件为准。</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67" w:name="_Toc22265"/>
      <w:bookmarkStart w:id="368" w:name="_Toc1999988"/>
      <w:bookmarkStart w:id="369" w:name="_Toc26566"/>
      <w:bookmarkStart w:id="370" w:name="_Toc46325326"/>
      <w:r>
        <w:rPr>
          <w:rFonts w:hint="eastAsia" w:cs="Times New Roman"/>
          <w:b/>
          <w:bCs/>
          <w:color w:val="auto"/>
          <w:kern w:val="2"/>
          <w:szCs w:val="32"/>
          <w:highlight w:val="none"/>
        </w:rPr>
        <w:t>24.6 价值工程</w:t>
      </w:r>
      <w:bookmarkEnd w:id="367"/>
      <w:bookmarkEnd w:id="368"/>
      <w:bookmarkEnd w:id="369"/>
      <w:bookmarkEnd w:id="370"/>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(3)发包人同意采用承包人合理化建议，所发生的费用和获得的收益按以下约定分担或分享：</w:t>
      </w:r>
      <w:r>
        <w:rPr>
          <w:rFonts w:hint="eastAsia" w:cs="Times New Roman"/>
          <w:color w:val="auto"/>
          <w:kern w:val="2"/>
          <w:highlight w:val="none"/>
          <w:u w:val="single"/>
        </w:rPr>
        <w:t xml:space="preserve">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371" w:name="_Toc28462"/>
      <w:bookmarkStart w:id="372" w:name="_Toc46325327"/>
      <w:bookmarkStart w:id="373" w:name="_Toc11941"/>
      <w:bookmarkStart w:id="374" w:name="_Toc1999989"/>
      <w:r>
        <w:rPr>
          <w:rFonts w:hint="eastAsia" w:ascii="Times New Roman" w:cs="Times New Roman"/>
          <w:b/>
          <w:bCs/>
          <w:color w:val="auto"/>
          <w:kern w:val="44"/>
          <w:sz w:val="28"/>
          <w:szCs w:val="28"/>
          <w:highlight w:val="none"/>
        </w:rPr>
        <w:t>25 工程变更价款</w:t>
      </w:r>
      <w:bookmarkEnd w:id="371"/>
      <w:bookmarkEnd w:id="372"/>
      <w:bookmarkEnd w:id="373"/>
      <w:bookmarkEnd w:id="37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75" w:name="_Toc46325328"/>
      <w:bookmarkStart w:id="376" w:name="_Toc13906"/>
      <w:bookmarkStart w:id="377" w:name="_Toc1999990"/>
      <w:bookmarkStart w:id="378" w:name="_Toc27707"/>
      <w:r>
        <w:rPr>
          <w:rFonts w:hint="eastAsia" w:cs="Times New Roman"/>
          <w:b/>
          <w:bCs/>
          <w:color w:val="auto"/>
          <w:kern w:val="2"/>
          <w:szCs w:val="32"/>
          <w:highlight w:val="none"/>
        </w:rPr>
        <w:t>25.1 工程变更价款的确定方法</w:t>
      </w:r>
      <w:bookmarkEnd w:id="375"/>
      <w:bookmarkEnd w:id="376"/>
      <w:bookmarkEnd w:id="377"/>
      <w:bookmarkEnd w:id="378"/>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(2)合同价格构成中的工程量清单项目单价中只有类似于变更工程的项目单价，可以参照类似项目单价确定变更价款。类似项目的定义为：</w:t>
      </w:r>
      <w:r>
        <w:rPr>
          <w:rFonts w:hint="eastAsia" w:cs="Times New Roman"/>
          <w:color w:val="auto"/>
          <w:highlight w:val="none"/>
          <w:u w:val="single"/>
        </w:rPr>
        <w:t>采用的材料、施工工艺和方法基本相似，不增加关键线路上工程的施工时间的项目。</w:t>
      </w:r>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(3)合同价格构成中的工程量清单项目单价中没有适用或类似于变更工程的项目单价时变更价款的确定方法：</w:t>
      </w:r>
      <w:r>
        <w:rPr>
          <w:rFonts w:hint="eastAsia" w:cs="Times New Roman"/>
          <w:color w:val="auto"/>
          <w:kern w:val="2"/>
          <w:highlight w:val="none"/>
          <w:u w:val="single"/>
        </w:rPr>
        <w:t>详见补充条款</w:t>
      </w:r>
      <w:r>
        <w:rPr>
          <w:rFonts w:cs="Times New Roman"/>
          <w:color w:val="auto"/>
          <w:kern w:val="2"/>
          <w:highlight w:val="none"/>
          <w:u w:val="single"/>
        </w:rPr>
        <w:t>约定。</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(4)工程量清单中项目工程量增减幅度：</w:t>
      </w:r>
      <w:r>
        <w:rPr>
          <w:rFonts w:hint="eastAsia" w:cs="Times New Roman"/>
          <w:color w:val="auto"/>
          <w:kern w:val="2"/>
          <w:highlight w:val="none"/>
          <w:u w:val="single"/>
        </w:rPr>
        <w:t>合同单价为固定综合单价，不因工程量变化而改变（本合同约定的不平衡报价除外）。</w:t>
      </w:r>
    </w:p>
    <w:p>
      <w:pPr>
        <w:widowControl w:val="0"/>
        <w:tabs>
          <w:tab w:val="left" w:pos="540"/>
          <w:tab w:val="left" w:pos="900"/>
          <w:tab w:val="left" w:pos="2340"/>
          <w:tab w:val="left" w:pos="4032"/>
        </w:tabs>
        <w:adjustRightInd w:val="0"/>
        <w:snapToGrid w:val="0"/>
        <w:spacing w:line="360" w:lineRule="auto"/>
        <w:ind w:left="359"/>
        <w:outlineLvl w:val="2"/>
        <w:rPr>
          <w:b/>
          <w:color w:val="auto"/>
          <w:kern w:val="2"/>
          <w:highlight w:val="none"/>
        </w:rPr>
      </w:pPr>
      <w:bookmarkStart w:id="379" w:name="_Toc691"/>
      <w:bookmarkStart w:id="380" w:name="_Toc1999991"/>
      <w:bookmarkStart w:id="381" w:name="_Toc46325329"/>
      <w:r>
        <w:rPr>
          <w:rFonts w:hint="eastAsia"/>
          <w:b/>
          <w:color w:val="auto"/>
          <w:kern w:val="2"/>
          <w:highlight w:val="none"/>
        </w:rPr>
        <w:t>25.2 工程变更引起措施项目的调整</w:t>
      </w:r>
      <w:bookmarkEnd w:id="379"/>
    </w:p>
    <w:bookmarkEnd w:id="380"/>
    <w:bookmarkEnd w:id="381"/>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rPr>
        <w:t>(3)工程变更引起措施项目费调整的，其调整方法为：</w:t>
      </w:r>
      <w:r>
        <w:rPr>
          <w:rFonts w:hint="eastAsia" w:cs="Times New Roman"/>
          <w:color w:val="auto"/>
          <w:kern w:val="2"/>
          <w:highlight w:val="none"/>
          <w:u w:val="single"/>
        </w:rPr>
        <w:t>详见补充条款</w:t>
      </w:r>
      <w:r>
        <w:rPr>
          <w:rFonts w:cs="Times New Roman"/>
          <w:color w:val="auto"/>
          <w:kern w:val="2"/>
          <w:highlight w:val="none"/>
          <w:u w:val="single"/>
        </w:rPr>
        <w:t>约定。</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82" w:name="_Toc4541"/>
      <w:bookmarkStart w:id="383" w:name="_Toc16539"/>
      <w:bookmarkStart w:id="384" w:name="_Toc46325330"/>
      <w:bookmarkStart w:id="385" w:name="_Toc1999992"/>
      <w:r>
        <w:rPr>
          <w:rFonts w:hint="eastAsia" w:cs="Times New Roman"/>
          <w:b/>
          <w:bCs/>
          <w:color w:val="auto"/>
          <w:kern w:val="2"/>
          <w:szCs w:val="32"/>
          <w:highlight w:val="none"/>
        </w:rPr>
        <w:t>25.3 工程变更价款的确定程序</w:t>
      </w:r>
      <w:bookmarkEnd w:id="382"/>
      <w:bookmarkEnd w:id="383"/>
      <w:bookmarkEnd w:id="384"/>
      <w:bookmarkEnd w:id="385"/>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本工程的工程变更价款按以下程序进行确定：</w:t>
      </w:r>
      <w:r>
        <w:rPr>
          <w:rFonts w:hint="eastAsia" w:cs="Times New Roman"/>
          <w:color w:val="auto"/>
          <w:kern w:val="2"/>
          <w:highlight w:val="none"/>
          <w:u w:val="single"/>
        </w:rPr>
        <w:t>(1)承包人在收到工程变更指令后14日内，提出变更工程价款的报告（并附变更预算明细资料，包括完整的变更工程量计算书及综合单价分析详表，）提交监理人，监理人审核并签署明确意见后转呈发包人。发包人组织造价咨询单位根据合同条款约定审核确定变更工程费用；承包人在收到工程变更指令后14日内不向监理人提出变更工程价款报告时，当工程变更涉及增加工程造价的，视为该项变更不涉及合同价款的变更；当工程变更涉及减少工程造价时，若承包人在收到工程变更指令后14日内不向监理人提出变更工程价款报告，视为其认可监理人随后自行确认的工程价款变化。</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 xml:space="preserve">(2)承包人在收到工程变更指令后不按照合同约定的时间向监理人提出报告的，视为该变更不涉及工程价款增加，合同价款不予调整，且不涉及顺延工期，工期不予调整。有可能调减的项目，则视为承包人无条件接受发包人的调减结果。对此，承包人不得拒绝对工程变更指令所涉及变更工程内容的施工。 </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(3)承包人应提交详细费用预算报告及相关的图纸等资料，以供发包人和发包人委托的造价咨询单位进行审核。若双方就费用审核不能达成一致，则发包人有权在同等价格水平下将该变更给第三方进行施工，并向承包人收取第三方委托价格15%的管理费用。承包人不得以此为由进行费用及/或工期索赔。</w:t>
      </w:r>
    </w:p>
    <w:p>
      <w:pPr>
        <w:widowControl w:val="0"/>
        <w:adjustRightInd w:val="0"/>
        <w:snapToGrid w:val="0"/>
        <w:spacing w:line="360" w:lineRule="auto"/>
        <w:ind w:firstLine="480"/>
        <w:rPr>
          <w:rFonts w:cs="Times New Roman"/>
          <w:bCs/>
          <w:color w:val="auto"/>
          <w:kern w:val="2"/>
          <w:highlight w:val="none"/>
          <w:u w:val="single"/>
        </w:rPr>
      </w:pPr>
      <w:r>
        <w:rPr>
          <w:rFonts w:hint="eastAsia" w:cs="Times New Roman"/>
          <w:color w:val="auto"/>
          <w:kern w:val="2"/>
          <w:highlight w:val="none"/>
          <w:u w:val="single"/>
        </w:rPr>
        <w:t>(4)作为有经验的承包人，根据施工进度计划的情况下提前（需提前合理的时间以保证发包人、监理人有充分的时间进行审查）提出相关变更洽商，给发包人、设计人、监理人充分时间审批工程变更及预算等，否则，引起工程停工、工期延误等损失由承包人承担。</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86" w:name="_Toc1999993"/>
      <w:bookmarkStart w:id="387" w:name="_Toc46325331"/>
      <w:bookmarkStart w:id="388" w:name="_Toc21031"/>
      <w:bookmarkStart w:id="389" w:name="_Toc19268"/>
      <w:r>
        <w:rPr>
          <w:rFonts w:hint="eastAsia" w:cs="Times New Roman"/>
          <w:b/>
          <w:bCs/>
          <w:color w:val="auto"/>
          <w:kern w:val="2"/>
          <w:szCs w:val="32"/>
          <w:highlight w:val="none"/>
        </w:rPr>
        <w:t>25.4 工程量变化调整项目单价</w:t>
      </w:r>
      <w:bookmarkEnd w:id="386"/>
      <w:bookmarkEnd w:id="387"/>
      <w:bookmarkEnd w:id="388"/>
      <w:bookmarkEnd w:id="389"/>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工程量清单中项目工程量增减幅度：</w:t>
      </w:r>
      <w:r>
        <w:rPr>
          <w:rFonts w:hint="eastAsia" w:cs="Times New Roman"/>
          <w:color w:val="auto"/>
          <w:kern w:val="2"/>
          <w:highlight w:val="none"/>
          <w:u w:val="single"/>
        </w:rPr>
        <w:t>详见补充条款约定。</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清单项目增加部分工程量或减少后剩余部分工程量的项目单价确定方法：</w:t>
      </w:r>
      <w:r>
        <w:rPr>
          <w:rFonts w:hint="eastAsia" w:cs="Times New Roman"/>
          <w:color w:val="auto"/>
          <w:kern w:val="2"/>
          <w:highlight w:val="none"/>
          <w:u w:val="single"/>
        </w:rPr>
        <w:t>详见补充条款约定。</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90" w:name="_Toc1999994"/>
      <w:bookmarkStart w:id="391" w:name="_Toc10589"/>
      <w:bookmarkStart w:id="392" w:name="_Toc46325332"/>
      <w:bookmarkStart w:id="393" w:name="_Toc18012"/>
      <w:r>
        <w:rPr>
          <w:rFonts w:hint="eastAsia" w:cs="Times New Roman"/>
          <w:b/>
          <w:bCs/>
          <w:color w:val="auto"/>
          <w:kern w:val="2"/>
          <w:szCs w:val="32"/>
          <w:highlight w:val="none"/>
        </w:rPr>
        <w:t>25.5 工程变更价款支付</w:t>
      </w:r>
      <w:bookmarkEnd w:id="390"/>
      <w:bookmarkEnd w:id="391"/>
      <w:bookmarkEnd w:id="392"/>
      <w:bookmarkEnd w:id="393"/>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 xml:space="preserve">(1) </w:t>
      </w:r>
      <w:r>
        <w:rPr>
          <w:rFonts w:hint="eastAsia" w:cs="Times New Roman"/>
          <w:color w:val="auto"/>
          <w:kern w:val="2"/>
          <w:highlight w:val="none"/>
          <w:u w:val="single"/>
        </w:rPr>
        <w:t>详见补充条款约定。</w:t>
      </w:r>
      <w:bookmarkStart w:id="394" w:name="_Toc1999995"/>
      <w:bookmarkStart w:id="395" w:name="_Toc46325333"/>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396" w:name="_Toc26894"/>
      <w:bookmarkStart w:id="397" w:name="_Toc11405"/>
      <w:r>
        <w:rPr>
          <w:rFonts w:hint="eastAsia" w:cs="Times New Roman"/>
          <w:b/>
          <w:bCs/>
          <w:color w:val="auto"/>
          <w:kern w:val="2"/>
          <w:szCs w:val="32"/>
          <w:highlight w:val="none"/>
        </w:rPr>
        <w:t>25.6 删减工作或工程的补偿</w:t>
      </w:r>
      <w:bookmarkEnd w:id="394"/>
      <w:bookmarkEnd w:id="395"/>
      <w:bookmarkEnd w:id="396"/>
      <w:bookmarkEnd w:id="397"/>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color w:val="auto"/>
          <w:highlight w:val="none"/>
          <w:u w:val="single"/>
        </w:rPr>
        <w:t>承包人投标时已考虑此风险，发包人不予任何补偿或赔偿。</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398" w:name="_Toc1999996"/>
      <w:bookmarkStart w:id="399" w:name="_Toc28142"/>
      <w:bookmarkStart w:id="400" w:name="_Toc14718"/>
      <w:bookmarkStart w:id="401" w:name="_Toc46325334"/>
      <w:r>
        <w:rPr>
          <w:rFonts w:hint="eastAsia" w:ascii="Times New Roman" w:cs="Times New Roman"/>
          <w:b/>
          <w:bCs/>
          <w:color w:val="auto"/>
          <w:kern w:val="44"/>
          <w:sz w:val="28"/>
          <w:szCs w:val="28"/>
          <w:highlight w:val="none"/>
        </w:rPr>
        <w:t>26 竣工验收</w:t>
      </w:r>
      <w:bookmarkEnd w:id="398"/>
      <w:bookmarkEnd w:id="399"/>
      <w:bookmarkEnd w:id="400"/>
      <w:bookmarkEnd w:id="401"/>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02" w:name="_Toc1999997"/>
      <w:bookmarkStart w:id="403" w:name="_Toc6051"/>
      <w:bookmarkStart w:id="404" w:name="_Toc16970"/>
      <w:bookmarkStart w:id="405" w:name="_Toc46325335"/>
      <w:r>
        <w:rPr>
          <w:rFonts w:hint="eastAsia" w:cs="Times New Roman"/>
          <w:b/>
          <w:bCs/>
          <w:color w:val="auto"/>
          <w:kern w:val="2"/>
          <w:szCs w:val="32"/>
          <w:highlight w:val="none"/>
        </w:rPr>
        <w:t>26.1 竣工验收</w:t>
      </w:r>
      <w:bookmarkEnd w:id="402"/>
      <w:bookmarkEnd w:id="403"/>
      <w:bookmarkEnd w:id="404"/>
      <w:bookmarkEnd w:id="405"/>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(2)承包人提供竣工资料的约定：</w:t>
      </w:r>
      <w:r>
        <w:rPr>
          <w:rFonts w:hint="eastAsia" w:cs="Times New Roman"/>
          <w:color w:val="auto"/>
          <w:highlight w:val="none"/>
          <w:u w:val="single"/>
        </w:rPr>
        <w:t>工程具备竣工验收条件，承包人应按国家、深圳市工程验收有关规定，应在工程竣工验收前14天内，向发包人提供完整的工程竣工资料（包括竣工图纸）及竣工验收报告；工程验收合格后三个月内，承包人按深圳市城建档案馆有关竣工图及综合资料编制规定要求向发包人提交完整工程竣工资料（包括竣工图纸、声像资料、影像资料）、竣工验收报告（原件）和光盘4套，并移交档案馆，上述所含费用由承包人承担；如承包人提供的竣工资料不完整的，发包人有权不予办理工程竣工手续，工期不予顺延，由此导致的工期延误责任由承包人承担。</w:t>
      </w:r>
    </w:p>
    <w:p>
      <w:pPr>
        <w:widowControl w:val="0"/>
        <w:adjustRightInd w:val="0"/>
        <w:snapToGrid w:val="0"/>
        <w:spacing w:line="360" w:lineRule="auto"/>
        <w:ind w:firstLine="360" w:firstLineChars="150"/>
        <w:rPr>
          <w:rFonts w:cs="Times New Roman"/>
          <w:color w:val="auto"/>
          <w:highlight w:val="none"/>
          <w:u w:val="single"/>
        </w:rPr>
      </w:pPr>
      <w:r>
        <w:rPr>
          <w:rFonts w:hint="eastAsia" w:cs="Times New Roman"/>
          <w:color w:val="auto"/>
          <w:kern w:val="2"/>
          <w:highlight w:val="none"/>
        </w:rPr>
        <w:t>(7)本工程中须单独进行竣工验收的单项工程为：</w:t>
      </w:r>
      <w:r>
        <w:rPr>
          <w:rFonts w:hint="eastAsia" w:cs="Times New Roman"/>
          <w:color w:val="auto"/>
          <w:kern w:val="2"/>
          <w:highlight w:val="none"/>
          <w:u w:val="single"/>
        </w:rPr>
        <w:t>按相关部门规定进行；无相关规定的，由发包人组织验收。</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06" w:name="_Toc46325336"/>
      <w:bookmarkStart w:id="407" w:name="_Toc9459"/>
      <w:bookmarkStart w:id="408" w:name="_Toc3706"/>
      <w:bookmarkStart w:id="409" w:name="_Toc1999998"/>
      <w:r>
        <w:rPr>
          <w:rFonts w:hint="eastAsia" w:cs="Times New Roman"/>
          <w:b/>
          <w:bCs/>
          <w:color w:val="auto"/>
          <w:kern w:val="2"/>
          <w:szCs w:val="32"/>
          <w:highlight w:val="none"/>
        </w:rPr>
        <w:t>26.2 竣工验收合格后的移交和清理</w:t>
      </w:r>
      <w:bookmarkEnd w:id="406"/>
      <w:bookmarkEnd w:id="407"/>
      <w:bookmarkEnd w:id="408"/>
      <w:bookmarkEnd w:id="409"/>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(1)承包人不按时向发包人移交本工程的，每延迟一天，承包人向发包人支付违约金</w:t>
      </w:r>
      <w:r>
        <w:rPr>
          <w:rFonts w:hint="eastAsia" w:cs="Times New Roman"/>
          <w:color w:val="auto"/>
          <w:kern w:val="2"/>
          <w:highlight w:val="none"/>
          <w:u w:val="single"/>
        </w:rPr>
        <w:t>详见补充条款及附件</w:t>
      </w:r>
      <w:r>
        <w:rPr>
          <w:rFonts w:cs="Times New Roman"/>
          <w:color w:val="auto"/>
          <w:kern w:val="2"/>
          <w:highlight w:val="none"/>
          <w:u w:val="single"/>
        </w:rPr>
        <w:t>1</w:t>
      </w:r>
      <w:r>
        <w:rPr>
          <w:rFonts w:hint="eastAsia" w:cs="Times New Roman"/>
          <w:color w:val="auto"/>
          <w:kern w:val="2"/>
          <w:highlight w:val="none"/>
          <w:u w:val="single"/>
        </w:rPr>
        <w:t>。</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(3)发包人无正当理由不接收工程的，发包人应承担以下违约责任：</w:t>
      </w:r>
      <w:r>
        <w:rPr>
          <w:rFonts w:hint="eastAsia" w:cs="Times New Roman"/>
          <w:color w:val="auto"/>
          <w:kern w:val="2"/>
          <w:highlight w:val="none"/>
          <w:u w:val="single"/>
        </w:rPr>
        <w:t xml:space="preserve"> / 。</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10" w:name="_Toc1999999"/>
      <w:bookmarkStart w:id="411" w:name="_Toc874"/>
      <w:bookmarkStart w:id="412" w:name="_Toc21984"/>
      <w:bookmarkStart w:id="413" w:name="_Toc46325337"/>
      <w:r>
        <w:rPr>
          <w:rFonts w:hint="eastAsia" w:cs="Times New Roman"/>
          <w:b/>
          <w:bCs/>
          <w:color w:val="auto"/>
          <w:kern w:val="2"/>
          <w:szCs w:val="32"/>
          <w:highlight w:val="none"/>
        </w:rPr>
        <w:t>26.3 竣工验收质量不合格和重新验收</w:t>
      </w:r>
      <w:bookmarkEnd w:id="410"/>
      <w:bookmarkEnd w:id="411"/>
      <w:bookmarkEnd w:id="412"/>
      <w:bookmarkEnd w:id="413"/>
    </w:p>
    <w:p>
      <w:pPr>
        <w:widowControl w:val="0"/>
        <w:adjustRightInd w:val="0"/>
        <w:snapToGrid w:val="0"/>
        <w:spacing w:line="360" w:lineRule="auto"/>
        <w:ind w:firstLine="480" w:firstLineChars="200"/>
        <w:rPr>
          <w:rFonts w:cs="Times New Roman"/>
          <w:color w:val="auto"/>
          <w:highlight w:val="none"/>
          <w:u w:val="single"/>
        </w:rPr>
      </w:pPr>
      <w:r>
        <w:rPr>
          <w:rFonts w:hint="eastAsia" w:cs="Times New Roman"/>
          <w:color w:val="auto"/>
          <w:kern w:val="2"/>
          <w:highlight w:val="none"/>
        </w:rPr>
        <w:t>(1)如本工程竣工验收质量未达到本合同约定的标准，承包人应承担以下违约责任：</w:t>
      </w:r>
      <w:r>
        <w:rPr>
          <w:rFonts w:hint="eastAsia"/>
          <w:color w:val="auto"/>
          <w:kern w:val="2"/>
          <w:highlight w:val="none"/>
          <w:u w:val="single"/>
        </w:rPr>
        <w:t>详见补充条款及附件</w:t>
      </w:r>
      <w:r>
        <w:rPr>
          <w:color w:val="auto"/>
          <w:kern w:val="2"/>
          <w:highlight w:val="none"/>
          <w:u w:val="single"/>
        </w:rPr>
        <w:t>1</w:t>
      </w:r>
      <w:r>
        <w:rPr>
          <w:rFonts w:hint="eastAsia" w:cs="Times New Roman"/>
          <w:color w:val="auto"/>
          <w:kern w:val="2"/>
          <w:highlight w:val="none"/>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14" w:name="_Toc2000000"/>
      <w:bookmarkStart w:id="415" w:name="_Toc9153"/>
      <w:bookmarkStart w:id="416" w:name="_Toc46325338"/>
      <w:bookmarkStart w:id="417" w:name="_Toc7362"/>
      <w:r>
        <w:rPr>
          <w:rFonts w:hint="eastAsia" w:cs="Times New Roman"/>
          <w:b/>
          <w:bCs/>
          <w:color w:val="auto"/>
          <w:kern w:val="2"/>
          <w:szCs w:val="32"/>
          <w:highlight w:val="none"/>
        </w:rPr>
        <w:t>26.6 竣工验收工程质量争议处理</w:t>
      </w:r>
      <w:bookmarkEnd w:id="414"/>
      <w:bookmarkEnd w:id="415"/>
      <w:bookmarkEnd w:id="416"/>
      <w:bookmarkEnd w:id="417"/>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发包人与承包人对竣工验收工程质量有争议时共同委托的质量检测鉴定机构为：</w:t>
      </w:r>
      <w:bookmarkStart w:id="418" w:name="_Toc46325339"/>
      <w:bookmarkStart w:id="419" w:name="_Toc2000001"/>
      <w:r>
        <w:rPr>
          <w:rFonts w:hint="eastAsia" w:cs="Times New Roman"/>
          <w:color w:val="auto"/>
          <w:highlight w:val="none"/>
          <w:u w:val="single"/>
        </w:rPr>
        <w:t>深圳市建设工程质量检测中心</w:t>
      </w:r>
      <w:bookmarkEnd w:id="418"/>
      <w:r>
        <w:rPr>
          <w:rFonts w:hint="eastAsia" w:cs="Times New Roman"/>
          <w:color w:val="auto"/>
          <w:highlight w:val="none"/>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20" w:name="_Toc46325340"/>
      <w:bookmarkStart w:id="421" w:name="_Toc25275"/>
      <w:bookmarkStart w:id="422" w:name="_Toc19978"/>
      <w:r>
        <w:rPr>
          <w:rFonts w:hint="eastAsia" w:cs="Times New Roman"/>
          <w:b/>
          <w:bCs/>
          <w:color w:val="auto"/>
          <w:kern w:val="2"/>
          <w:szCs w:val="32"/>
          <w:highlight w:val="none"/>
        </w:rPr>
        <w:t>26.7 履约评价与优质优价</w:t>
      </w:r>
      <w:bookmarkEnd w:id="419"/>
      <w:bookmarkEnd w:id="420"/>
      <w:bookmarkEnd w:id="421"/>
      <w:bookmarkEnd w:id="422"/>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(1)发包人对承包人的履约评价约定(可另附页)：</w:t>
      </w:r>
      <w:r>
        <w:rPr>
          <w:rFonts w:hint="eastAsia" w:cs="Times New Roman"/>
          <w:bCs/>
          <w:color w:val="auto"/>
          <w:kern w:val="2"/>
          <w:highlight w:val="none"/>
          <w:u w:val="single"/>
        </w:rPr>
        <w:t>详见补充条款及附件3。</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(2)履约评价奖励：发包人负责组织相关单位对承包人进行履约评价，对履约评价为良好及以上等级的，发包人应给予承包人本工程签约合同价的</w:t>
      </w:r>
      <w:r>
        <w:rPr>
          <w:rFonts w:hint="eastAsia" w:cs="Times New Roman"/>
          <w:color w:val="auto"/>
          <w:kern w:val="2"/>
          <w:highlight w:val="none"/>
          <w:u w:val="single"/>
        </w:rPr>
        <w:t>/</w:t>
      </w:r>
      <w:r>
        <w:rPr>
          <w:rFonts w:hint="eastAsia" w:cs="Times New Roman"/>
          <w:color w:val="auto"/>
          <w:kern w:val="2"/>
          <w:highlight w:val="none"/>
        </w:rPr>
        <w:t>%作为奖励。</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工程创优奖励：对履约评价为良好及以上等级，且取得市级工程质量奖项的，发包人应在履约评价奖励基础上给予承包人追加本工程签约合同价的</w:t>
      </w:r>
      <w:r>
        <w:rPr>
          <w:rFonts w:hint="eastAsia" w:cs="Times New Roman"/>
          <w:color w:val="auto"/>
          <w:kern w:val="2"/>
          <w:highlight w:val="none"/>
          <w:u w:val="single"/>
        </w:rPr>
        <w:t xml:space="preserve"> / </w:t>
      </w:r>
      <w:r>
        <w:rPr>
          <w:rFonts w:hint="eastAsia" w:cs="Times New Roman"/>
          <w:color w:val="auto"/>
          <w:kern w:val="2"/>
          <w:highlight w:val="none"/>
        </w:rPr>
        <w:t xml:space="preserve">%作为奖励。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423" w:name="_Toc20693"/>
      <w:bookmarkStart w:id="424" w:name="_Toc46325341"/>
      <w:bookmarkStart w:id="425" w:name="_Toc2000002"/>
      <w:bookmarkStart w:id="426" w:name="_Toc3135"/>
      <w:r>
        <w:rPr>
          <w:rFonts w:hint="eastAsia" w:ascii="Times New Roman" w:cs="Times New Roman"/>
          <w:b/>
          <w:bCs/>
          <w:color w:val="auto"/>
          <w:kern w:val="44"/>
          <w:sz w:val="28"/>
          <w:szCs w:val="28"/>
          <w:highlight w:val="none"/>
        </w:rPr>
        <w:t>27 竣工结算</w:t>
      </w:r>
      <w:bookmarkEnd w:id="423"/>
      <w:bookmarkEnd w:id="424"/>
      <w:bookmarkEnd w:id="425"/>
      <w:bookmarkEnd w:id="426"/>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27" w:name="_Toc18696"/>
      <w:bookmarkStart w:id="428" w:name="_Toc19262"/>
      <w:bookmarkStart w:id="429" w:name="_Toc46325342"/>
      <w:bookmarkStart w:id="430" w:name="_Toc2000003"/>
      <w:r>
        <w:rPr>
          <w:rFonts w:hint="eastAsia" w:cs="Times New Roman"/>
          <w:b/>
          <w:bCs/>
          <w:color w:val="auto"/>
          <w:kern w:val="2"/>
          <w:szCs w:val="32"/>
          <w:highlight w:val="none"/>
        </w:rPr>
        <w:t>27.1 竣工结算书的编制和提交</w:t>
      </w:r>
      <w:bookmarkEnd w:id="427"/>
      <w:bookmarkEnd w:id="428"/>
      <w:bookmarkEnd w:id="429"/>
      <w:bookmarkEnd w:id="430"/>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(2)承包人向发包人提交竣工结算书及完整的结算资料的时间要求为本工程竣工验收合格后</w:t>
      </w:r>
      <w:r>
        <w:rPr>
          <w:rFonts w:cs="Times New Roman"/>
          <w:color w:val="auto"/>
          <w:highlight w:val="none"/>
          <w:u w:val="single"/>
        </w:rPr>
        <w:t>3</w:t>
      </w:r>
      <w:r>
        <w:rPr>
          <w:rFonts w:hint="eastAsia" w:cs="Times New Roman"/>
          <w:color w:val="auto"/>
          <w:highlight w:val="none"/>
          <w:u w:val="single"/>
        </w:rPr>
        <w:t>0</w:t>
      </w:r>
      <w:r>
        <w:rPr>
          <w:rFonts w:hint="eastAsia" w:cs="Times New Roman"/>
          <w:color w:val="auto"/>
          <w:kern w:val="2"/>
          <w:highlight w:val="none"/>
        </w:rPr>
        <w:t>天内。</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31" w:name="_Toc46325343"/>
      <w:bookmarkStart w:id="432" w:name="_Toc2000004"/>
      <w:bookmarkStart w:id="433" w:name="_Toc16278"/>
      <w:bookmarkStart w:id="434" w:name="_Toc24734"/>
      <w:r>
        <w:rPr>
          <w:rFonts w:hint="eastAsia" w:cs="Times New Roman"/>
          <w:b/>
          <w:bCs/>
          <w:color w:val="auto"/>
          <w:kern w:val="2"/>
          <w:szCs w:val="32"/>
          <w:highlight w:val="none"/>
        </w:rPr>
        <w:t>27.2 竣工结算书的核对和修改</w:t>
      </w:r>
      <w:bookmarkEnd w:id="431"/>
      <w:bookmarkEnd w:id="432"/>
      <w:bookmarkEnd w:id="433"/>
      <w:bookmarkEnd w:id="434"/>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r>
        <w:rPr>
          <w:rFonts w:cs="Times New Roman"/>
          <w:color w:val="auto"/>
          <w:kern w:val="2"/>
          <w:highlight w:val="none"/>
        </w:rPr>
        <w:t>1</w:t>
      </w:r>
      <w:r>
        <w:rPr>
          <w:rFonts w:hint="eastAsia" w:cs="Times New Roman"/>
          <w:color w:val="auto"/>
          <w:kern w:val="2"/>
          <w:highlight w:val="none"/>
        </w:rPr>
        <w:t>)承包人提交修改竣工结算书或补充结算资料的期限为发包人提出核对意见或补充结算资料要求后</w:t>
      </w:r>
      <w:r>
        <w:rPr>
          <w:rFonts w:hint="eastAsia" w:cs="Times New Roman"/>
          <w:color w:val="auto"/>
          <w:kern w:val="2"/>
          <w:highlight w:val="none"/>
          <w:u w:val="single"/>
        </w:rPr>
        <w:t>7</w:t>
      </w:r>
      <w:r>
        <w:rPr>
          <w:rFonts w:hint="eastAsia" w:cs="Times New Roman"/>
          <w:color w:val="auto"/>
          <w:kern w:val="2"/>
          <w:highlight w:val="none"/>
        </w:rPr>
        <w:t>天。</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w:t>
      </w:r>
      <w:r>
        <w:rPr>
          <w:rFonts w:cs="Times New Roman"/>
          <w:color w:val="auto"/>
          <w:kern w:val="2"/>
          <w:highlight w:val="none"/>
        </w:rPr>
        <w:t>2</w:t>
      </w:r>
      <w:r>
        <w:rPr>
          <w:rFonts w:hint="eastAsia" w:cs="Times New Roman"/>
          <w:color w:val="auto"/>
          <w:kern w:val="2"/>
          <w:highlight w:val="none"/>
        </w:rPr>
        <w:t>)对发包人提出的核对意见承包人应提出异议的期限为</w:t>
      </w:r>
      <w:r>
        <w:rPr>
          <w:rFonts w:cs="Times New Roman"/>
          <w:color w:val="auto"/>
          <w:kern w:val="2"/>
          <w:highlight w:val="none"/>
          <w:u w:val="single"/>
        </w:rPr>
        <w:t>7</w:t>
      </w:r>
      <w:r>
        <w:rPr>
          <w:rFonts w:hint="eastAsia" w:cs="Times New Roman"/>
          <w:color w:val="auto"/>
          <w:kern w:val="2"/>
          <w:highlight w:val="none"/>
        </w:rPr>
        <w:t>天。</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35" w:name="_Toc46325344"/>
      <w:bookmarkStart w:id="436" w:name="_Toc575"/>
      <w:bookmarkStart w:id="437" w:name="_Toc13320"/>
      <w:bookmarkStart w:id="438" w:name="_Toc2000005"/>
      <w:r>
        <w:rPr>
          <w:rFonts w:hint="eastAsia" w:cs="Times New Roman"/>
          <w:b/>
          <w:bCs/>
          <w:color w:val="auto"/>
          <w:kern w:val="2"/>
          <w:szCs w:val="32"/>
          <w:highlight w:val="none"/>
        </w:rPr>
        <w:t>27.3 竣工结算书核对次数</w:t>
      </w:r>
      <w:bookmarkEnd w:id="435"/>
      <w:bookmarkEnd w:id="436"/>
      <w:bookmarkEnd w:id="437"/>
      <w:bookmarkEnd w:id="438"/>
    </w:p>
    <w:p>
      <w:pPr>
        <w:widowControl w:val="0"/>
        <w:adjustRightInd w:val="0"/>
        <w:snapToGrid w:val="0"/>
        <w:spacing w:line="360" w:lineRule="auto"/>
        <w:ind w:firstLine="480"/>
        <w:rPr>
          <w:rFonts w:cs="Times New Roman"/>
          <w:color w:val="auto"/>
          <w:kern w:val="2"/>
          <w:highlight w:val="none"/>
        </w:rPr>
      </w:pPr>
      <w:r>
        <w:rPr>
          <w:rFonts w:hint="eastAsia" w:cs="Times New Roman"/>
          <w:bCs/>
          <w:color w:val="auto"/>
          <w:kern w:val="2"/>
          <w:highlight w:val="none"/>
          <w:u w:val="single"/>
        </w:rPr>
        <w:t>竣工结算核对人为发包人委托的造价咨询机构，结算复审核对人为发包人委托的造价咨询复审机构。发包人审核结算过程中，要求承包人整改重新报审的，审核时间自重新送审之日起重新计算，因承包人配合发包人审核工作不及时造成延误的，延误时间不计入审核时间。</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39" w:name="_Toc11681"/>
      <w:bookmarkStart w:id="440" w:name="_Toc2000006"/>
      <w:bookmarkStart w:id="441" w:name="_Toc46325345"/>
      <w:bookmarkStart w:id="442" w:name="_Toc11693"/>
      <w:r>
        <w:rPr>
          <w:rFonts w:hint="eastAsia" w:cs="Times New Roman"/>
          <w:b/>
          <w:bCs/>
          <w:color w:val="auto"/>
          <w:kern w:val="2"/>
          <w:szCs w:val="32"/>
          <w:highlight w:val="none"/>
        </w:rPr>
        <w:t>27.4 承包人不提交竣工结算书</w:t>
      </w:r>
      <w:bookmarkEnd w:id="439"/>
      <w:bookmarkEnd w:id="440"/>
      <w:bookmarkEnd w:id="441"/>
      <w:bookmarkEnd w:id="44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承包人在收到通知14天内仍不提交竣工结算书及结算资料的，发包人选择以下方式处理：</w:t>
      </w:r>
    </w:p>
    <w:p>
      <w:pPr>
        <w:widowControl w:val="0"/>
        <w:adjustRightInd w:val="0"/>
        <w:snapToGrid w:val="0"/>
        <w:spacing w:line="360" w:lineRule="auto"/>
        <w:ind w:firstLine="480"/>
        <w:rPr>
          <w:rFonts w:cs="Times New Roman"/>
          <w:color w:val="auto"/>
          <w:kern w:val="2"/>
          <w:highlight w:val="none"/>
        </w:rPr>
      </w:pPr>
      <w:r>
        <w:rPr>
          <w:rFonts w:ascii="Segoe UI Emoji" w:hAnsi="Segoe UI Emoji" w:eastAsia="MS Mincho" w:cs="Segoe UI Emoji"/>
          <w:color w:val="auto"/>
          <w:highlight w:val="none"/>
        </w:rPr>
        <w:t>☑</w:t>
      </w:r>
      <w:r>
        <w:rPr>
          <w:rFonts w:cs="Times New Roman"/>
          <w:color w:val="auto"/>
          <w:kern w:val="2"/>
          <w:highlight w:val="none"/>
        </w:rPr>
        <w:t>①</w:t>
      </w:r>
      <w:r>
        <w:rPr>
          <w:rFonts w:hint="eastAsia" w:cs="Times New Roman"/>
          <w:color w:val="auto"/>
          <w:kern w:val="2"/>
          <w:highlight w:val="none"/>
        </w:rPr>
        <w:t>发包人根据已有资料审查、核实确定竣工结算价款；</w:t>
      </w:r>
    </w:p>
    <w:p>
      <w:pPr>
        <w:widowControl w:val="0"/>
        <w:adjustRightInd w:val="0"/>
        <w:snapToGrid w:val="0"/>
        <w:spacing w:line="360" w:lineRule="auto"/>
        <w:ind w:firstLine="480" w:firstLineChars="200"/>
        <w:rPr>
          <w:rFonts w:cs="Times New Roman"/>
          <w:color w:val="auto"/>
          <w:kern w:val="2"/>
          <w:highlight w:val="none"/>
        </w:rPr>
      </w:pPr>
      <w:r>
        <w:rPr>
          <w:rFonts w:ascii="Segoe UI Emoji" w:hAnsi="Segoe UI Emoji" w:eastAsia="MS Mincho" w:cs="Segoe UI Emoji"/>
          <w:color w:val="auto"/>
          <w:highlight w:val="none"/>
        </w:rPr>
        <w:t>☑</w:t>
      </w:r>
      <w:r>
        <w:rPr>
          <w:rFonts w:cs="Times New Roman"/>
          <w:color w:val="auto"/>
          <w:kern w:val="2"/>
          <w:highlight w:val="none"/>
        </w:rPr>
        <w:t>②延期一天处以元/天的违约金，违约金不超过签约合同价％。</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43" w:name="_Toc2000007"/>
      <w:bookmarkStart w:id="444" w:name="_Toc46325346"/>
      <w:bookmarkStart w:id="445" w:name="_Toc6524"/>
      <w:bookmarkStart w:id="446" w:name="_Toc24156"/>
      <w:r>
        <w:rPr>
          <w:rFonts w:hint="eastAsia" w:cs="Times New Roman"/>
          <w:b/>
          <w:bCs/>
          <w:color w:val="auto"/>
          <w:kern w:val="2"/>
          <w:szCs w:val="32"/>
          <w:highlight w:val="none"/>
        </w:rPr>
        <w:t>27.5 发包人逾期不结算</w:t>
      </w:r>
      <w:bookmarkEnd w:id="443"/>
      <w:bookmarkEnd w:id="444"/>
      <w:bookmarkEnd w:id="445"/>
      <w:bookmarkEnd w:id="446"/>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发包人在收到承包人提交的竣工结算书及结算资料后，承包人需协助发包方在收到结算资料后办理完成竣工结算，发包人逾期回复意见或者提出异议的，不视为认可承包人提供的结算书。</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47" w:name="_Toc29384"/>
      <w:bookmarkStart w:id="448" w:name="_Toc46325347"/>
      <w:bookmarkStart w:id="449" w:name="_Toc18554"/>
      <w:bookmarkStart w:id="450" w:name="_Toc2000008"/>
      <w:r>
        <w:rPr>
          <w:rFonts w:hint="eastAsia" w:cs="Times New Roman"/>
          <w:b/>
          <w:bCs/>
          <w:color w:val="auto"/>
          <w:kern w:val="2"/>
          <w:szCs w:val="32"/>
          <w:highlight w:val="none"/>
        </w:rPr>
        <w:t>27.6 竣工结算审计或审核</w:t>
      </w:r>
      <w:bookmarkEnd w:id="447"/>
      <w:bookmarkEnd w:id="448"/>
      <w:bookmarkEnd w:id="449"/>
      <w:bookmarkEnd w:id="450"/>
    </w:p>
    <w:p>
      <w:pPr>
        <w:widowControl w:val="0"/>
        <w:adjustRightInd w:val="0"/>
        <w:snapToGrid w:val="0"/>
        <w:spacing w:line="360" w:lineRule="auto"/>
        <w:ind w:firstLine="480"/>
        <w:rPr>
          <w:rFonts w:ascii="Times New Roman" w:hAnsi="Times New Roman" w:eastAsia="FangSong_GB2312" w:cs="Times New Roman"/>
          <w:color w:val="auto"/>
          <w:kern w:val="2"/>
          <w:highlight w:val="none"/>
          <w:u w:val="single"/>
        </w:rPr>
      </w:pPr>
      <w:r>
        <w:rPr>
          <w:rFonts w:hint="eastAsia" w:cs="Times New Roman"/>
          <w:color w:val="auto"/>
          <w:kern w:val="2"/>
          <w:highlight w:val="none"/>
        </w:rPr>
        <w:t>(1)在以下情况下，发包人可启动强制结算机制，将其单方编制的结算文件送审计或审核：</w:t>
      </w:r>
      <w:r>
        <w:rPr>
          <w:rFonts w:hint="eastAsia" w:cs="Times New Roman"/>
          <w:color w:val="auto"/>
          <w:kern w:val="2"/>
          <w:highlight w:val="none"/>
          <w:u w:val="single"/>
        </w:rPr>
        <w:t>承包人不按规定时间办理竣工移交手续或不按规定时间办理工程结（决）算，经发包人通报后30日内仍拒不办理的，发包人有权按该工程已付工程款作为结算价和审计价（工程款超付情况除外）。</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(2)本合同最终的竣工结算和支付依据约定如下：（注：只能选择一种方式，在选定的方式前的“□”内打“</w:t>
      </w:r>
      <w:r>
        <w:rPr>
          <w:rFonts w:ascii="Symbol" w:hAnsi="Symbol" w:cs="Times New Roman"/>
          <w:color w:val="auto"/>
          <w:kern w:val="2"/>
          <w:highlight w:val="none"/>
        </w:rPr>
        <w:sym w:font="Symbol" w:char="F0D6"/>
      </w:r>
      <w:r>
        <w:rPr>
          <w:rFonts w:hint="eastAsia" w:cs="Times New Roman"/>
          <w:color w:val="auto"/>
          <w:kern w:val="2"/>
          <w:highlight w:val="none"/>
        </w:rPr>
        <w:t>”）</w:t>
      </w:r>
    </w:p>
    <w:p>
      <w:pPr>
        <w:widowControl w:val="0"/>
        <w:tabs>
          <w:tab w:val="left" w:pos="1620"/>
          <w:tab w:val="left" w:pos="2340"/>
        </w:tabs>
        <w:adjustRightInd w:val="0"/>
        <w:snapToGrid w:val="0"/>
        <w:spacing w:line="360" w:lineRule="auto"/>
        <w:ind w:firstLine="480" w:firstLineChars="200"/>
        <w:rPr>
          <w:rFonts w:cs="Times New Roman"/>
          <w:color w:val="auto"/>
          <w:kern w:val="2"/>
          <w:highlight w:val="none"/>
        </w:rPr>
      </w:pPr>
      <w:r>
        <w:rPr>
          <w:rFonts w:hint="eastAsia" w:cs="Times New Roman"/>
          <w:color w:val="auto"/>
          <w:kern w:val="2"/>
          <w:highlight w:val="none"/>
        </w:rPr>
        <w:t>□以经过政府指定机构审计或审核结果作为最终的竣工结算和支付依据。</w:t>
      </w:r>
    </w:p>
    <w:p>
      <w:pPr>
        <w:widowControl w:val="0"/>
        <w:tabs>
          <w:tab w:val="left" w:pos="1620"/>
          <w:tab w:val="left" w:pos="2340"/>
        </w:tabs>
        <w:adjustRightInd w:val="0"/>
        <w:snapToGrid w:val="0"/>
        <w:spacing w:line="360" w:lineRule="auto"/>
        <w:ind w:firstLine="480" w:firstLineChars="150"/>
        <w:rPr>
          <w:rFonts w:cs="Times New Roman"/>
          <w:color w:val="auto"/>
          <w:kern w:val="2"/>
          <w:highlight w:val="none"/>
        </w:rPr>
      </w:pPr>
      <w:r>
        <w:rPr>
          <w:rFonts w:ascii="Segoe UI Emoji" w:hAnsi="Segoe UI Emoji" w:eastAsia="MS Mincho" w:cs="Segoe UI Emoji"/>
          <w:color w:val="auto"/>
          <w:kern w:val="2"/>
          <w:sz w:val="32"/>
          <w:szCs w:val="21"/>
          <w:highlight w:val="none"/>
        </w:rPr>
        <w:t>☑</w:t>
      </w:r>
      <w:r>
        <w:rPr>
          <w:rFonts w:hint="eastAsia" w:cs="Times New Roman"/>
          <w:color w:val="auto"/>
          <w:kern w:val="2"/>
          <w:highlight w:val="none"/>
        </w:rPr>
        <w:t>以</w:t>
      </w:r>
      <w:r>
        <w:rPr>
          <w:rFonts w:hint="eastAsia" w:cs="Times New Roman"/>
          <w:bCs/>
          <w:color w:val="auto"/>
          <w:kern w:val="2"/>
          <w:highlight w:val="none"/>
        </w:rPr>
        <w:t>深圳市建设工程造价管理部门的审计结论或发包人指定的第三方机构的审定（审核）结论(若本项目结算按规定须提交政府指定机构审定或审计的，则以政府指定机构审定或审计结果)</w:t>
      </w:r>
      <w:r>
        <w:rPr>
          <w:rFonts w:hint="eastAsia" w:cs="Times New Roman"/>
          <w:color w:val="auto"/>
          <w:kern w:val="2"/>
          <w:highlight w:val="none"/>
        </w:rPr>
        <w:t>作为最终的竣工结算和支付依据。</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51" w:name="_Toc23528"/>
      <w:bookmarkStart w:id="452" w:name="_Toc2000009"/>
      <w:bookmarkStart w:id="453" w:name="_Toc46325348"/>
      <w:bookmarkStart w:id="454" w:name="_Toc5732"/>
      <w:r>
        <w:rPr>
          <w:rFonts w:hint="eastAsia" w:cs="Times New Roman"/>
          <w:b/>
          <w:bCs/>
          <w:color w:val="auto"/>
          <w:kern w:val="2"/>
          <w:szCs w:val="32"/>
          <w:highlight w:val="none"/>
        </w:rPr>
        <w:t>27.8 最终结清申请</w:t>
      </w:r>
      <w:bookmarkEnd w:id="451"/>
      <w:bookmarkEnd w:id="452"/>
      <w:bookmarkEnd w:id="453"/>
      <w:bookmarkEnd w:id="454"/>
    </w:p>
    <w:p>
      <w:pPr>
        <w:widowControl w:val="0"/>
        <w:adjustRightInd w:val="0"/>
        <w:snapToGrid w:val="0"/>
        <w:spacing w:line="360" w:lineRule="auto"/>
        <w:ind w:firstLine="480" w:firstLineChars="200"/>
        <w:rPr>
          <w:rFonts w:ascii="Times New Roman" w:hAnsi="Times New Roman" w:eastAsia="FangSong_GB2312" w:cs="Times New Roman"/>
          <w:color w:val="auto"/>
          <w:sz w:val="30"/>
          <w:szCs w:val="32"/>
          <w:highlight w:val="none"/>
        </w:rPr>
      </w:pPr>
      <w:r>
        <w:rPr>
          <w:rFonts w:hint="eastAsia" w:cs="Times New Roman"/>
          <w:color w:val="auto"/>
          <w:kern w:val="2"/>
          <w:highlight w:val="none"/>
        </w:rPr>
        <w:t>(1) 承包人提交最终结清申请单的份数：</w:t>
      </w:r>
      <w:r>
        <w:rPr>
          <w:rFonts w:hint="eastAsia" w:cs="Times New Roman"/>
          <w:color w:val="auto"/>
          <w:highlight w:val="none"/>
          <w:u w:val="single"/>
        </w:rPr>
        <w:t>一式伍份</w:t>
      </w:r>
      <w:r>
        <w:rPr>
          <w:rFonts w:hint="eastAsia" w:ascii="Times New Roman" w:hAnsi="Times New Roman" w:eastAsia="FangSong_GB2312" w:cs="Times New Roman"/>
          <w:color w:val="auto"/>
          <w:kern w:val="2"/>
          <w:sz w:val="30"/>
          <w:szCs w:val="32"/>
          <w:highlight w:val="none"/>
        </w:rPr>
        <w:t>。</w:t>
      </w:r>
    </w:p>
    <w:p>
      <w:pPr>
        <w:widowControl w:val="0"/>
        <w:adjustRightInd w:val="0"/>
        <w:snapToGrid w:val="0"/>
        <w:spacing w:line="360" w:lineRule="auto"/>
        <w:ind w:firstLine="480" w:firstLineChars="200"/>
        <w:rPr>
          <w:rFonts w:cs="Times New Roman"/>
          <w:color w:val="auto"/>
          <w:kern w:val="2"/>
          <w:highlight w:val="none"/>
        </w:rPr>
      </w:pPr>
      <w:r>
        <w:rPr>
          <w:rFonts w:hint="eastAsia" w:cs="Times New Roman"/>
          <w:color w:val="auto"/>
          <w:kern w:val="2"/>
          <w:highlight w:val="none"/>
        </w:rPr>
        <w:t>最终结清申请单关于质量保证金、应扣除的质量保证金、缺陷责任期内发生的增减费用的约定：</w:t>
      </w:r>
      <w:r>
        <w:rPr>
          <w:rFonts w:hint="eastAsia" w:cs="Times New Roman"/>
          <w:color w:val="auto"/>
          <w:kern w:val="2"/>
          <w:highlight w:val="none"/>
          <w:u w:val="single"/>
        </w:rPr>
        <w:t>对于需要进行保修的，承包人接到通知后，未能及时派人修理，发包人可委托其他人员修理。发包人委托其他人员修理所发生的费用可以从工程质量保证金中双倍抵扣；不足部分由承包人承担</w:t>
      </w:r>
      <w:r>
        <w:rPr>
          <w:rFonts w:hint="eastAsia" w:cs="Times New Roman"/>
          <w:color w:val="auto"/>
          <w:kern w:val="2"/>
          <w:highlight w:val="non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55" w:name="_Toc17481"/>
      <w:bookmarkStart w:id="456" w:name="_Toc46325349"/>
      <w:bookmarkStart w:id="457" w:name="_Toc8170"/>
      <w:bookmarkStart w:id="458" w:name="_Toc2000010"/>
      <w:r>
        <w:rPr>
          <w:rFonts w:hint="eastAsia" w:cs="Times New Roman"/>
          <w:b/>
          <w:bCs/>
          <w:color w:val="auto"/>
          <w:kern w:val="2"/>
          <w:szCs w:val="32"/>
          <w:highlight w:val="none"/>
        </w:rPr>
        <w:t>27.9 最终结清证书和支付</w:t>
      </w:r>
      <w:bookmarkEnd w:id="455"/>
      <w:bookmarkEnd w:id="456"/>
      <w:bookmarkEnd w:id="457"/>
      <w:bookmarkEnd w:id="458"/>
    </w:p>
    <w:p>
      <w:pPr>
        <w:widowControl w:val="0"/>
        <w:adjustRightInd w:val="0"/>
        <w:snapToGrid w:val="0"/>
        <w:spacing w:line="360" w:lineRule="auto"/>
        <w:ind w:firstLine="480" w:firstLineChars="200"/>
        <w:rPr>
          <w:rFonts w:ascii="Times New Roman" w:hAnsi="Times New Roman" w:eastAsia="FangSong_GB2312" w:cs="Times New Roman"/>
          <w:color w:val="auto"/>
          <w:kern w:val="2"/>
          <w:sz w:val="30"/>
          <w:szCs w:val="32"/>
          <w:highlight w:val="none"/>
        </w:rPr>
      </w:pPr>
      <w:r>
        <w:rPr>
          <w:rFonts w:hint="eastAsia" w:cs="Times New Roman"/>
          <w:color w:val="auto"/>
          <w:kern w:val="2"/>
          <w:highlight w:val="none"/>
        </w:rPr>
        <w:t>（1）发包人应在收到承包人提交的最终结清申请单后完成审批并向承包人颁发最终结清证书期限：</w:t>
      </w:r>
      <w:r>
        <w:rPr>
          <w:rFonts w:cs="Times New Roman"/>
          <w:color w:val="auto"/>
          <w:kern w:val="2"/>
          <w:highlight w:val="none"/>
          <w:u w:val="single"/>
        </w:rPr>
        <w:t>30</w:t>
      </w:r>
      <w:r>
        <w:rPr>
          <w:rFonts w:hint="eastAsia" w:cs="Times New Roman"/>
          <w:color w:val="auto"/>
          <w:kern w:val="2"/>
          <w:highlight w:val="none"/>
          <w:u w:val="single"/>
        </w:rPr>
        <w:t>日历天</w:t>
      </w:r>
      <w:r>
        <w:rPr>
          <w:rFonts w:hint="eastAsia" w:cs="Times New Roman"/>
          <w:color w:val="auto"/>
          <w:kern w:val="2"/>
          <w:highlight w:val="none"/>
        </w:rPr>
        <w:t>。发包人逾期未完成审批又未提出修改意见的，不视为发包人同意承包人提交的最终结清申请单。</w:t>
      </w:r>
    </w:p>
    <w:p>
      <w:pPr>
        <w:widowControl w:val="0"/>
        <w:adjustRightInd w:val="0"/>
        <w:snapToGrid w:val="0"/>
        <w:spacing w:line="360" w:lineRule="auto"/>
        <w:ind w:firstLine="480" w:firstLineChars="200"/>
        <w:rPr>
          <w:rFonts w:cs="Times New Roman"/>
          <w:color w:val="auto"/>
          <w:kern w:val="2"/>
          <w:highlight w:val="none"/>
        </w:rPr>
      </w:pPr>
      <w:r>
        <w:rPr>
          <w:rFonts w:hint="eastAsia" w:cs="Times New Roman"/>
          <w:color w:val="auto"/>
          <w:kern w:val="2"/>
          <w:highlight w:val="none"/>
        </w:rPr>
        <w:t>（2）发包人应在颁发最终结清证书后完成支付期限：</w:t>
      </w:r>
      <w:r>
        <w:rPr>
          <w:rFonts w:cs="Times New Roman"/>
          <w:color w:val="auto"/>
          <w:kern w:val="2"/>
          <w:highlight w:val="none"/>
          <w:u w:val="single"/>
        </w:rPr>
        <w:t>30</w:t>
      </w:r>
      <w:r>
        <w:rPr>
          <w:rFonts w:hint="eastAsia" w:cs="Times New Roman"/>
          <w:color w:val="auto"/>
          <w:kern w:val="2"/>
          <w:highlight w:val="none"/>
          <w:u w:val="single"/>
        </w:rPr>
        <w:t>日历天</w:t>
      </w:r>
      <w:r>
        <w:rPr>
          <w:rFonts w:hint="eastAsia" w:ascii="Times New Roman" w:hAnsi="Times New Roman" w:eastAsia="FangSong_GB2312" w:cs="Times New Roman"/>
          <w:color w:val="auto"/>
          <w:kern w:val="2"/>
          <w:sz w:val="30"/>
          <w:szCs w:val="32"/>
          <w:highlight w:val="none"/>
        </w:rPr>
        <w:t>。</w:t>
      </w:r>
      <w:r>
        <w:rPr>
          <w:rFonts w:hint="eastAsia" w:cs="Times New Roman"/>
          <w:color w:val="auto"/>
          <w:kern w:val="2"/>
          <w:highlight w:val="none"/>
        </w:rPr>
        <w:t>发包人逾期支付的，按照中国人民银行发布的同期同类贷款基准利率支付违约金。</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459" w:name="_Toc2000011"/>
      <w:bookmarkStart w:id="460" w:name="_Toc31343"/>
      <w:bookmarkStart w:id="461" w:name="_Toc46325350"/>
      <w:bookmarkStart w:id="462" w:name="_Toc32352"/>
      <w:r>
        <w:rPr>
          <w:rFonts w:hint="eastAsia" w:ascii="Times New Roman" w:cs="Times New Roman"/>
          <w:b/>
          <w:bCs/>
          <w:color w:val="auto"/>
          <w:kern w:val="44"/>
          <w:sz w:val="28"/>
          <w:szCs w:val="28"/>
          <w:highlight w:val="none"/>
        </w:rPr>
        <w:t>28 违约</w:t>
      </w:r>
      <w:bookmarkEnd w:id="459"/>
      <w:bookmarkEnd w:id="460"/>
      <w:bookmarkEnd w:id="461"/>
      <w:bookmarkEnd w:id="462"/>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63" w:name="_Toc9398"/>
      <w:bookmarkStart w:id="464" w:name="_Toc46325351"/>
      <w:bookmarkStart w:id="465" w:name="_Toc2000012"/>
      <w:bookmarkStart w:id="466" w:name="_Toc18734"/>
      <w:r>
        <w:rPr>
          <w:rFonts w:hint="eastAsia" w:cs="Times New Roman"/>
          <w:b/>
          <w:bCs/>
          <w:color w:val="auto"/>
          <w:kern w:val="2"/>
          <w:szCs w:val="32"/>
          <w:highlight w:val="none"/>
        </w:rPr>
        <w:t>28.1 发包人违约</w:t>
      </w:r>
      <w:bookmarkEnd w:id="463"/>
      <w:bookmarkEnd w:id="464"/>
      <w:bookmarkEnd w:id="465"/>
      <w:bookmarkEnd w:id="466"/>
    </w:p>
    <w:p>
      <w:pPr>
        <w:widowControl w:val="0"/>
        <w:adjustRightInd w:val="0"/>
        <w:snapToGrid w:val="0"/>
        <w:spacing w:line="360" w:lineRule="auto"/>
        <w:ind w:firstLine="480" w:firstLineChars="200"/>
        <w:rPr>
          <w:rFonts w:cs="Times New Roman"/>
          <w:color w:val="auto"/>
          <w:kern w:val="2"/>
          <w:highlight w:val="none"/>
        </w:rPr>
      </w:pPr>
      <w:r>
        <w:rPr>
          <w:rFonts w:hint="eastAsia" w:cs="Times New Roman"/>
          <w:color w:val="auto"/>
          <w:kern w:val="2"/>
          <w:highlight w:val="none"/>
        </w:rPr>
        <w:t>发包人违约责任的承担方式和计算方法：</w:t>
      </w:r>
    </w:p>
    <w:p>
      <w:pPr>
        <w:widowControl w:val="0"/>
        <w:adjustRightInd w:val="0"/>
        <w:snapToGrid w:val="0"/>
        <w:spacing w:line="360" w:lineRule="auto"/>
        <w:ind w:firstLine="480" w:firstLineChars="200"/>
        <w:rPr>
          <w:rFonts w:ascii="Times New Roman" w:hAnsi="Times New Roman" w:eastAsia="FangSong_GB2312" w:cs="Times New Roman"/>
          <w:color w:val="auto"/>
          <w:highlight w:val="none"/>
          <w:u w:val="single"/>
        </w:rPr>
      </w:pPr>
      <w:r>
        <w:rPr>
          <w:rFonts w:hint="eastAsia" w:cs="Times New Roman"/>
          <w:color w:val="auto"/>
          <w:kern w:val="2"/>
          <w:highlight w:val="none"/>
        </w:rPr>
        <w:t>（1）因发包人原因未能在计划开工日期前7天内下达开工通知的违约责任：</w:t>
      </w:r>
      <w:r>
        <w:rPr>
          <w:rFonts w:hint="eastAsia" w:cs="Times New Roman"/>
          <w:color w:val="auto"/>
          <w:kern w:val="2"/>
          <w:highlight w:val="none"/>
          <w:u w:val="single"/>
        </w:rPr>
        <w:t>工期顺延，但发包人不承担任何由此引起的承包人的损失</w:t>
      </w:r>
      <w:r>
        <w:rPr>
          <w:rFonts w:hint="eastAsia" w:ascii="Times New Roman" w:hAnsi="Times New Roman" w:eastAsia="FangSong_GB2312" w:cs="Times New Roman"/>
          <w:color w:val="auto"/>
          <w:highlight w:val="none"/>
        </w:rPr>
        <w:t>。</w:t>
      </w:r>
    </w:p>
    <w:p>
      <w:pPr>
        <w:widowControl w:val="0"/>
        <w:adjustRightInd w:val="0"/>
        <w:snapToGrid w:val="0"/>
        <w:spacing w:line="360" w:lineRule="auto"/>
        <w:ind w:firstLine="480" w:firstLineChars="200"/>
        <w:rPr>
          <w:rFonts w:ascii="Times New Roman" w:hAnsi="Times New Roman" w:cs="Times New Roman"/>
          <w:color w:val="auto"/>
          <w:highlight w:val="none"/>
        </w:rPr>
      </w:pPr>
      <w:r>
        <w:rPr>
          <w:rFonts w:hint="eastAsia" w:cs="Times New Roman"/>
          <w:color w:val="auto"/>
          <w:kern w:val="2"/>
          <w:highlight w:val="none"/>
        </w:rPr>
        <w:t>（2）因发包人原因未能按合同约定支付合同价款的违约责任：</w:t>
      </w:r>
      <w:r>
        <w:rPr>
          <w:rFonts w:hint="eastAsia" w:ascii="Times New Roman" w:hAnsi="Times New Roman" w:cs="Times New Roman"/>
          <w:color w:val="auto"/>
          <w:kern w:val="2"/>
          <w:highlight w:val="none"/>
          <w:u w:val="single"/>
        </w:rPr>
        <w:t>工期顺延，但发包人不承担任何由此引起的承包人的损失</w:t>
      </w:r>
      <w:r>
        <w:rPr>
          <w:rFonts w:ascii="Times New Roman" w:hAnsi="Times New Roman" w:cs="Times New Roman"/>
          <w:color w:val="auto"/>
          <w:kern w:val="2"/>
          <w:highlight w:val="none"/>
          <w:u w:val="single"/>
        </w:rPr>
        <w:t>。</w:t>
      </w:r>
    </w:p>
    <w:p>
      <w:pPr>
        <w:widowControl w:val="0"/>
        <w:adjustRightInd w:val="0"/>
        <w:snapToGrid w:val="0"/>
        <w:spacing w:line="360" w:lineRule="auto"/>
        <w:ind w:firstLine="480" w:firstLineChars="200"/>
        <w:rPr>
          <w:rFonts w:ascii="Times New Roman" w:hAnsi="Times New Roman" w:eastAsia="FangSong_GB2312" w:cs="Times New Roman"/>
          <w:color w:val="auto"/>
          <w:highlight w:val="none"/>
        </w:rPr>
      </w:pPr>
      <w:r>
        <w:rPr>
          <w:rFonts w:hint="eastAsia" w:cs="Times New Roman"/>
          <w:color w:val="auto"/>
          <w:kern w:val="2"/>
          <w:highlight w:val="none"/>
        </w:rPr>
        <w:t>（3）发包人提供的材料、工程设备的规格、数量或质量不符合合同约定，或因发包人原因导致交货日期延误或交货地点变更等情况的违约责任：</w:t>
      </w:r>
      <w:r>
        <w:rPr>
          <w:rFonts w:hint="eastAsia" w:cs="Times New Roman"/>
          <w:color w:val="auto"/>
          <w:highlight w:val="none"/>
          <w:u w:val="single"/>
        </w:rPr>
        <w:t>合同工期按约定经发包人审批后予以顺延，但发包人不支付任何赔偿和补偿</w:t>
      </w:r>
      <w:r>
        <w:rPr>
          <w:rFonts w:hint="eastAsia" w:ascii="Times New Roman" w:hAnsi="Times New Roman" w:eastAsia="FangSong_GB2312" w:cs="Times New Roman"/>
          <w:color w:val="auto"/>
          <w:highlight w:val="none"/>
        </w:rPr>
        <w:t>。</w:t>
      </w:r>
    </w:p>
    <w:p>
      <w:pPr>
        <w:widowControl w:val="0"/>
        <w:adjustRightInd w:val="0"/>
        <w:snapToGrid w:val="0"/>
        <w:spacing w:line="360" w:lineRule="auto"/>
        <w:ind w:firstLine="480" w:firstLineChars="200"/>
        <w:rPr>
          <w:rFonts w:ascii="Times New Roman" w:hAnsi="Times New Roman" w:eastAsia="FangSong_GB2312" w:cs="Times New Roman"/>
          <w:color w:val="auto"/>
          <w:highlight w:val="none"/>
        </w:rPr>
      </w:pPr>
      <w:r>
        <w:rPr>
          <w:rFonts w:hint="eastAsia" w:cs="Times New Roman"/>
          <w:color w:val="auto"/>
          <w:kern w:val="2"/>
          <w:highlight w:val="none"/>
        </w:rPr>
        <w:t>（4）因发包人违反合同约定造成暂停施工的违约责任：</w:t>
      </w:r>
      <w:r>
        <w:rPr>
          <w:rFonts w:cs="Times New Roman"/>
          <w:color w:val="auto"/>
          <w:highlight w:val="none"/>
          <w:u w:val="single"/>
        </w:rPr>
        <w:t>工期顺延，不</w:t>
      </w:r>
      <w:r>
        <w:rPr>
          <w:rFonts w:hint="eastAsia" w:cs="Times New Roman"/>
          <w:color w:val="auto"/>
          <w:highlight w:val="none"/>
          <w:u w:val="single"/>
        </w:rPr>
        <w:t>赔偿和补偿任何</w:t>
      </w:r>
      <w:r>
        <w:rPr>
          <w:rFonts w:cs="Times New Roman"/>
          <w:color w:val="auto"/>
          <w:highlight w:val="none"/>
          <w:u w:val="single"/>
        </w:rPr>
        <w:t>费用</w:t>
      </w:r>
      <w:r>
        <w:rPr>
          <w:rFonts w:hint="eastAsia" w:cs="Times New Roman"/>
          <w:color w:val="auto"/>
          <w:highlight w:val="none"/>
          <w:u w:val="single"/>
        </w:rPr>
        <w:t>。</w:t>
      </w:r>
    </w:p>
    <w:p>
      <w:pPr>
        <w:widowControl w:val="0"/>
        <w:adjustRightInd w:val="0"/>
        <w:snapToGrid w:val="0"/>
        <w:spacing w:line="360" w:lineRule="auto"/>
        <w:ind w:firstLine="480" w:firstLineChars="200"/>
        <w:rPr>
          <w:rFonts w:ascii="Times New Roman" w:hAnsi="Times New Roman" w:eastAsia="FangSong_GB2312" w:cs="Times New Roman"/>
          <w:color w:val="auto"/>
          <w:highlight w:val="none"/>
        </w:rPr>
      </w:pPr>
      <w:r>
        <w:rPr>
          <w:rFonts w:hint="eastAsia" w:cs="Times New Roman"/>
          <w:color w:val="auto"/>
          <w:kern w:val="2"/>
          <w:highlight w:val="none"/>
        </w:rPr>
        <w:t>（5）发包人无正当理由没有在约定期限内发出复工指示，导致承包人无法复工的违约责任：</w:t>
      </w:r>
      <w:r>
        <w:rPr>
          <w:rFonts w:cs="Times New Roman"/>
          <w:color w:val="auto"/>
          <w:highlight w:val="none"/>
          <w:u w:val="single"/>
        </w:rPr>
        <w:t>工期顺延，不</w:t>
      </w:r>
      <w:r>
        <w:rPr>
          <w:rFonts w:hint="eastAsia" w:cs="Times New Roman"/>
          <w:color w:val="auto"/>
          <w:highlight w:val="none"/>
          <w:u w:val="single"/>
        </w:rPr>
        <w:t>赔偿和补偿任何</w:t>
      </w:r>
      <w:r>
        <w:rPr>
          <w:rFonts w:cs="Times New Roman"/>
          <w:color w:val="auto"/>
          <w:highlight w:val="none"/>
          <w:u w:val="single"/>
        </w:rPr>
        <w:t>费用</w:t>
      </w:r>
      <w:r>
        <w:rPr>
          <w:rFonts w:hint="eastAsia" w:cs="Times New Roman"/>
          <w:color w:val="auto"/>
          <w:highlight w:val="none"/>
          <w:u w:val="single"/>
        </w:rPr>
        <w:t>。</w:t>
      </w:r>
    </w:p>
    <w:p>
      <w:pPr>
        <w:widowControl w:val="0"/>
        <w:adjustRightInd w:val="0"/>
        <w:snapToGrid w:val="0"/>
        <w:spacing w:line="360" w:lineRule="auto"/>
        <w:ind w:firstLine="480" w:firstLineChars="200"/>
        <w:rPr>
          <w:rFonts w:ascii="Times New Roman" w:hAnsi="Times New Roman" w:eastAsia="FangSong_GB2312" w:cs="Times New Roman"/>
          <w:color w:val="auto"/>
          <w:highlight w:val="none"/>
        </w:rPr>
      </w:pPr>
      <w:r>
        <w:rPr>
          <w:rFonts w:hint="eastAsia" w:cs="Times New Roman"/>
          <w:color w:val="auto"/>
          <w:kern w:val="2"/>
          <w:highlight w:val="none"/>
        </w:rPr>
        <w:t>（6）发包人明确表示或其行为表明不履行合同主要义务的违约责任：</w:t>
      </w:r>
      <w:r>
        <w:rPr>
          <w:rFonts w:hint="eastAsia" w:cs="Times New Roman"/>
          <w:color w:val="auto"/>
          <w:highlight w:val="none"/>
          <w:u w:val="single"/>
        </w:rPr>
        <w:t>工期可以顺延，费用不予补偿。</w:t>
      </w:r>
    </w:p>
    <w:p>
      <w:pPr>
        <w:widowControl w:val="0"/>
        <w:adjustRightInd w:val="0"/>
        <w:snapToGrid w:val="0"/>
        <w:spacing w:line="360" w:lineRule="auto"/>
        <w:ind w:firstLine="480" w:firstLineChars="200"/>
        <w:rPr>
          <w:rFonts w:ascii="Times New Roman" w:hAnsi="Times New Roman" w:eastAsia="FangSong_GB2312" w:cs="Times New Roman"/>
          <w:color w:val="auto"/>
          <w:highlight w:val="none"/>
        </w:rPr>
      </w:pPr>
      <w:r>
        <w:rPr>
          <w:rFonts w:hint="eastAsia" w:cs="Times New Roman"/>
          <w:color w:val="auto"/>
          <w:kern w:val="2"/>
          <w:highlight w:val="none"/>
        </w:rPr>
        <w:t>（7）其他：</w:t>
      </w:r>
      <w:r>
        <w:rPr>
          <w:rFonts w:hint="eastAsia" w:ascii="Times New Roman" w:hAnsi="Times New Roman" w:cs="Times New Roman"/>
          <w:color w:val="auto"/>
          <w:kern w:val="2"/>
          <w:highlight w:val="none"/>
          <w:u w:val="single"/>
        </w:rPr>
        <w:t>监理工程师不能及时给出必要的指令、确定、批准造成施工延误的，工期应相应顺延。</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67" w:name="_Toc3131"/>
      <w:bookmarkStart w:id="468" w:name="_Toc46325352"/>
      <w:bookmarkStart w:id="469" w:name="_Toc2000013"/>
      <w:bookmarkStart w:id="470" w:name="_Toc5142"/>
      <w:r>
        <w:rPr>
          <w:rFonts w:hint="eastAsia" w:cs="Times New Roman"/>
          <w:b/>
          <w:bCs/>
          <w:color w:val="auto"/>
          <w:kern w:val="2"/>
          <w:szCs w:val="32"/>
          <w:highlight w:val="none"/>
        </w:rPr>
        <w:t>28.2 承包人违约</w:t>
      </w:r>
      <w:bookmarkEnd w:id="467"/>
      <w:bookmarkEnd w:id="468"/>
      <w:bookmarkEnd w:id="469"/>
      <w:bookmarkEnd w:id="470"/>
    </w:p>
    <w:p>
      <w:pPr>
        <w:widowControl w:val="0"/>
        <w:adjustRightInd w:val="0"/>
        <w:snapToGrid w:val="0"/>
        <w:spacing w:line="360" w:lineRule="auto"/>
        <w:ind w:firstLine="480" w:firstLineChars="200"/>
        <w:jc w:val="both"/>
        <w:rPr>
          <w:rFonts w:ascii="等线" w:hAnsi="等线" w:cs="Times New Roman"/>
          <w:color w:val="auto"/>
          <w:kern w:val="2"/>
          <w:highlight w:val="none"/>
        </w:rPr>
      </w:pPr>
      <w:r>
        <w:rPr>
          <w:rFonts w:hint="eastAsia" w:ascii="等线" w:hAnsi="等线" w:cs="Times New Roman"/>
          <w:color w:val="auto"/>
          <w:kern w:val="2"/>
          <w:highlight w:val="none"/>
        </w:rPr>
        <w:t>承包人应承担的违约责任：</w:t>
      </w:r>
      <w:r>
        <w:rPr>
          <w:rFonts w:hint="eastAsia" w:ascii="等线" w:hAnsi="等线" w:cs="Times New Roman"/>
          <w:color w:val="auto"/>
          <w:kern w:val="2"/>
          <w:highlight w:val="none"/>
          <w:u w:val="single"/>
        </w:rPr>
        <w:t>详见补充条款及附件</w:t>
      </w:r>
      <w:r>
        <w:rPr>
          <w:rFonts w:ascii="等线" w:hAnsi="等线" w:cs="Times New Roman"/>
          <w:color w:val="auto"/>
          <w:kern w:val="2"/>
          <w:highlight w:val="none"/>
          <w:u w:val="single"/>
        </w:rPr>
        <w:t>1</w:t>
      </w:r>
      <w:r>
        <w:rPr>
          <w:rFonts w:hint="eastAsia" w:ascii="等线" w:hAnsi="等线" w:cs="Times New Roman"/>
          <w:color w:val="auto"/>
          <w:kern w:val="2"/>
          <w:highlight w:val="none"/>
        </w:rPr>
        <w:t>。</w:t>
      </w:r>
    </w:p>
    <w:p>
      <w:pPr>
        <w:widowControl w:val="0"/>
        <w:adjustRightInd w:val="0"/>
        <w:snapToGrid w:val="0"/>
        <w:spacing w:line="360" w:lineRule="auto"/>
        <w:ind w:firstLine="480"/>
        <w:rPr>
          <w:rFonts w:cs="Times New Roman"/>
          <w:color w:val="auto"/>
          <w:kern w:val="2"/>
          <w:highlight w:val="none"/>
          <w:u w:val="single"/>
        </w:rPr>
      </w:pPr>
      <w:r>
        <w:rPr>
          <w:rFonts w:hint="eastAsia" w:asciiTheme="minorEastAsia" w:hAnsiTheme="minorEastAsia" w:cstheme="minorEastAsia"/>
          <w:color w:val="auto"/>
          <w:highlight w:val="none"/>
          <w:u w:val="single"/>
        </w:rPr>
        <w:t>本</w:t>
      </w:r>
      <w:r>
        <w:rPr>
          <w:rFonts w:hint="eastAsia" w:cs="Times New Roman"/>
          <w:color w:val="auto"/>
          <w:kern w:val="2"/>
          <w:highlight w:val="none"/>
          <w:u w:val="single"/>
        </w:rPr>
        <w:t>合同约定的违约责任，若适用时出现冲突的，按照合同优先解释顺序进行处理；若补充条款及附件约定的有关违约责任不一致的，按照更严格的原则适用。</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u w:val="single"/>
        </w:rPr>
        <w:t>因承包人违约所发生的违约金或者赔偿金，甲方有权在应支付的款项中直接扣除。</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471" w:name="_Toc5798"/>
      <w:bookmarkStart w:id="472" w:name="_Toc2000014"/>
      <w:bookmarkStart w:id="473" w:name="_Toc46325353"/>
      <w:bookmarkStart w:id="474" w:name="_Toc15937"/>
      <w:r>
        <w:rPr>
          <w:rFonts w:hint="eastAsia" w:ascii="Times New Roman" w:cs="Times New Roman"/>
          <w:b/>
          <w:bCs/>
          <w:color w:val="auto"/>
          <w:kern w:val="44"/>
          <w:sz w:val="28"/>
          <w:szCs w:val="28"/>
          <w:highlight w:val="none"/>
        </w:rPr>
        <w:t>29 索赔</w:t>
      </w:r>
      <w:bookmarkEnd w:id="471"/>
      <w:bookmarkEnd w:id="472"/>
      <w:bookmarkEnd w:id="473"/>
      <w:bookmarkEnd w:id="47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75" w:name="_Toc14473"/>
      <w:bookmarkStart w:id="476" w:name="_Toc6237"/>
      <w:bookmarkStart w:id="477" w:name="_Toc46325354"/>
      <w:bookmarkStart w:id="478" w:name="_Toc2000015"/>
      <w:r>
        <w:rPr>
          <w:rFonts w:hint="eastAsia" w:cs="Times New Roman"/>
          <w:b/>
          <w:bCs/>
          <w:color w:val="auto"/>
          <w:kern w:val="2"/>
          <w:szCs w:val="32"/>
          <w:highlight w:val="none"/>
        </w:rPr>
        <w:t>29.3 发包人索赔情形</w:t>
      </w:r>
      <w:bookmarkEnd w:id="475"/>
      <w:bookmarkEnd w:id="476"/>
      <w:bookmarkEnd w:id="477"/>
      <w:bookmarkEnd w:id="478"/>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(4)发包人可向承包人提出索赔的其他情形：</w:t>
      </w:r>
      <w:r>
        <w:rPr>
          <w:rFonts w:hint="eastAsia" w:cs="Times New Roman"/>
          <w:color w:val="auto"/>
          <w:kern w:val="2"/>
          <w:highlight w:val="none"/>
          <w:u w:val="single"/>
        </w:rPr>
        <w:t xml:space="preserve"> / 。</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79" w:name="_Toc31299"/>
      <w:bookmarkStart w:id="480" w:name="_Toc2000016"/>
      <w:bookmarkStart w:id="481" w:name="_Toc7492"/>
      <w:bookmarkStart w:id="482" w:name="_Toc46325355"/>
      <w:r>
        <w:rPr>
          <w:rFonts w:hint="eastAsia" w:cs="Times New Roman"/>
          <w:b/>
          <w:bCs/>
          <w:color w:val="auto"/>
          <w:kern w:val="2"/>
          <w:szCs w:val="32"/>
          <w:highlight w:val="none"/>
        </w:rPr>
        <w:t>29.5 承包人索赔情形</w:t>
      </w:r>
      <w:bookmarkEnd w:id="479"/>
      <w:bookmarkEnd w:id="480"/>
      <w:bookmarkEnd w:id="481"/>
      <w:bookmarkEnd w:id="48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(7)承包人可向发包人提出索赔的其他情形：</w:t>
      </w:r>
      <w:r>
        <w:rPr>
          <w:rFonts w:hint="eastAsia" w:cs="Times New Roman"/>
          <w:color w:val="auto"/>
          <w:kern w:val="2"/>
          <w:highlight w:val="none"/>
          <w:u w:val="single"/>
        </w:rPr>
        <w:t xml:space="preserve"> /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483" w:name="_Toc4751"/>
      <w:bookmarkStart w:id="484" w:name="_Toc46325356"/>
      <w:bookmarkStart w:id="485" w:name="_Toc2000017"/>
      <w:bookmarkStart w:id="486" w:name="_Toc27033"/>
      <w:r>
        <w:rPr>
          <w:rFonts w:hint="eastAsia" w:ascii="Times New Roman" w:cs="Times New Roman"/>
          <w:b/>
          <w:bCs/>
          <w:color w:val="auto"/>
          <w:kern w:val="44"/>
          <w:sz w:val="28"/>
          <w:szCs w:val="28"/>
          <w:highlight w:val="none"/>
        </w:rPr>
        <w:t>30 争议解决</w:t>
      </w:r>
      <w:bookmarkEnd w:id="483"/>
      <w:bookmarkEnd w:id="484"/>
      <w:bookmarkEnd w:id="485"/>
      <w:bookmarkEnd w:id="486"/>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87" w:name="_Toc2000018"/>
      <w:bookmarkStart w:id="488" w:name="_Toc9134"/>
      <w:bookmarkStart w:id="489" w:name="_Toc18411"/>
      <w:bookmarkStart w:id="490" w:name="_Toc46325357"/>
      <w:r>
        <w:rPr>
          <w:rFonts w:hint="eastAsia" w:cs="Times New Roman"/>
          <w:b/>
          <w:bCs/>
          <w:color w:val="auto"/>
          <w:kern w:val="2"/>
          <w:szCs w:val="32"/>
          <w:highlight w:val="none"/>
        </w:rPr>
        <w:t>30.1 争议的解决方式</w:t>
      </w:r>
      <w:bookmarkEnd w:id="487"/>
      <w:bookmarkEnd w:id="488"/>
      <w:bookmarkEnd w:id="489"/>
      <w:bookmarkEnd w:id="490"/>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(1)发包人与承包人共同指定的调解机构为：</w:t>
      </w:r>
      <w:r>
        <w:rPr>
          <w:rFonts w:hint="eastAsia" w:cs="Times New Roman"/>
          <w:color w:val="auto"/>
          <w:kern w:val="2"/>
          <w:highlight w:val="none"/>
          <w:u w:val="single"/>
        </w:rPr>
        <w:t xml:space="preserve"> / 。</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(2)发包人或承包人一方不愿调解或调解不成的，应采用下列方式之一解决争议(注：只能选择一种方式，在选定的方式前的“□”内打“</w:t>
      </w:r>
      <w:r>
        <w:rPr>
          <w:rFonts w:ascii="Symbol" w:hAnsi="Symbol" w:cs="Times New Roman"/>
          <w:color w:val="auto"/>
          <w:kern w:val="2"/>
          <w:highlight w:val="none"/>
        </w:rPr>
        <w:sym w:font="Symbol" w:char="F0D6"/>
      </w:r>
      <w:r>
        <w:rPr>
          <w:rFonts w:hint="eastAsia" w:cs="Times New Roman"/>
          <w:color w:val="auto"/>
          <w:kern w:val="2"/>
          <w:highlight w:val="none"/>
        </w:rPr>
        <w:t>”)：</w:t>
      </w:r>
    </w:p>
    <w:p>
      <w:pPr>
        <w:widowControl w:val="0"/>
        <w:adjustRightInd w:val="0"/>
        <w:snapToGrid w:val="0"/>
        <w:spacing w:line="360" w:lineRule="auto"/>
        <w:ind w:left="178" w:firstLine="480"/>
        <w:rPr>
          <w:rFonts w:cs="Times New Roman"/>
          <w:color w:val="auto"/>
          <w:kern w:val="2"/>
          <w:highlight w:val="none"/>
        </w:rPr>
      </w:pPr>
      <w:r>
        <w:rPr>
          <w:rFonts w:cs="Times New Roman"/>
          <w:color w:val="auto"/>
          <w:highlight w:val="none"/>
        </w:rPr>
        <w:drawing>
          <wp:inline distT="0" distB="0" distL="0" distR="0">
            <wp:extent cx="152400" cy="141605"/>
            <wp:effectExtent l="0" t="0" r="0" b="10795"/>
            <wp:docPr id="1421321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81"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color w:val="auto"/>
          <w:kern w:val="2"/>
          <w:highlight w:val="none"/>
        </w:rPr>
        <w:t>提交深圳国际仲裁院(深圳仲裁委员会)仲裁；</w:t>
      </w:r>
    </w:p>
    <w:p>
      <w:pPr>
        <w:widowControl w:val="0"/>
        <w:adjustRightInd w:val="0"/>
        <w:snapToGrid w:val="0"/>
        <w:spacing w:line="360" w:lineRule="auto"/>
        <w:ind w:left="178" w:firstLine="640"/>
        <w:rPr>
          <w:rFonts w:cs="Times New Roman"/>
          <w:color w:val="auto"/>
          <w:kern w:val="2"/>
          <w:highlight w:val="none"/>
        </w:rPr>
      </w:pPr>
      <w:r>
        <w:rPr>
          <w:rFonts w:ascii="Segoe UI Emoji" w:hAnsi="Segoe UI Emoji" w:eastAsia="MS Mincho" w:cs="Segoe UI Emoji"/>
          <w:color w:val="auto"/>
          <w:kern w:val="2"/>
          <w:sz w:val="32"/>
          <w:szCs w:val="21"/>
          <w:highlight w:val="none"/>
        </w:rPr>
        <w:t>☑</w:t>
      </w:r>
      <w:r>
        <w:rPr>
          <w:rFonts w:hint="eastAsia" w:cs="Times New Roman"/>
          <w:color w:val="auto"/>
          <w:kern w:val="2"/>
          <w:highlight w:val="none"/>
        </w:rPr>
        <w:t>向工程所在地人民法院提起诉讼。</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491" w:name="_Toc9650"/>
      <w:bookmarkStart w:id="492" w:name="_Toc19194"/>
      <w:bookmarkStart w:id="493" w:name="_Toc2000019"/>
      <w:bookmarkStart w:id="494" w:name="_Toc46325358"/>
      <w:r>
        <w:rPr>
          <w:rFonts w:hint="eastAsia" w:ascii="Times New Roman" w:cs="Times New Roman"/>
          <w:b/>
          <w:bCs/>
          <w:color w:val="auto"/>
          <w:kern w:val="44"/>
          <w:sz w:val="28"/>
          <w:szCs w:val="28"/>
          <w:highlight w:val="none"/>
        </w:rPr>
        <w:t>31 工程质量缺陷保修</w:t>
      </w:r>
      <w:bookmarkEnd w:id="491"/>
      <w:bookmarkEnd w:id="492"/>
      <w:bookmarkEnd w:id="493"/>
      <w:bookmarkEnd w:id="49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95" w:name="_Toc46325359"/>
      <w:bookmarkStart w:id="496" w:name="_Toc6678"/>
      <w:bookmarkStart w:id="497" w:name="_Toc2000020"/>
      <w:bookmarkStart w:id="498" w:name="_Toc19211"/>
      <w:r>
        <w:rPr>
          <w:rFonts w:hint="eastAsia" w:cs="Times New Roman"/>
          <w:b/>
          <w:bCs/>
          <w:color w:val="auto"/>
          <w:kern w:val="2"/>
          <w:szCs w:val="32"/>
          <w:highlight w:val="none"/>
        </w:rPr>
        <w:t>31.2 缺陷责任期</w:t>
      </w:r>
      <w:bookmarkEnd w:id="495"/>
      <w:bookmarkEnd w:id="496"/>
      <w:bookmarkEnd w:id="497"/>
      <w:bookmarkEnd w:id="498"/>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(1)本工程缺陷责任期期限为：</w:t>
      </w:r>
      <w:r>
        <w:rPr>
          <w:rFonts w:hint="eastAsia" w:cs="Times New Roman"/>
          <w:color w:val="auto"/>
          <w:highlight w:val="none"/>
          <w:u w:val="single"/>
        </w:rPr>
        <w:t>详见合同附件工程质量保修书</w:t>
      </w:r>
      <w:r>
        <w:rPr>
          <w:rFonts w:hint="eastAsia" w:cs="Times New Roman"/>
          <w:color w:val="auto"/>
          <w:kern w:val="2"/>
          <w:highlight w:val="none"/>
        </w:rPr>
        <w:t>；</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(4)承包人向发包人发出缺陷责任期届满通知的时间：</w:t>
      </w:r>
      <w:r>
        <w:rPr>
          <w:rFonts w:hint="eastAsia" w:cs="Times New Roman"/>
          <w:color w:val="auto"/>
          <w:highlight w:val="none"/>
          <w:u w:val="single"/>
        </w:rPr>
        <w:t>详见合同附件工程质量保修书</w:t>
      </w:r>
      <w:r>
        <w:rPr>
          <w:rFonts w:hint="eastAsia" w:cs="Times New Roman"/>
          <w:color w:val="auto"/>
          <w:kern w:val="2"/>
          <w:highlight w:val="non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499" w:name="_Toc46325360"/>
      <w:bookmarkStart w:id="500" w:name="_Toc27632"/>
      <w:bookmarkStart w:id="501" w:name="_Toc5929"/>
      <w:bookmarkStart w:id="502" w:name="_Toc2000021"/>
      <w:r>
        <w:rPr>
          <w:rFonts w:hint="eastAsia" w:cs="Times New Roman"/>
          <w:b/>
          <w:bCs/>
          <w:color w:val="auto"/>
          <w:kern w:val="2"/>
          <w:szCs w:val="32"/>
          <w:highlight w:val="none"/>
        </w:rPr>
        <w:t>31.3 质量保证金</w:t>
      </w:r>
      <w:bookmarkEnd w:id="499"/>
      <w:bookmarkEnd w:id="500"/>
      <w:bookmarkEnd w:id="501"/>
      <w:bookmarkEnd w:id="502"/>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(1)本工程扣留质量保证金的约定：</w:t>
      </w:r>
      <w:r>
        <w:rPr>
          <w:rFonts w:hint="eastAsia" w:ascii="Calibri" w:hAnsi="Calibri" w:cs="Times New Roman"/>
          <w:color w:val="auto"/>
          <w:spacing w:val="1"/>
          <w:kern w:val="2"/>
          <w:highlight w:val="none"/>
          <w:u w:val="single"/>
          <w:lang w:val="zh-TW" w:eastAsia="zh-TW"/>
        </w:rPr>
        <w:t>结算价款的</w:t>
      </w:r>
      <w:r>
        <w:rPr>
          <w:rFonts w:ascii="Calibri" w:hAnsi="Calibri" w:cs="Times New Roman"/>
          <w:color w:val="auto"/>
          <w:spacing w:val="1"/>
          <w:kern w:val="2"/>
          <w:highlight w:val="none"/>
          <w:u w:val="single"/>
          <w:lang w:val="zh-CN"/>
        </w:rPr>
        <w:t>3</w:t>
      </w:r>
      <w:r>
        <w:rPr>
          <w:rFonts w:ascii="Calibri" w:hAnsi="Calibri" w:cs="Times New Roman"/>
          <w:color w:val="auto"/>
          <w:spacing w:val="1"/>
          <w:kern w:val="2"/>
          <w:highlight w:val="none"/>
          <w:u w:val="single"/>
          <w:lang w:val="zh-TW" w:eastAsia="zh-TW"/>
        </w:rPr>
        <w:t>%</w:t>
      </w:r>
      <w:r>
        <w:rPr>
          <w:rFonts w:hint="eastAsia" w:cs="Times New Roman"/>
          <w:color w:val="auto"/>
          <w:kern w:val="2"/>
          <w:highlight w:val="none"/>
        </w:rPr>
        <w:t>；</w:t>
      </w:r>
    </w:p>
    <w:p>
      <w:pPr>
        <w:widowControl w:val="0"/>
        <w:adjustRightInd w:val="0"/>
        <w:snapToGrid w:val="0"/>
        <w:spacing w:line="360" w:lineRule="auto"/>
        <w:ind w:firstLine="360" w:firstLineChars="150"/>
        <w:rPr>
          <w:rFonts w:cs="Times New Roman"/>
          <w:color w:val="auto"/>
          <w:kern w:val="2"/>
          <w:highlight w:val="none"/>
        </w:rPr>
      </w:pPr>
      <w:r>
        <w:rPr>
          <w:rFonts w:hint="eastAsia" w:cs="Times New Roman"/>
          <w:color w:val="auto"/>
          <w:kern w:val="2"/>
          <w:highlight w:val="none"/>
        </w:rPr>
        <w:t xml:space="preserve"> (2)质量保证金的提供方式为：</w:t>
      </w:r>
      <w:r>
        <w:rPr>
          <w:rFonts w:hint="eastAsia" w:cs="Times New Roman"/>
          <w:color w:val="auto"/>
          <w:highlight w:val="none"/>
          <w:u w:val="single"/>
        </w:rPr>
        <w:t>详见合同附件工程质量保修书</w:t>
      </w:r>
      <w:r>
        <w:rPr>
          <w:rFonts w:hint="eastAsia" w:cs="Times New Roman"/>
          <w:color w:val="auto"/>
          <w:kern w:val="2"/>
          <w:highlight w:val="none"/>
        </w:rPr>
        <w:t>；</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(3)质量保证金的扣留方式为：</w:t>
      </w:r>
      <w:r>
        <w:rPr>
          <w:rFonts w:hint="eastAsia" w:cs="Times New Roman"/>
          <w:color w:val="auto"/>
          <w:highlight w:val="none"/>
          <w:u w:val="single"/>
        </w:rPr>
        <w:t>详见合同附件工程质量保修书</w:t>
      </w:r>
      <w:r>
        <w:rPr>
          <w:rFonts w:hint="eastAsia" w:cs="Times New Roman"/>
          <w:color w:val="auto"/>
          <w:kern w:val="2"/>
          <w:highlight w:val="non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03" w:name="_Toc8382"/>
      <w:bookmarkStart w:id="504" w:name="_Toc851"/>
      <w:bookmarkStart w:id="505" w:name="_Toc2000022"/>
      <w:bookmarkStart w:id="506" w:name="_Toc46325361"/>
      <w:r>
        <w:rPr>
          <w:rFonts w:hint="eastAsia" w:cs="Times New Roman"/>
          <w:b/>
          <w:bCs/>
          <w:color w:val="auto"/>
          <w:kern w:val="2"/>
          <w:szCs w:val="32"/>
          <w:highlight w:val="none"/>
        </w:rPr>
        <w:t>31.4 保修责任</w:t>
      </w:r>
      <w:bookmarkEnd w:id="503"/>
      <w:bookmarkEnd w:id="504"/>
      <w:bookmarkEnd w:id="505"/>
      <w:bookmarkEnd w:id="506"/>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本工程分部分项工程保修期为：</w:t>
      </w:r>
      <w:r>
        <w:rPr>
          <w:rFonts w:hint="eastAsia" w:cs="Times New Roman"/>
          <w:color w:val="auto"/>
          <w:highlight w:val="none"/>
          <w:u w:val="single"/>
        </w:rPr>
        <w:t>详见合同附件工程质量保修书。</w:t>
      </w:r>
    </w:p>
    <w:p>
      <w:pPr>
        <w:pStyle w:val="2"/>
        <w:rPr>
          <w:b/>
          <w:color w:val="auto"/>
          <w:highlight w:val="none"/>
        </w:rPr>
      </w:pPr>
      <w:r>
        <w:rPr>
          <w:rFonts w:hint="eastAsia"/>
          <w:b/>
          <w:color w:val="auto"/>
          <w:highlight w:val="none"/>
        </w:rPr>
        <w:t>31.5修复费用</w:t>
      </w:r>
    </w:p>
    <w:p>
      <w:pPr>
        <w:pStyle w:val="2"/>
        <w:rPr>
          <w:color w:val="auto"/>
          <w:highlight w:val="none"/>
        </w:rPr>
      </w:pPr>
      <w:r>
        <w:rPr>
          <w:rFonts w:hint="eastAsia"/>
          <w:color w:val="auto"/>
          <w:highlight w:val="none"/>
        </w:rPr>
        <w:t>（2）保修期内，因发包人使用不当造成工程的缺陷、损坏，可以委托承包人修复，承包人仅收取成本费用；</w:t>
      </w:r>
    </w:p>
    <w:p>
      <w:pPr>
        <w:pStyle w:val="2"/>
        <w:rPr>
          <w:color w:val="auto"/>
          <w:highlight w:val="none"/>
        </w:rPr>
      </w:pPr>
      <w:r>
        <w:rPr>
          <w:rFonts w:hint="eastAsia"/>
          <w:color w:val="auto"/>
          <w:highlight w:val="none"/>
        </w:rPr>
        <w:t>（3）因其他原因造成工程的缺陷、损坏，可以委托承包人修复，承包人仅收取成本费用，因工程的缺陷、损坏造成的人身伤害和财产损失由责任方承担。</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07" w:name="_Toc7412"/>
      <w:bookmarkStart w:id="508" w:name="_Toc27897"/>
      <w:bookmarkStart w:id="509" w:name="_Toc2000023"/>
      <w:bookmarkStart w:id="510" w:name="_Toc46325362"/>
      <w:r>
        <w:rPr>
          <w:rFonts w:hint="eastAsia" w:cs="Times New Roman"/>
          <w:b/>
          <w:bCs/>
          <w:color w:val="auto"/>
          <w:kern w:val="2"/>
          <w:szCs w:val="32"/>
          <w:highlight w:val="none"/>
        </w:rPr>
        <w:t>31.6 修复通知</w:t>
      </w:r>
      <w:bookmarkEnd w:id="507"/>
      <w:bookmarkEnd w:id="508"/>
      <w:bookmarkEnd w:id="509"/>
      <w:bookmarkEnd w:id="510"/>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承包人收到保修通知并到达工程现场的合理时间为：</w:t>
      </w:r>
      <w:r>
        <w:rPr>
          <w:rFonts w:hint="eastAsia" w:cs="Times New Roman"/>
          <w:color w:val="auto"/>
          <w:highlight w:val="none"/>
          <w:u w:val="single"/>
        </w:rPr>
        <w:t>详见合同附件工程质量保修书</w:t>
      </w:r>
      <w:r>
        <w:rPr>
          <w:rFonts w:hint="eastAsia" w:cs="Times New Roman"/>
          <w:color w:val="auto"/>
          <w:kern w:val="2"/>
          <w:highlight w:val="none"/>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511" w:name="_Toc19297"/>
      <w:bookmarkStart w:id="512" w:name="_Toc46325363"/>
      <w:bookmarkStart w:id="513" w:name="_Toc1676"/>
      <w:bookmarkStart w:id="514" w:name="_Toc2000024"/>
      <w:r>
        <w:rPr>
          <w:rFonts w:hint="eastAsia" w:ascii="Times New Roman" w:cs="Times New Roman"/>
          <w:b/>
          <w:bCs/>
          <w:color w:val="auto"/>
          <w:kern w:val="44"/>
          <w:sz w:val="28"/>
          <w:szCs w:val="28"/>
          <w:highlight w:val="none"/>
        </w:rPr>
        <w:t>32 不可抗力</w:t>
      </w:r>
      <w:bookmarkEnd w:id="511"/>
      <w:bookmarkEnd w:id="512"/>
      <w:bookmarkEnd w:id="513"/>
      <w:bookmarkEnd w:id="51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15" w:name="_Toc21360"/>
      <w:bookmarkStart w:id="516" w:name="_Toc2000025"/>
      <w:bookmarkStart w:id="517" w:name="_Toc46325364"/>
      <w:bookmarkStart w:id="518" w:name="_Toc15899"/>
      <w:r>
        <w:rPr>
          <w:rFonts w:hint="eastAsia" w:cs="Times New Roman"/>
          <w:b/>
          <w:bCs/>
          <w:color w:val="auto"/>
          <w:kern w:val="2"/>
          <w:szCs w:val="32"/>
          <w:highlight w:val="none"/>
        </w:rPr>
        <w:t>32.1 不可抗力包括范围</w:t>
      </w:r>
      <w:bookmarkEnd w:id="515"/>
      <w:bookmarkEnd w:id="516"/>
      <w:bookmarkEnd w:id="517"/>
      <w:bookmarkEnd w:id="518"/>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发包人与承包人约定的其他不可抗力：</w:t>
      </w:r>
    </w:p>
    <w:p>
      <w:pPr>
        <w:widowControl w:val="0"/>
        <w:adjustRightInd w:val="0"/>
        <w:snapToGrid w:val="0"/>
        <w:spacing w:line="360" w:lineRule="auto"/>
        <w:ind w:firstLine="480"/>
        <w:rPr>
          <w:rFonts w:cs="Times New Roman"/>
          <w:color w:val="auto"/>
          <w:kern w:val="2"/>
          <w:highlight w:val="none"/>
        </w:rPr>
      </w:pPr>
      <w:r>
        <w:rPr>
          <w:rFonts w:hint="eastAsia" w:cs="Times New Roman"/>
          <w:color w:val="auto"/>
          <w:kern w:val="2"/>
          <w:highlight w:val="none"/>
        </w:rPr>
        <w:t>(1)平均风力</w:t>
      </w:r>
      <w:r>
        <w:rPr>
          <w:rFonts w:hint="eastAsia" w:cs="Times New Roman"/>
          <w:color w:val="auto"/>
          <w:kern w:val="2"/>
          <w:highlight w:val="none"/>
          <w:u w:val="single"/>
        </w:rPr>
        <w:t xml:space="preserve"> 8 </w:t>
      </w:r>
      <w:r>
        <w:rPr>
          <w:rFonts w:hint="eastAsia" w:cs="Times New Roman"/>
          <w:color w:val="auto"/>
          <w:kern w:val="2"/>
          <w:highlight w:val="none"/>
        </w:rPr>
        <w:t>级以上的大风(一般为8级)；</w:t>
      </w:r>
    </w:p>
    <w:p>
      <w:pPr>
        <w:widowControl w:val="0"/>
        <w:adjustRightInd w:val="0"/>
        <w:snapToGrid w:val="0"/>
        <w:spacing w:line="360" w:lineRule="auto"/>
        <w:ind w:firstLine="480"/>
        <w:rPr>
          <w:rFonts w:cs="Times New Roman"/>
          <w:color w:val="auto"/>
          <w:kern w:val="2"/>
          <w:highlight w:val="none"/>
        </w:rPr>
      </w:pPr>
      <w:r>
        <w:rPr>
          <w:rFonts w:cs="Times New Roman"/>
          <w:color w:val="auto"/>
          <w:kern w:val="2"/>
          <w:highlight w:val="none"/>
        </w:rPr>
        <w:t>(2)3个小时内降雨量为 50mm 以上的暴雨(一般为50mm)；</w:t>
      </w:r>
    </w:p>
    <w:p>
      <w:pPr>
        <w:widowControl w:val="0"/>
        <w:adjustRightInd w:val="0"/>
        <w:snapToGrid w:val="0"/>
        <w:spacing w:line="360" w:lineRule="auto"/>
        <w:ind w:firstLine="480"/>
        <w:rPr>
          <w:rFonts w:cs="Times New Roman"/>
          <w:color w:val="auto"/>
          <w:kern w:val="2"/>
          <w:highlight w:val="none"/>
        </w:rPr>
      </w:pPr>
      <w:r>
        <w:rPr>
          <w:rFonts w:cs="Times New Roman"/>
          <w:color w:val="auto"/>
          <w:kern w:val="2"/>
          <w:highlight w:val="none"/>
        </w:rPr>
        <w:t>(3) 38摄氏度以上的高温天气(一般为37摄氏度)；</w:t>
      </w:r>
    </w:p>
    <w:p>
      <w:pPr>
        <w:widowControl w:val="0"/>
        <w:adjustRightInd w:val="0"/>
        <w:snapToGrid w:val="0"/>
        <w:spacing w:line="360" w:lineRule="auto"/>
        <w:ind w:firstLine="480"/>
        <w:rPr>
          <w:rFonts w:cs="Times New Roman"/>
          <w:color w:val="auto"/>
          <w:kern w:val="2"/>
          <w:highlight w:val="none"/>
        </w:rPr>
      </w:pPr>
      <w:r>
        <w:rPr>
          <w:rFonts w:cs="Times New Roman"/>
          <w:color w:val="auto"/>
          <w:kern w:val="2"/>
          <w:highlight w:val="none"/>
        </w:rPr>
        <w:t>(4)</w:t>
      </w:r>
      <w:r>
        <w:rPr>
          <w:rFonts w:hint="eastAsia" w:cs="Times New Roman"/>
          <w:color w:val="auto"/>
          <w:kern w:val="2"/>
          <w:highlight w:val="none"/>
        </w:rPr>
        <w:t>其它：</w:t>
      </w:r>
      <w:r>
        <w:rPr>
          <w:rFonts w:hint="eastAsia"/>
          <w:color w:val="auto"/>
          <w:kern w:val="2"/>
          <w:highlight w:val="none"/>
          <w:u w:val="single"/>
        </w:rPr>
        <w:t>按照法律约束的不可抗力的规定。同时以上数据以深圳市气象局发布或提供的数据为准。</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519" w:name="_Toc30300"/>
      <w:bookmarkStart w:id="520" w:name="_Toc46325365"/>
      <w:bookmarkStart w:id="521" w:name="_Toc2000026"/>
      <w:bookmarkStart w:id="522" w:name="_Toc2134"/>
      <w:r>
        <w:rPr>
          <w:rFonts w:hint="eastAsia" w:ascii="Times New Roman" w:cs="Times New Roman"/>
          <w:b/>
          <w:bCs/>
          <w:color w:val="auto"/>
          <w:kern w:val="44"/>
          <w:sz w:val="28"/>
          <w:szCs w:val="28"/>
          <w:highlight w:val="none"/>
        </w:rPr>
        <w:t>33 工程保险</w:t>
      </w:r>
      <w:bookmarkEnd w:id="519"/>
      <w:bookmarkEnd w:id="520"/>
      <w:bookmarkEnd w:id="521"/>
      <w:bookmarkEnd w:id="522"/>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23" w:name="_Toc2000027"/>
      <w:bookmarkStart w:id="524" w:name="_Toc7382"/>
      <w:bookmarkStart w:id="525" w:name="_Toc46325366"/>
      <w:bookmarkStart w:id="526" w:name="_Toc46325369"/>
      <w:bookmarkStart w:id="527" w:name="_Toc2000028"/>
      <w:r>
        <w:rPr>
          <w:rFonts w:hint="eastAsia" w:cs="Times New Roman"/>
          <w:b/>
          <w:bCs/>
          <w:color w:val="auto"/>
          <w:kern w:val="2"/>
          <w:szCs w:val="32"/>
          <w:highlight w:val="none"/>
        </w:rPr>
        <w:t>33.1 发包人办理的保险</w:t>
      </w:r>
      <w:bookmarkEnd w:id="523"/>
      <w:bookmarkEnd w:id="524"/>
      <w:bookmarkEnd w:id="525"/>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发包人委托承包人办理的保险事项的约定：</w:t>
      </w:r>
      <w:r>
        <w:rPr>
          <w:rFonts w:hint="eastAsia" w:cs="Times New Roman"/>
          <w:color w:val="auto"/>
          <w:highlight w:val="none"/>
          <w:u w:val="single"/>
        </w:rPr>
        <w:t>建筑安装工程一切险（其保险金额应为本合同工程的全部重置成本费用）、第三者责任险、</w:t>
      </w:r>
      <w:r>
        <w:rPr>
          <w:rFonts w:hint="eastAsia" w:cs="Times New Roman"/>
          <w:color w:val="auto"/>
          <w:kern w:val="2"/>
          <w:highlight w:val="none"/>
          <w:u w:val="single"/>
        </w:rPr>
        <w:t>安全生产责任险</w:t>
      </w:r>
      <w:r>
        <w:rPr>
          <w:rFonts w:hint="eastAsia" w:cs="Times New Roman"/>
          <w:color w:val="auto"/>
          <w:highlight w:val="none"/>
          <w:u w:val="single"/>
        </w:rPr>
        <w:t>等项目所有需由发包人办理的保险，均由发包人委托承包人办理，所办理保险受益人为发包人。</w:t>
      </w:r>
      <w:r>
        <w:rPr>
          <w:rFonts w:hint="eastAsia" w:cs="Times New Roman"/>
          <w:b/>
          <w:bCs/>
          <w:color w:val="auto"/>
          <w:highlight w:val="none"/>
          <w:u w:val="single"/>
        </w:rPr>
        <w:t>所有工程保险费用均已在合同价中综合考虑，不再另行计算。</w:t>
      </w:r>
      <w:r>
        <w:rPr>
          <w:rFonts w:hint="eastAsia" w:cs="Times New Roman"/>
          <w:color w:val="auto"/>
          <w:highlight w:val="none"/>
          <w:u w:val="single"/>
        </w:rPr>
        <w:t>无论什么原因，若承保工程一旦出险，承包人必须第一时间向监理工程师、发包人、发包人的保险顾问、承保人报告，对出险现场具有及时抢险、防止风险扩大和临时看管义务，对监理工程师、发包人或发包人的保险顾问负有配合义务，对于涉及发包人的权利的损害，承包人有义务协助发包人做好向保险公司的索赔工作。</w:t>
      </w:r>
      <w:r>
        <w:rPr>
          <w:rFonts w:hint="eastAsia" w:cs="Times New Roman"/>
          <w:color w:val="auto"/>
          <w:kern w:val="2"/>
          <w:highlight w:val="none"/>
          <w:u w:val="single"/>
        </w:rPr>
        <w:t>承包人应保证投保标准足够及保险合同持续有效，否则</w:t>
      </w:r>
      <w:r>
        <w:rPr>
          <w:rFonts w:hint="eastAsia" w:cs="Times New Roman"/>
          <w:color w:val="auto"/>
          <w:highlight w:val="none"/>
          <w:u w:val="single"/>
        </w:rPr>
        <w:t>造成保险不能索赔或索赔额不足，则由承包人负责赔偿因此造成的一切损失。</w:t>
      </w:r>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highlight w:val="none"/>
          <w:u w:val="single"/>
        </w:rPr>
        <w:t>保险合同约定的保险责任范围应当包括工地范围内的全部财产的物质损坏或灭失以及所产生的费用；因发生与所承保工程直接相关的意外事故引起工地内及邻近区域（包括工地邻近的建（构）筑物及设施设备）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支付的损失赔偿费、抚恤费和承担法律责任，发包人不承担该项责任。</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highlight w:val="none"/>
          <w:u w:val="single"/>
        </w:rPr>
        <w:t>发包人支付的预付款已包含保险费用，承包人应在收到开工令后一个月内购买保险，</w:t>
      </w:r>
      <w:r>
        <w:rPr>
          <w:rFonts w:hint="eastAsia" w:cs="Times New Roman"/>
          <w:color w:val="auto"/>
          <w:kern w:val="2"/>
          <w:highlight w:val="none"/>
          <w:u w:val="single"/>
        </w:rPr>
        <w:t>投保的保单应报监理人和发包人备案。</w:t>
      </w:r>
      <w:r>
        <w:rPr>
          <w:rFonts w:hint="eastAsia" w:cs="Times New Roman"/>
          <w:color w:val="auto"/>
          <w:highlight w:val="none"/>
          <w:u w:val="single"/>
        </w:rPr>
        <w:t>发包人在核实承包人的保险单原件后才予以支付首期工程进度款。</w:t>
      </w:r>
    </w:p>
    <w:p>
      <w:pPr>
        <w:widowControl w:val="0"/>
        <w:adjustRightInd w:val="0"/>
        <w:snapToGrid w:val="0"/>
        <w:spacing w:line="360" w:lineRule="auto"/>
        <w:ind w:firstLine="480"/>
        <w:rPr>
          <w:color w:val="auto"/>
          <w:kern w:val="2"/>
          <w:highlight w:val="none"/>
          <w:u w:val="single"/>
        </w:rPr>
      </w:pPr>
      <w:r>
        <w:rPr>
          <w:rFonts w:hint="eastAsia"/>
          <w:color w:val="auto"/>
          <w:kern w:val="2"/>
          <w:highlight w:val="none"/>
        </w:rPr>
        <w:t>本工程发包人委托承包人办理的保险事项：</w:t>
      </w:r>
    </w:p>
    <w:p>
      <w:pPr>
        <w:widowControl w:val="0"/>
        <w:adjustRightInd w:val="0"/>
        <w:snapToGrid w:val="0"/>
        <w:spacing w:line="360" w:lineRule="auto"/>
        <w:ind w:firstLine="480"/>
        <w:rPr>
          <w:color w:val="auto"/>
          <w:kern w:val="2"/>
          <w:highlight w:val="none"/>
        </w:rPr>
      </w:pPr>
      <w:r>
        <w:rPr>
          <w:rFonts w:ascii="Segoe UI Emoji" w:hAnsi="Segoe UI Emoji"/>
          <w:color w:val="auto"/>
          <w:kern w:val="2"/>
          <w:sz w:val="32"/>
          <w:highlight w:val="none"/>
        </w:rPr>
        <w:t>☑</w:t>
      </w:r>
      <w:r>
        <w:rPr>
          <w:rFonts w:hint="eastAsia"/>
          <w:color w:val="auto"/>
          <w:kern w:val="2"/>
          <w:highlight w:val="none"/>
        </w:rPr>
        <w:t>建筑工程一切险；</w:t>
      </w:r>
    </w:p>
    <w:p>
      <w:pPr>
        <w:widowControl w:val="0"/>
        <w:adjustRightInd w:val="0"/>
        <w:snapToGrid w:val="0"/>
        <w:spacing w:line="360" w:lineRule="auto"/>
        <w:ind w:firstLine="480"/>
        <w:rPr>
          <w:color w:val="auto"/>
          <w:kern w:val="2"/>
          <w:highlight w:val="none"/>
        </w:rPr>
      </w:pPr>
      <w:r>
        <w:rPr>
          <w:rFonts w:hint="eastAsia"/>
          <w:color w:val="auto"/>
          <w:kern w:val="2"/>
          <w:highlight w:val="none"/>
        </w:rPr>
        <w:t>该项保险保险费：</w:t>
      </w:r>
      <w:r>
        <w:rPr>
          <w:rFonts w:ascii="Segoe UI Emoji" w:hAnsi="Segoe UI Emoji"/>
          <w:color w:val="auto"/>
          <w:kern w:val="2"/>
          <w:sz w:val="32"/>
          <w:highlight w:val="none"/>
        </w:rPr>
        <w:t>☑</w:t>
      </w:r>
      <w:r>
        <w:rPr>
          <w:rFonts w:hint="eastAsia"/>
          <w:color w:val="auto"/>
          <w:kern w:val="2"/>
          <w:highlight w:val="none"/>
        </w:rPr>
        <w:t>已包含在投标报价</w:t>
      </w:r>
      <w:r>
        <w:rPr>
          <w:color w:val="auto"/>
          <w:kern w:val="2"/>
          <w:highlight w:val="none"/>
        </w:rPr>
        <w:t>(签约合同价)中，结算时不予调整；</w:t>
      </w:r>
    </w:p>
    <w:p>
      <w:pPr>
        <w:widowControl w:val="0"/>
        <w:adjustRightInd w:val="0"/>
        <w:snapToGrid w:val="0"/>
        <w:spacing w:line="360" w:lineRule="auto"/>
        <w:ind w:firstLine="2400" w:firstLineChars="1000"/>
        <w:rPr>
          <w:color w:val="auto"/>
          <w:kern w:val="2"/>
          <w:highlight w:val="none"/>
        </w:rPr>
      </w:pPr>
      <w:r>
        <w:rPr>
          <w:rFonts w:hint="eastAsia"/>
          <w:color w:val="auto"/>
          <w:kern w:val="2"/>
          <w:highlight w:val="none"/>
        </w:rPr>
        <w:t>□未包含在投标报价</w:t>
      </w:r>
      <w:r>
        <w:rPr>
          <w:color w:val="auto"/>
          <w:kern w:val="2"/>
          <w:highlight w:val="none"/>
        </w:rPr>
        <w:t>(签约合同价)中，由发包人另行支付；</w:t>
      </w:r>
    </w:p>
    <w:p>
      <w:pPr>
        <w:widowControl w:val="0"/>
        <w:adjustRightInd w:val="0"/>
        <w:snapToGrid w:val="0"/>
        <w:spacing w:line="360" w:lineRule="auto"/>
        <w:ind w:firstLine="480"/>
        <w:rPr>
          <w:color w:val="auto"/>
          <w:kern w:val="2"/>
          <w:highlight w:val="none"/>
        </w:rPr>
      </w:pPr>
      <w:r>
        <w:rPr>
          <w:rFonts w:ascii="Segoe UI Emoji" w:hAnsi="Segoe UI Emoji"/>
          <w:color w:val="auto"/>
          <w:kern w:val="2"/>
          <w:sz w:val="32"/>
          <w:highlight w:val="none"/>
        </w:rPr>
        <w:t>☑</w:t>
      </w:r>
      <w:r>
        <w:rPr>
          <w:rFonts w:hint="eastAsia"/>
          <w:color w:val="auto"/>
          <w:kern w:val="2"/>
          <w:highlight w:val="none"/>
        </w:rPr>
        <w:t>安装工程一切险；</w:t>
      </w:r>
    </w:p>
    <w:p>
      <w:pPr>
        <w:widowControl w:val="0"/>
        <w:adjustRightInd w:val="0"/>
        <w:snapToGrid w:val="0"/>
        <w:spacing w:line="360" w:lineRule="auto"/>
        <w:ind w:firstLine="480"/>
        <w:rPr>
          <w:color w:val="auto"/>
          <w:kern w:val="2"/>
          <w:highlight w:val="none"/>
        </w:rPr>
      </w:pPr>
      <w:r>
        <w:rPr>
          <w:rFonts w:hint="eastAsia"/>
          <w:color w:val="auto"/>
          <w:kern w:val="2"/>
          <w:highlight w:val="none"/>
        </w:rPr>
        <w:t>该项保险保险费：</w:t>
      </w:r>
      <w:r>
        <w:rPr>
          <w:rFonts w:ascii="Segoe UI Emoji" w:hAnsi="Segoe UI Emoji"/>
          <w:color w:val="auto"/>
          <w:kern w:val="2"/>
          <w:sz w:val="32"/>
          <w:highlight w:val="none"/>
        </w:rPr>
        <w:t>☑</w:t>
      </w:r>
      <w:r>
        <w:rPr>
          <w:rFonts w:hint="eastAsia"/>
          <w:color w:val="auto"/>
          <w:kern w:val="2"/>
          <w:highlight w:val="none"/>
        </w:rPr>
        <w:t>已包含在投标报价中</w:t>
      </w:r>
      <w:r>
        <w:rPr>
          <w:color w:val="auto"/>
          <w:kern w:val="2"/>
          <w:highlight w:val="none"/>
        </w:rPr>
        <w:t>(签约合同价)，结算时不予调整；</w:t>
      </w:r>
    </w:p>
    <w:p>
      <w:pPr>
        <w:widowControl w:val="0"/>
        <w:adjustRightInd w:val="0"/>
        <w:snapToGrid w:val="0"/>
        <w:spacing w:line="360" w:lineRule="auto"/>
        <w:ind w:firstLine="2400" w:firstLineChars="1000"/>
        <w:rPr>
          <w:color w:val="auto"/>
          <w:kern w:val="2"/>
          <w:highlight w:val="none"/>
        </w:rPr>
      </w:pPr>
      <w:r>
        <w:rPr>
          <w:rFonts w:hint="eastAsia"/>
          <w:color w:val="auto"/>
          <w:kern w:val="2"/>
          <w:highlight w:val="none"/>
        </w:rPr>
        <w:t>□未包含在投标报价中</w:t>
      </w:r>
      <w:r>
        <w:rPr>
          <w:color w:val="auto"/>
          <w:kern w:val="2"/>
          <w:highlight w:val="none"/>
        </w:rPr>
        <w:t>(签约合同价)，由发包人另行支付；</w:t>
      </w:r>
    </w:p>
    <w:p>
      <w:pPr>
        <w:widowControl w:val="0"/>
        <w:adjustRightInd w:val="0"/>
        <w:snapToGrid w:val="0"/>
        <w:spacing w:line="360" w:lineRule="auto"/>
        <w:ind w:firstLine="480"/>
        <w:rPr>
          <w:color w:val="auto"/>
          <w:kern w:val="2"/>
          <w:highlight w:val="none"/>
        </w:rPr>
      </w:pPr>
      <w:r>
        <w:rPr>
          <w:rFonts w:ascii="Segoe UI Emoji" w:hAnsi="Segoe UI Emoji"/>
          <w:color w:val="auto"/>
          <w:kern w:val="2"/>
          <w:sz w:val="32"/>
          <w:highlight w:val="none"/>
        </w:rPr>
        <w:t>☑</w:t>
      </w:r>
      <w:r>
        <w:rPr>
          <w:rFonts w:hint="eastAsia"/>
          <w:color w:val="auto"/>
          <w:kern w:val="2"/>
          <w:highlight w:val="none"/>
        </w:rPr>
        <w:t>第三者责任险；</w:t>
      </w:r>
    </w:p>
    <w:p>
      <w:pPr>
        <w:widowControl w:val="0"/>
        <w:adjustRightInd w:val="0"/>
        <w:snapToGrid w:val="0"/>
        <w:spacing w:line="360" w:lineRule="auto"/>
        <w:ind w:firstLine="480"/>
        <w:rPr>
          <w:color w:val="auto"/>
          <w:kern w:val="2"/>
          <w:highlight w:val="none"/>
        </w:rPr>
      </w:pPr>
      <w:r>
        <w:rPr>
          <w:rFonts w:hint="eastAsia"/>
          <w:color w:val="auto"/>
          <w:kern w:val="2"/>
          <w:highlight w:val="none"/>
        </w:rPr>
        <w:t>该项保险保险费：</w:t>
      </w:r>
      <w:r>
        <w:rPr>
          <w:rFonts w:ascii="Segoe UI Emoji" w:hAnsi="Segoe UI Emoji"/>
          <w:color w:val="auto"/>
          <w:kern w:val="2"/>
          <w:sz w:val="32"/>
          <w:highlight w:val="none"/>
        </w:rPr>
        <w:t>☑</w:t>
      </w:r>
      <w:r>
        <w:rPr>
          <w:rFonts w:hint="eastAsia"/>
          <w:color w:val="auto"/>
          <w:kern w:val="2"/>
          <w:highlight w:val="none"/>
        </w:rPr>
        <w:t>已包含在投标报价中</w:t>
      </w:r>
      <w:r>
        <w:rPr>
          <w:color w:val="auto"/>
          <w:kern w:val="2"/>
          <w:highlight w:val="none"/>
        </w:rPr>
        <w:t>(签约合同价)，结算时不予调整；</w:t>
      </w:r>
    </w:p>
    <w:p>
      <w:pPr>
        <w:widowControl w:val="0"/>
        <w:adjustRightInd w:val="0"/>
        <w:snapToGrid w:val="0"/>
        <w:spacing w:line="360" w:lineRule="auto"/>
        <w:ind w:firstLine="2400" w:firstLineChars="1000"/>
        <w:rPr>
          <w:color w:val="auto"/>
          <w:kern w:val="2"/>
          <w:highlight w:val="none"/>
        </w:rPr>
      </w:pPr>
      <w:r>
        <w:rPr>
          <w:rFonts w:hint="eastAsia"/>
          <w:color w:val="auto"/>
          <w:kern w:val="2"/>
          <w:highlight w:val="none"/>
        </w:rPr>
        <w:t>□未包含在投标报价中</w:t>
      </w:r>
      <w:r>
        <w:rPr>
          <w:color w:val="auto"/>
          <w:kern w:val="2"/>
          <w:highlight w:val="none"/>
        </w:rPr>
        <w:t>(签约合同价)，由发包人另行支付；</w:t>
      </w:r>
    </w:p>
    <w:p>
      <w:pPr>
        <w:widowControl w:val="0"/>
        <w:adjustRightInd w:val="0"/>
        <w:snapToGrid w:val="0"/>
        <w:spacing w:line="360" w:lineRule="auto"/>
        <w:ind w:firstLine="480"/>
        <w:rPr>
          <w:color w:val="auto"/>
          <w:kern w:val="2"/>
          <w:highlight w:val="none"/>
        </w:rPr>
      </w:pPr>
      <w:r>
        <w:rPr>
          <w:rFonts w:ascii="Segoe UI Emoji" w:hAnsi="Segoe UI Emoji"/>
          <w:color w:val="auto"/>
          <w:kern w:val="2"/>
          <w:sz w:val="32"/>
          <w:highlight w:val="none"/>
        </w:rPr>
        <w:t>☑</w:t>
      </w:r>
      <w:r>
        <w:rPr>
          <w:rFonts w:hint="eastAsia"/>
          <w:color w:val="auto"/>
          <w:kern w:val="2"/>
          <w:highlight w:val="none"/>
        </w:rPr>
        <w:t>安全生产责任险；</w:t>
      </w:r>
    </w:p>
    <w:p>
      <w:pPr>
        <w:widowControl w:val="0"/>
        <w:adjustRightInd w:val="0"/>
        <w:snapToGrid w:val="0"/>
        <w:spacing w:line="360" w:lineRule="auto"/>
        <w:ind w:firstLine="480"/>
        <w:rPr>
          <w:color w:val="auto"/>
          <w:kern w:val="2"/>
          <w:highlight w:val="none"/>
        </w:rPr>
      </w:pPr>
      <w:r>
        <w:rPr>
          <w:rFonts w:hint="eastAsia"/>
          <w:color w:val="auto"/>
          <w:kern w:val="2"/>
          <w:highlight w:val="none"/>
        </w:rPr>
        <w:t>该项保险保险费：</w:t>
      </w:r>
      <w:r>
        <w:rPr>
          <w:rFonts w:ascii="Segoe UI Emoji" w:hAnsi="Segoe UI Emoji"/>
          <w:color w:val="auto"/>
          <w:kern w:val="2"/>
          <w:sz w:val="32"/>
          <w:highlight w:val="none"/>
        </w:rPr>
        <w:t>☑</w:t>
      </w:r>
      <w:r>
        <w:rPr>
          <w:rFonts w:hint="eastAsia"/>
          <w:color w:val="auto"/>
          <w:kern w:val="2"/>
          <w:highlight w:val="none"/>
        </w:rPr>
        <w:t>已包含在投标报价中</w:t>
      </w:r>
      <w:r>
        <w:rPr>
          <w:color w:val="auto"/>
          <w:kern w:val="2"/>
          <w:highlight w:val="none"/>
        </w:rPr>
        <w:t>(签约合同价)，结算时不予调整；</w:t>
      </w:r>
    </w:p>
    <w:p>
      <w:pPr>
        <w:widowControl w:val="0"/>
        <w:adjustRightInd w:val="0"/>
        <w:snapToGrid w:val="0"/>
        <w:spacing w:line="360" w:lineRule="auto"/>
        <w:ind w:firstLine="2400" w:firstLineChars="1000"/>
        <w:rPr>
          <w:color w:val="auto"/>
          <w:kern w:val="2"/>
          <w:highlight w:val="none"/>
        </w:rPr>
      </w:pPr>
      <w:r>
        <w:rPr>
          <w:rFonts w:hint="eastAsia"/>
          <w:color w:val="auto"/>
          <w:kern w:val="2"/>
          <w:highlight w:val="none"/>
        </w:rPr>
        <w:t>□未包含在投标报价中</w:t>
      </w:r>
      <w:r>
        <w:rPr>
          <w:color w:val="auto"/>
          <w:kern w:val="2"/>
          <w:highlight w:val="none"/>
        </w:rPr>
        <w:t>(签约合同价)，由发包人另行支付；</w:t>
      </w:r>
    </w:p>
    <w:p>
      <w:pPr>
        <w:widowControl w:val="0"/>
        <w:adjustRightInd w:val="0"/>
        <w:snapToGrid w:val="0"/>
        <w:spacing w:line="360" w:lineRule="auto"/>
        <w:ind w:firstLine="480"/>
        <w:rPr>
          <w:color w:val="auto"/>
          <w:kern w:val="2"/>
          <w:highlight w:val="none"/>
        </w:rPr>
      </w:pPr>
      <w:r>
        <w:rPr>
          <w:rFonts w:ascii="Segoe UI Emoji" w:hAnsi="Segoe UI Emoji"/>
          <w:color w:val="auto"/>
          <w:kern w:val="2"/>
          <w:sz w:val="32"/>
          <w:highlight w:val="none"/>
        </w:rPr>
        <w:t>☑</w:t>
      </w:r>
      <w:r>
        <w:rPr>
          <w:rFonts w:hint="eastAsia"/>
          <w:color w:val="auto"/>
          <w:kern w:val="2"/>
          <w:highlight w:val="none"/>
        </w:rPr>
        <w:t>其他：所有需要办理的保险。</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28" w:name="_Toc46325367"/>
      <w:bookmarkStart w:id="529" w:name="_Toc16827"/>
      <w:r>
        <w:rPr>
          <w:rFonts w:hint="eastAsia" w:cs="Times New Roman"/>
          <w:b/>
          <w:bCs/>
          <w:color w:val="auto"/>
          <w:kern w:val="2"/>
          <w:szCs w:val="32"/>
          <w:highlight w:val="none"/>
        </w:rPr>
        <w:t>33.</w:t>
      </w:r>
      <w:r>
        <w:rPr>
          <w:rFonts w:cs="Times New Roman"/>
          <w:b/>
          <w:bCs/>
          <w:color w:val="auto"/>
          <w:kern w:val="2"/>
          <w:szCs w:val="32"/>
          <w:highlight w:val="none"/>
        </w:rPr>
        <w:t>2</w:t>
      </w:r>
      <w:r>
        <w:rPr>
          <w:rFonts w:hint="eastAsia" w:cs="Times New Roman"/>
          <w:b/>
          <w:bCs/>
          <w:color w:val="auto"/>
          <w:kern w:val="2"/>
          <w:szCs w:val="32"/>
          <w:highlight w:val="none"/>
        </w:rPr>
        <w:t xml:space="preserve"> 承包人办理的保险</w:t>
      </w:r>
      <w:bookmarkEnd w:id="528"/>
      <w:bookmarkEnd w:id="529"/>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33.2增加：</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highlight w:val="none"/>
          <w:u w:val="single"/>
        </w:rPr>
        <w:t>承包人必须为从事危险工作的职工办理意外伤害保险</w:t>
      </w:r>
      <w:r>
        <w:rPr>
          <w:rFonts w:hint="eastAsia" w:cs="Times New Roman"/>
          <w:color w:val="auto"/>
          <w:kern w:val="2"/>
          <w:highlight w:val="none"/>
          <w:u w:val="single"/>
        </w:rPr>
        <w:t>；</w:t>
      </w:r>
      <w:r>
        <w:rPr>
          <w:rFonts w:hint="eastAsia" w:cs="Times New Roman"/>
          <w:color w:val="auto"/>
          <w:highlight w:val="none"/>
          <w:u w:val="single"/>
        </w:rPr>
        <w:t>承包人</w:t>
      </w:r>
      <w:r>
        <w:rPr>
          <w:rFonts w:hint="eastAsia" w:cs="Times New Roman"/>
          <w:color w:val="auto"/>
          <w:kern w:val="2"/>
          <w:highlight w:val="none"/>
          <w:u w:val="single"/>
        </w:rPr>
        <w:t>必须严格执行《深圳市建筑施工企业农民工参加工伤保险试行办法》的有关规定在工程开工前为本企业雇用的从事建筑施工的农民工参加工伤保险（一次性足额缴费参保）；</w:t>
      </w:r>
      <w:r>
        <w:rPr>
          <w:rFonts w:hint="eastAsia" w:cs="Times New Roman"/>
          <w:color w:val="auto"/>
          <w:highlight w:val="none"/>
          <w:u w:val="single"/>
        </w:rPr>
        <w:t>承</w:t>
      </w:r>
      <w:r>
        <w:rPr>
          <w:rFonts w:hint="eastAsia" w:cs="Times New Roman"/>
          <w:color w:val="auto"/>
          <w:kern w:val="2"/>
          <w:highlight w:val="none"/>
          <w:u w:val="single"/>
        </w:rPr>
        <w:t>包人必须足额（投保金额应足以现场重置）</w:t>
      </w:r>
      <w:r>
        <w:rPr>
          <w:rFonts w:hint="eastAsia" w:cs="Times New Roman"/>
          <w:color w:val="auto"/>
          <w:highlight w:val="none"/>
          <w:u w:val="single"/>
        </w:rPr>
        <w:t>为施工场地内的所有各项施工机械设备、进场材料和工程设备办理保险，为施工项目部门用车购买全险。</w:t>
      </w:r>
      <w:r>
        <w:rPr>
          <w:rFonts w:hint="eastAsia" w:cs="Times New Roman"/>
          <w:color w:val="auto"/>
          <w:kern w:val="2"/>
          <w:highlight w:val="none"/>
          <w:u w:val="single"/>
        </w:rPr>
        <w:t>承包人应保证投保标准足够及保险合同持续有效，否则承包人承担由此引起的一切责任和后果。无论该保险能否索赔或足额索赔，承包人均不能因此向发包人提出任何索赔要求。</w:t>
      </w:r>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承包人投保的保单应报监理人和发包人备案。</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30" w:name="_Toc46325368"/>
      <w:bookmarkStart w:id="531" w:name="_Toc8924"/>
      <w:r>
        <w:rPr>
          <w:rFonts w:hint="eastAsia" w:cs="Times New Roman"/>
          <w:b/>
          <w:bCs/>
          <w:color w:val="auto"/>
          <w:kern w:val="2"/>
          <w:szCs w:val="32"/>
          <w:highlight w:val="none"/>
        </w:rPr>
        <w:t>33.</w:t>
      </w:r>
      <w:r>
        <w:rPr>
          <w:rFonts w:cs="Times New Roman"/>
          <w:b/>
          <w:bCs/>
          <w:color w:val="auto"/>
          <w:kern w:val="2"/>
          <w:szCs w:val="32"/>
          <w:highlight w:val="none"/>
        </w:rPr>
        <w:t>3</w:t>
      </w:r>
      <w:r>
        <w:rPr>
          <w:rFonts w:hint="eastAsia" w:cs="Times New Roman"/>
          <w:b/>
          <w:bCs/>
          <w:color w:val="auto"/>
          <w:kern w:val="2"/>
          <w:szCs w:val="32"/>
          <w:highlight w:val="none"/>
        </w:rPr>
        <w:t xml:space="preserve"> 投保人责任</w:t>
      </w:r>
      <w:bookmarkEnd w:id="530"/>
      <w:bookmarkEnd w:id="531"/>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删除通用条款33.3款第⑵项并将其修改为：“当工程施工的性质、规模或计划发生变更时，承包人应及时通知承保人，并在整个期间按合同条款保证足够的保险额，所需保费增加的风险由承包人在签约合同价中综合考虑，包干报价。在发生上述通知前，如需对各项保险做任何变动，应事先征得发包人同意，并通知监理人”。</w:t>
      </w:r>
    </w:p>
    <w:p>
      <w:pPr>
        <w:widowControl w:val="0"/>
        <w:tabs>
          <w:tab w:val="left" w:pos="540"/>
          <w:tab w:val="left" w:pos="900"/>
          <w:tab w:val="left" w:pos="2340"/>
          <w:tab w:val="left" w:pos="4032"/>
        </w:tabs>
        <w:adjustRightInd w:val="0"/>
        <w:snapToGrid w:val="0"/>
        <w:spacing w:line="360" w:lineRule="auto"/>
        <w:ind w:left="359"/>
        <w:outlineLvl w:val="1"/>
        <w:rPr>
          <w:rFonts w:cs="Times New Roman"/>
          <w:b/>
          <w:bCs/>
          <w:color w:val="auto"/>
          <w:kern w:val="2"/>
          <w:szCs w:val="32"/>
          <w:highlight w:val="none"/>
        </w:rPr>
      </w:pPr>
      <w:bookmarkStart w:id="532" w:name="_Toc15609"/>
      <w:bookmarkStart w:id="533" w:name="_Toc7583"/>
      <w:r>
        <w:rPr>
          <w:rFonts w:hint="eastAsia" w:cs="Times New Roman"/>
          <w:b/>
          <w:bCs/>
          <w:color w:val="auto"/>
          <w:kern w:val="2"/>
          <w:szCs w:val="32"/>
          <w:highlight w:val="none"/>
        </w:rPr>
        <w:t>34 工程担保</w:t>
      </w:r>
      <w:bookmarkEnd w:id="526"/>
      <w:bookmarkEnd w:id="527"/>
      <w:bookmarkEnd w:id="532"/>
      <w:bookmarkEnd w:id="533"/>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34" w:name="_Toc30965"/>
      <w:bookmarkStart w:id="535" w:name="_Toc2000029"/>
      <w:bookmarkStart w:id="536" w:name="_Toc46325370"/>
      <w:bookmarkStart w:id="537" w:name="_Toc28102"/>
      <w:r>
        <w:rPr>
          <w:rFonts w:hint="eastAsia" w:cs="Times New Roman"/>
          <w:b/>
          <w:bCs/>
          <w:color w:val="auto"/>
          <w:kern w:val="2"/>
          <w:szCs w:val="32"/>
          <w:highlight w:val="none"/>
        </w:rPr>
        <w:t>34.1 履约担保</w:t>
      </w:r>
      <w:bookmarkEnd w:id="534"/>
      <w:bookmarkEnd w:id="535"/>
      <w:bookmarkEnd w:id="536"/>
      <w:bookmarkEnd w:id="537"/>
    </w:p>
    <w:p>
      <w:pPr>
        <w:widowControl w:val="0"/>
        <w:adjustRightInd w:val="0"/>
        <w:snapToGrid w:val="0"/>
        <w:spacing w:line="360" w:lineRule="auto"/>
        <w:ind w:firstLine="480"/>
        <w:rPr>
          <w:rFonts w:cs="Times New Roman"/>
          <w:color w:val="auto"/>
          <w:highlight w:val="none"/>
          <w:u w:val="single"/>
        </w:rPr>
      </w:pPr>
      <w:r>
        <w:rPr>
          <w:rFonts w:hint="eastAsia" w:cs="Times New Roman"/>
          <w:color w:val="auto"/>
          <w:kern w:val="2"/>
          <w:highlight w:val="none"/>
        </w:rPr>
        <w:t>(1)本工程履约担保应采用</w:t>
      </w:r>
      <w:r>
        <w:rPr>
          <w:rFonts w:hint="eastAsia" w:cs="Times New Roman"/>
          <w:color w:val="auto"/>
          <w:highlight w:val="none"/>
          <w:u w:val="single"/>
        </w:rPr>
        <w:t>发包人认可的银行保函或</w:t>
      </w:r>
      <w:r>
        <w:rPr>
          <w:rFonts w:cs="Times New Roman"/>
          <w:color w:val="auto"/>
          <w:highlight w:val="none"/>
          <w:u w:val="single"/>
        </w:rPr>
        <w:t>专业担保公司出具的保函</w:t>
      </w:r>
      <w:r>
        <w:rPr>
          <w:rFonts w:hint="eastAsia" w:cs="Times New Roman"/>
          <w:color w:val="auto"/>
          <w:kern w:val="2"/>
          <w:highlight w:val="none"/>
        </w:rPr>
        <w:t>的形式，金额为：</w:t>
      </w:r>
      <w:r>
        <w:rPr>
          <w:rFonts w:hint="eastAsia" w:cs="Times New Roman"/>
          <w:color w:val="auto"/>
          <w:highlight w:val="none"/>
          <w:u w:val="single"/>
        </w:rPr>
        <w:t>中标价的1</w:t>
      </w:r>
      <w:r>
        <w:rPr>
          <w:rFonts w:cs="Times New Roman"/>
          <w:color w:val="auto"/>
          <w:highlight w:val="none"/>
          <w:u w:val="single"/>
        </w:rPr>
        <w:t>0</w:t>
      </w:r>
      <w:r>
        <w:rPr>
          <w:rFonts w:hint="eastAsia" w:cs="Times New Roman"/>
          <w:color w:val="auto"/>
          <w:highlight w:val="none"/>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38" w:name="_Toc15287"/>
      <w:bookmarkStart w:id="539" w:name="_Toc2428"/>
      <w:bookmarkStart w:id="540" w:name="_Toc2000030"/>
      <w:bookmarkStart w:id="541" w:name="_Toc46325371"/>
      <w:r>
        <w:rPr>
          <w:rFonts w:hint="eastAsia" w:cs="Times New Roman"/>
          <w:b/>
          <w:bCs/>
          <w:color w:val="auto"/>
          <w:kern w:val="2"/>
          <w:szCs w:val="32"/>
          <w:highlight w:val="none"/>
        </w:rPr>
        <w:t>34.2 支付担保</w:t>
      </w:r>
      <w:bookmarkEnd w:id="538"/>
      <w:bookmarkEnd w:id="539"/>
      <w:bookmarkEnd w:id="540"/>
      <w:bookmarkEnd w:id="541"/>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rPr>
        <w:t>(1)本工程支付担保应采用</w:t>
      </w:r>
      <w:r>
        <w:rPr>
          <w:rFonts w:hint="eastAsia" w:cs="Times New Roman"/>
          <w:color w:val="auto"/>
          <w:highlight w:val="none"/>
          <w:u w:val="single"/>
        </w:rPr>
        <w:t>银行保函或专业担保公司出具的保函</w:t>
      </w:r>
      <w:r>
        <w:rPr>
          <w:rFonts w:hint="eastAsia" w:cs="Times New Roman"/>
          <w:color w:val="auto"/>
          <w:kern w:val="2"/>
          <w:highlight w:val="none"/>
        </w:rPr>
        <w:t>的形式，金额为：</w:t>
      </w:r>
      <w:r>
        <w:rPr>
          <w:rFonts w:hint="eastAsia"/>
          <w:color w:val="auto"/>
          <w:highlight w:val="none"/>
          <w:u w:val="single"/>
        </w:rPr>
        <w:t>本工程支付担保应按市住建局《深圳市住房和建设局关于严格落实工程款支付担保制度及保障农民工工资足额支付工作的通知》（深建市场〔</w:t>
      </w:r>
      <w:r>
        <w:rPr>
          <w:color w:val="auto"/>
          <w:highlight w:val="none"/>
          <w:u w:val="single"/>
        </w:rPr>
        <w:t>2021〕16号）文件要求执行</w:t>
      </w:r>
      <w:r>
        <w:rPr>
          <w:rFonts w:hint="eastAsia" w:cs="Times New Roman"/>
          <w:color w:val="auto"/>
          <w:highlight w:val="none"/>
          <w:u w:val="single"/>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color w:val="auto"/>
          <w:kern w:val="44"/>
          <w:sz w:val="28"/>
          <w:szCs w:val="28"/>
          <w:highlight w:val="none"/>
        </w:rPr>
      </w:pPr>
      <w:bookmarkStart w:id="542" w:name="_Toc46325372"/>
      <w:bookmarkStart w:id="543" w:name="_Toc2000031"/>
      <w:bookmarkStart w:id="544" w:name="_Toc23747"/>
      <w:bookmarkStart w:id="545" w:name="_Toc7495"/>
      <w:r>
        <w:rPr>
          <w:rFonts w:hint="eastAsia" w:ascii="Times New Roman" w:cs="Times New Roman"/>
          <w:b/>
          <w:bCs/>
          <w:color w:val="auto"/>
          <w:kern w:val="44"/>
          <w:sz w:val="28"/>
          <w:szCs w:val="28"/>
          <w:highlight w:val="none"/>
        </w:rPr>
        <w:t>36 合同份数与合同备案</w:t>
      </w:r>
      <w:bookmarkEnd w:id="542"/>
      <w:bookmarkEnd w:id="543"/>
      <w:bookmarkEnd w:id="544"/>
      <w:bookmarkEnd w:id="545"/>
    </w:p>
    <w:p>
      <w:pPr>
        <w:widowControl w:val="0"/>
        <w:tabs>
          <w:tab w:val="left" w:pos="540"/>
          <w:tab w:val="left" w:pos="900"/>
          <w:tab w:val="left" w:pos="2340"/>
          <w:tab w:val="left" w:pos="4032"/>
        </w:tabs>
        <w:adjustRightInd w:val="0"/>
        <w:snapToGrid w:val="0"/>
        <w:spacing w:line="360" w:lineRule="auto"/>
        <w:ind w:left="359"/>
        <w:outlineLvl w:val="2"/>
        <w:rPr>
          <w:rFonts w:cs="Times New Roman"/>
          <w:b/>
          <w:bCs/>
          <w:color w:val="auto"/>
          <w:kern w:val="2"/>
          <w:szCs w:val="32"/>
          <w:highlight w:val="none"/>
        </w:rPr>
      </w:pPr>
      <w:bookmarkStart w:id="546" w:name="_Toc19155"/>
      <w:bookmarkStart w:id="547" w:name="_Toc46325373"/>
      <w:bookmarkStart w:id="548" w:name="_Toc2000032"/>
      <w:bookmarkStart w:id="549" w:name="_Toc5464"/>
      <w:r>
        <w:rPr>
          <w:rFonts w:hint="eastAsia" w:cs="Times New Roman"/>
          <w:b/>
          <w:bCs/>
          <w:color w:val="auto"/>
          <w:kern w:val="2"/>
          <w:szCs w:val="32"/>
          <w:highlight w:val="none"/>
        </w:rPr>
        <w:t>36.1 合同份数</w:t>
      </w:r>
      <w:bookmarkEnd w:id="546"/>
      <w:bookmarkEnd w:id="547"/>
      <w:bookmarkEnd w:id="548"/>
      <w:bookmarkEnd w:id="549"/>
    </w:p>
    <w:p>
      <w:pPr>
        <w:widowControl w:val="0"/>
        <w:adjustRightInd w:val="0"/>
        <w:snapToGrid w:val="0"/>
        <w:spacing w:line="360" w:lineRule="auto"/>
        <w:ind w:firstLine="480"/>
        <w:rPr>
          <w:rFonts w:cs="Times New Roman"/>
          <w:color w:val="auto"/>
          <w:kern w:val="2"/>
          <w:highlight w:val="none"/>
          <w:u w:val="single"/>
        </w:rPr>
      </w:pPr>
      <w:r>
        <w:rPr>
          <w:rFonts w:hint="eastAsia" w:cs="Times New Roman"/>
          <w:color w:val="auto"/>
          <w:kern w:val="2"/>
          <w:highlight w:val="none"/>
          <w:u w:val="single"/>
        </w:rPr>
        <w:t>(2)合同份数：16份，其中发包人：</w:t>
      </w:r>
      <w:r>
        <w:rPr>
          <w:rFonts w:cs="Times New Roman"/>
          <w:color w:val="auto"/>
          <w:kern w:val="2"/>
          <w:highlight w:val="none"/>
          <w:u w:val="single"/>
        </w:rPr>
        <w:t>8</w:t>
      </w:r>
      <w:r>
        <w:rPr>
          <w:rFonts w:hint="eastAsia" w:cs="Times New Roman"/>
          <w:color w:val="auto"/>
          <w:kern w:val="2"/>
          <w:highlight w:val="none"/>
          <w:u w:val="single"/>
        </w:rPr>
        <w:t>份，承包人：8份。</w:t>
      </w:r>
    </w:p>
    <w:p>
      <w:pPr>
        <w:widowControl w:val="0"/>
        <w:adjustRightInd w:val="0"/>
        <w:snapToGrid w:val="0"/>
        <w:spacing w:line="360" w:lineRule="auto"/>
        <w:ind w:firstLine="480"/>
        <w:rPr>
          <w:rFonts w:ascii="等线" w:hAnsi="等线"/>
          <w:color w:val="auto"/>
          <w:kern w:val="2"/>
          <w:sz w:val="21"/>
          <w:highlight w:val="none"/>
        </w:rPr>
      </w:pPr>
      <w:r>
        <w:rPr>
          <w:rFonts w:hint="eastAsia" w:cs="Times New Roman"/>
          <w:color w:val="auto"/>
          <w:kern w:val="2"/>
          <w:highlight w:val="none"/>
          <w:u w:val="single"/>
        </w:rPr>
        <w:t>合同副本其它保存单位及份数：/份。</w:t>
      </w:r>
    </w:p>
    <w:p>
      <w:pPr>
        <w:spacing w:line="360" w:lineRule="auto"/>
        <w:rPr>
          <w:color w:val="auto"/>
          <w:szCs w:val="21"/>
          <w:highlight w:val="none"/>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AUTOTEXT  专用条款 \* MERGEFORMAT</w:instrText>
      </w:r>
      <w:r>
        <w:rPr>
          <w:color w:val="auto"/>
          <w:szCs w:val="21"/>
          <w:highlight w:val="none"/>
        </w:rPr>
        <w:instrText xml:space="preserve"> </w:instrText>
      </w:r>
      <w:r>
        <w:rPr>
          <w:color w:val="auto"/>
          <w:szCs w:val="21"/>
          <w:highlight w:val="none"/>
        </w:rPr>
        <w:fldChar w:fldCharType="separate"/>
      </w:r>
      <w:r>
        <w:rPr>
          <w:color w:val="auto"/>
          <w:szCs w:val="21"/>
          <w:highlight w:val="none"/>
        </w:rPr>
        <w:fldChar w:fldCharType="end"/>
      </w:r>
      <w:r>
        <w:rPr>
          <w:color w:val="auto"/>
          <w:szCs w:val="21"/>
          <w:highlight w:val="none"/>
        </w:rPr>
        <w:br w:type="page"/>
      </w:r>
    </w:p>
    <w:p>
      <w:pPr>
        <w:spacing w:line="360" w:lineRule="auto"/>
        <w:jc w:val="center"/>
        <w:outlineLvl w:val="0"/>
        <w:rPr>
          <w:rFonts w:ascii="黑体" w:hAnsi="黑体" w:eastAsia="黑体"/>
          <w:color w:val="auto"/>
          <w:sz w:val="32"/>
          <w:highlight w:val="none"/>
        </w:rPr>
      </w:pPr>
      <w:r>
        <w:rPr>
          <w:rFonts w:hint="eastAsia" w:ascii="黑体" w:hAnsi="黑体" w:eastAsia="黑体"/>
          <w:color w:val="auto"/>
          <w:sz w:val="32"/>
          <w:highlight w:val="none"/>
        </w:rPr>
        <w:t>第四部分  补充条款</w:t>
      </w:r>
    </w:p>
    <w:p>
      <w:pPr>
        <w:widowControl w:val="0"/>
        <w:adjustRightInd w:val="0"/>
        <w:snapToGrid w:val="0"/>
        <w:spacing w:line="360" w:lineRule="auto"/>
        <w:ind w:firstLine="482" w:firstLineChars="200"/>
        <w:jc w:val="both"/>
        <w:rPr>
          <w:rFonts w:ascii="Times New Roman" w:hAnsi="Times New Roman" w:cs="Times New Roman"/>
          <w:b/>
          <w:color w:val="auto"/>
          <w:kern w:val="2"/>
          <w:highlight w:val="none"/>
        </w:rPr>
      </w:pPr>
      <w:bookmarkStart w:id="550" w:name="_Hlk47374868"/>
      <w:r>
        <w:rPr>
          <w:rFonts w:hint="eastAsia" w:ascii="Times New Roman" w:hAnsi="Times New Roman" w:cs="Times New Roman"/>
          <w:b/>
          <w:color w:val="auto"/>
          <w:kern w:val="2"/>
          <w:highlight w:val="none"/>
        </w:rPr>
        <w:t>本</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补充条款及附件</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是对</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通用条款或专用条款</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中不适用部分作出的修改及相应的补充。若</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补充条款及附件</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内容与</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通用条款或专用条款</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中的相应条款有冲突，以</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补充条款及附件</w:t>
      </w:r>
      <w:r>
        <w:rPr>
          <w:rFonts w:ascii="Times New Roman" w:hAnsi="Times New Roman" w:cs="Times New Roman"/>
          <w:b/>
          <w:color w:val="auto"/>
          <w:kern w:val="2"/>
          <w:highlight w:val="none"/>
        </w:rPr>
        <w:t>”</w:t>
      </w:r>
      <w:r>
        <w:rPr>
          <w:rFonts w:hint="eastAsia" w:ascii="Times New Roman" w:hAnsi="Times New Roman" w:cs="Times New Roman"/>
          <w:b/>
          <w:color w:val="auto"/>
          <w:kern w:val="2"/>
          <w:highlight w:val="none"/>
        </w:rPr>
        <w:t>内容为准。</w:t>
      </w:r>
    </w:p>
    <w:bookmarkEnd w:id="550"/>
    <w:p>
      <w:pPr>
        <w:adjustRightInd w:val="0"/>
        <w:snapToGrid w:val="0"/>
        <w:spacing w:line="360" w:lineRule="auto"/>
        <w:rPr>
          <w:color w:val="auto"/>
          <w:highlight w:val="none"/>
        </w:rPr>
      </w:pPr>
      <w:r>
        <w:rPr>
          <w:rFonts w:hint="eastAsia" w:cs="Times New Roman"/>
          <w:b/>
          <w:bCs/>
          <w:color w:val="auto"/>
          <w:kern w:val="2"/>
          <w:highlight w:val="none"/>
        </w:rPr>
        <w:t>一、合同价款支付、调整及结算</w:t>
      </w:r>
      <w:r>
        <w:rPr>
          <w:rFonts w:cs="Times New Roman"/>
          <w:b/>
          <w:bCs/>
          <w:color w:val="auto"/>
          <w:kern w:val="2"/>
          <w:highlight w:val="none"/>
        </w:rPr>
        <w:t>方式</w:t>
      </w:r>
    </w:p>
    <w:p>
      <w:pPr>
        <w:widowControl w:val="0"/>
        <w:kinsoku w:val="0"/>
        <w:wordWrap w:val="0"/>
        <w:adjustRightInd w:val="0"/>
        <w:snapToGrid w:val="0"/>
        <w:spacing w:line="360" w:lineRule="auto"/>
        <w:ind w:firstLine="482" w:firstLineChars="200"/>
        <w:jc w:val="both"/>
        <w:rPr>
          <w:rFonts w:cs="Times New Roman"/>
          <w:color w:val="auto"/>
          <w:kern w:val="2"/>
          <w:highlight w:val="none"/>
        </w:rPr>
      </w:pPr>
      <w:r>
        <w:rPr>
          <w:rFonts w:hint="eastAsia"/>
          <w:b/>
          <w:color w:val="auto"/>
          <w:kern w:val="2"/>
          <w:highlight w:val="none"/>
        </w:rPr>
        <w:t>（一）计量计价依据</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1.《建设工程</w:t>
      </w:r>
      <w:bookmarkStart w:id="551" w:name="_Hlk196816705"/>
      <w:r>
        <w:rPr>
          <w:rFonts w:hint="eastAsia"/>
          <w:color w:val="auto"/>
          <w:kern w:val="2"/>
          <w:highlight w:val="none"/>
        </w:rPr>
        <w:t>工程量清单计价规范</w:t>
      </w:r>
      <w:bookmarkEnd w:id="551"/>
      <w:r>
        <w:rPr>
          <w:rFonts w:hint="eastAsia"/>
          <w:color w:val="auto"/>
          <w:kern w:val="2"/>
          <w:highlight w:val="none"/>
        </w:rPr>
        <w:t xml:space="preserve">》(GB50500-2013)； </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2.《关于实施房屋建筑与装饰工程等专业工程量计算规范（GB50854～862－2013）的规定》；</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3.《深圳市建筑工程消耗量标准(2024)》</w:t>
      </w:r>
      <w:r>
        <w:rPr>
          <w:rFonts w:hint="eastAsia" w:hAnsi="微软雅黑" w:eastAsia="微软雅黑" w:cs="微软雅黑"/>
          <w:color w:val="auto"/>
          <w:kern w:val="2"/>
          <w:highlight w:val="none"/>
        </w:rPr>
        <w:t>､</w:t>
      </w:r>
      <w:r>
        <w:rPr>
          <w:rFonts w:hint="eastAsia"/>
          <w:color w:val="auto"/>
          <w:kern w:val="2"/>
          <w:highlight w:val="none"/>
        </w:rPr>
        <w:t>《深圳市装饰工程消耗量定额(2020)》</w:t>
      </w:r>
      <w:r>
        <w:rPr>
          <w:rFonts w:hint="eastAsia" w:hAnsi="微软雅黑" w:eastAsia="微软雅黑" w:cs="微软雅黑"/>
          <w:color w:val="auto"/>
          <w:kern w:val="2"/>
          <w:highlight w:val="none"/>
        </w:rPr>
        <w:t>､</w:t>
      </w:r>
      <w:r>
        <w:rPr>
          <w:rFonts w:hint="eastAsia"/>
          <w:color w:val="auto"/>
          <w:kern w:val="2"/>
          <w:highlight w:val="none"/>
        </w:rPr>
        <w:t>《深圳市安装工程消耗量定额(2020) 》</w:t>
      </w:r>
      <w:r>
        <w:rPr>
          <w:rFonts w:hint="eastAsia" w:hAnsi="微软雅黑" w:eastAsia="微软雅黑" w:cs="微软雅黑"/>
          <w:color w:val="auto"/>
          <w:kern w:val="2"/>
          <w:highlight w:val="none"/>
        </w:rPr>
        <w:t>､</w:t>
      </w:r>
      <w:r>
        <w:rPr>
          <w:rFonts w:hint="eastAsia"/>
          <w:color w:val="auto"/>
          <w:kern w:val="2"/>
          <w:highlight w:val="none"/>
        </w:rPr>
        <w:t>《深圳市房屋修缮工程消耗量标准(2024)》；</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 xml:space="preserve">4.《深圳市建设工程计价规程》(2023)； </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材料价格按《深圳市建设工程价格信息》2025年第2期信息价计取，园林苗木价格选用《深圳建设工程价格信息》2025年第一季度信息价计取，当期未有的信息价往前依次类推，对于《深圳建设工程价格信息》缺少的主要材料设备价格，采用询价方式确定，询价方法按照《深圳市建设工程材料设备询价采购办法》的有关规定执行，经询价确认的材料设备价格不参与下浮；以暂估价出现的材料、设备需由发包人在工程施工中实行实时定价，经认质认价的材料设备价格不参与下浮。</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6.取费标准</w:t>
      </w:r>
      <w:r>
        <w:rPr>
          <w:color w:val="auto"/>
          <w:kern w:val="2"/>
          <w:highlight w:val="none"/>
        </w:rPr>
        <w:t>:按《深圳市建设工程计价费率标准(2023)》中的相关专业推荐费率，其它按深圳市现行有关文件执行</w:t>
      </w:r>
      <w:r>
        <w:rPr>
          <w:rFonts w:hint="eastAsia"/>
          <w:color w:val="auto"/>
          <w:kern w:val="2"/>
          <w:highlight w:val="none"/>
        </w:rPr>
        <w:t>。其中，增值税综合应纳税费率根据《深圳市建筑业营改增建设工程计价依据调整实施细则（试行）》（深建市场〔2016〕14号）及《住房和城乡建设部办公厅关于重新调整建设工程计价依据增值税税率的通知》（建办标函〔2019〕193号））的规定计取。</w:t>
      </w:r>
    </w:p>
    <w:p>
      <w:pPr>
        <w:widowControl w:val="0"/>
        <w:adjustRightInd w:val="0"/>
        <w:snapToGrid w:val="0"/>
        <w:spacing w:line="360" w:lineRule="auto"/>
        <w:ind w:firstLine="480" w:firstLineChars="200"/>
        <w:jc w:val="both"/>
        <w:rPr>
          <w:color w:val="auto"/>
          <w:kern w:val="2"/>
          <w:highlight w:val="none"/>
          <w:lang w:val="sq-AL"/>
        </w:rPr>
      </w:pPr>
      <w:r>
        <w:rPr>
          <w:rFonts w:hint="eastAsia"/>
          <w:color w:val="auto"/>
          <w:kern w:val="2"/>
          <w:highlight w:val="none"/>
        </w:rPr>
        <w:t>7.</w:t>
      </w:r>
      <w:r>
        <w:rPr>
          <w:rFonts w:hint="eastAsia"/>
          <w:color w:val="auto"/>
          <w:kern w:val="2"/>
          <w:highlight w:val="none"/>
          <w:lang w:val="sq-AL"/>
        </w:rPr>
        <w:t>净下浮率=[1－中标价（扣除不可竞争费）÷招标控制价（扣除不可竞争费）]×100%</w:t>
      </w:r>
      <w:r>
        <w:rPr>
          <w:rFonts w:hint="eastAsia"/>
          <w:color w:val="auto"/>
          <w:kern w:val="2"/>
          <w:highlight w:val="none"/>
        </w:rPr>
        <w:t>，</w:t>
      </w:r>
      <w:r>
        <w:rPr>
          <w:rFonts w:hint="eastAsia" w:cs="Times New Roman"/>
          <w:color w:val="auto"/>
          <w:kern w:val="2"/>
          <w:highlight w:val="none"/>
        </w:rPr>
        <w:t>本工程的净下浮率为</w:t>
      </w:r>
      <w:r>
        <w:rPr>
          <w:rFonts w:hint="eastAsia" w:cs="Times New Roman"/>
          <w:color w:val="auto"/>
          <w:kern w:val="2"/>
          <w:highlight w:val="none"/>
          <w:u w:val="single"/>
        </w:rPr>
        <w:t xml:space="preserve">     %</w:t>
      </w:r>
      <w:r>
        <w:rPr>
          <w:rFonts w:hint="eastAsia" w:cs="Times New Roman"/>
          <w:color w:val="auto"/>
          <w:kern w:val="2"/>
          <w:highlight w:val="none"/>
        </w:rPr>
        <w:t>。</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注：</w:t>
      </w:r>
      <w:r>
        <w:rPr>
          <w:rFonts w:hint="eastAsia"/>
          <w:color w:val="auto"/>
          <w:kern w:val="2"/>
          <w:highlight w:val="none"/>
          <w:lang w:val="sq-AL"/>
        </w:rPr>
        <w:t>不可竞争费</w:t>
      </w:r>
      <w:r>
        <w:rPr>
          <w:rFonts w:hint="eastAsia"/>
          <w:color w:val="auto"/>
          <w:kern w:val="2"/>
          <w:highlight w:val="none"/>
        </w:rPr>
        <w:t>包括</w:t>
      </w:r>
      <w:r>
        <w:rPr>
          <w:rFonts w:hint="eastAsia"/>
          <w:color w:val="auto"/>
          <w:kern w:val="2"/>
          <w:highlight w:val="none"/>
          <w:lang w:val="sq-AL"/>
        </w:rPr>
        <w:t>：安全文明施工费、专业工程暂估价、</w:t>
      </w:r>
      <w:r>
        <w:rPr>
          <w:rFonts w:hint="eastAsia"/>
          <w:color w:val="auto"/>
          <w:kern w:val="2"/>
          <w:highlight w:val="none"/>
        </w:rPr>
        <w:t>材料设备暂估价、</w:t>
      </w:r>
      <w:r>
        <w:rPr>
          <w:rFonts w:hint="eastAsia"/>
          <w:color w:val="auto"/>
          <w:kern w:val="2"/>
          <w:highlight w:val="none"/>
          <w:lang w:val="sq-AL"/>
        </w:rPr>
        <w:t>暂列金额、优质优价奖励费，以及其它不可竞争费。</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8.其他深圳市现行相关计价规范及标准；</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9.施工图纸；</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10.本工程招标文件的招标技术要求；</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11.本工程招标文件规定施工范围及工程界面。</w:t>
      </w:r>
    </w:p>
    <w:p>
      <w:pPr>
        <w:widowControl w:val="0"/>
        <w:kinsoku w:val="0"/>
        <w:wordWrap w:val="0"/>
        <w:adjustRightInd w:val="0"/>
        <w:snapToGrid w:val="0"/>
        <w:spacing w:line="360" w:lineRule="auto"/>
        <w:ind w:firstLine="482" w:firstLineChars="200"/>
        <w:jc w:val="both"/>
        <w:rPr>
          <w:b/>
          <w:color w:val="auto"/>
          <w:kern w:val="2"/>
          <w:highlight w:val="none"/>
        </w:rPr>
      </w:pPr>
      <w:r>
        <w:rPr>
          <w:rFonts w:hint="eastAsia"/>
          <w:b/>
          <w:color w:val="auto"/>
          <w:kern w:val="2"/>
          <w:highlight w:val="none"/>
        </w:rPr>
        <w:t>（二）计价原则</w:t>
      </w:r>
    </w:p>
    <w:p>
      <w:pPr>
        <w:adjustRightInd w:val="0"/>
        <w:snapToGrid w:val="0"/>
        <w:spacing w:line="360" w:lineRule="auto"/>
        <w:ind w:firstLine="480" w:firstLineChars="200"/>
        <w:rPr>
          <w:color w:val="auto"/>
          <w:kern w:val="2"/>
          <w:highlight w:val="none"/>
        </w:rPr>
      </w:pPr>
      <w:r>
        <w:rPr>
          <w:rFonts w:hint="eastAsia"/>
          <w:color w:val="auto"/>
          <w:kern w:val="2"/>
          <w:highlight w:val="none"/>
        </w:rPr>
        <w:t>本工程为固定综合单价合同。工程量清单中所填入的综合单价为按技术规范与技术要求完成一个规定计量单位的项目所需的人工费、材料费、施工机具使用费、企业管理费和利润、工程设备费，以及一定范围内的风险费用（如合同要求考虑的风险等）。按技术规范、招标文件、设计图纸、国标《建设工程工程量清单计价规范》、深圳市现行计价办法等要求为完成一个规定计量单位的工程量所需的其他一切费用除非投标人在措施项目清单中列出，否则视为已被包含在工程量清单各项目综合单价中。承包人在投标报价中如有错漏，视为承包人在投标报价时项目单价和合价中已综合考虑，构成合同价款项目的单价不作调整。发包人不接受承包人基于任何工作子目单价在投标时的组价不当（包括但不限于工作子目对应的工作内容理解的偏差、工料机消耗量水平的确定、生产要素市场价格的判断、取费等）或任何其他差错而主张的任何损失或索赔。除合同文件和招标文件另有约定外，工程结算时不得以工程量清单价格子目组价不当未包含施工图工作内容而提出任何增加费用的索赔。</w:t>
      </w:r>
    </w:p>
    <w:p>
      <w:pPr>
        <w:adjustRightInd w:val="0"/>
        <w:snapToGrid w:val="0"/>
        <w:spacing w:line="360" w:lineRule="auto"/>
        <w:ind w:firstLine="480" w:firstLineChars="200"/>
        <w:rPr>
          <w:color w:val="auto"/>
          <w:kern w:val="2"/>
          <w:highlight w:val="none"/>
        </w:rPr>
      </w:pPr>
      <w:r>
        <w:rPr>
          <w:rFonts w:hint="eastAsia"/>
          <w:color w:val="auto"/>
          <w:kern w:val="2"/>
          <w:highlight w:val="none"/>
        </w:rPr>
        <w:t>提示：投标人所填报的该项单价均已包含了完成与该分部分项工程有关的一切必要的工序和工作内容以及达到合格工程质量要求的一切工程费用和措施性费用（措施项目清单内单列的除外），即包含工程量清单中没有体现的但施工中必须发生的一切工作内容所需费用。</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本工程主要的措施项目包括但不限于安全文明施工措施费；履约担保手续费；夜间施工费；赶工措施费；冬雨季施工费；已完成工程及设备保护费；地上地下设施及建筑物的临时保护费；混凝土、钢筋混凝土模板及支架费；二次搬运费；脚手架费；垂直运输机械费；大型机械设备进出场及安拆费；施工排水、降水费；红线外临时占地租用费；施工交通组织措施费；土石方开挖及基坑支护专项方案的专家评审费；临时用水用电接驳；施工现场清洁费；施工便道费；临时道路修建/占用/修复费；现场工地围挡工程费、综合管线绘制等。措施费中以项为单位列项的(除安装部分所需之脚手架搭拆费)脚手架搭拆费以该顶投标报价包干，结算时不予调整；安装部分所需之脚手架搭拆费，在措施费中按项计取，结算时随分部分项金额变化联动调整计取，若因投标报价失误导致无法与分部分项工程联动调整的，结算时则按招标控制价编制方法计算的综合单价x(1-该项措施费清单投标价净下浮率)进行修正后联动调整计取。可计算工程量的，结算时工程量按实际发生量计算；</w:t>
      </w:r>
      <w:r>
        <w:rPr>
          <w:rFonts w:hint="eastAsia"/>
          <w:b/>
          <w:bCs/>
          <w:color w:val="auto"/>
          <w:kern w:val="2"/>
          <w:highlight w:val="none"/>
        </w:rPr>
        <w:t>安全文明施工措施费费率部分＝计算基数×投标费率。其中计算基数按照《深圳市建设工程计价费率标准(2023)》中的规定，计费基数金额为最终结算价金额。投标费率即为合同计价文件中对应费率。</w:t>
      </w:r>
      <w:r>
        <w:rPr>
          <w:rFonts w:hint="eastAsia"/>
          <w:color w:val="auto"/>
          <w:kern w:val="2"/>
          <w:highlight w:val="none"/>
        </w:rPr>
        <w:t>在施工措施项目清单中未列出者，则视为该措施项目的费用已由投标人分摊在分部分项工程量清单的单价或已列施工措施项目的金额中，其费用不单独计取。</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合同综合单价的风险范围：包括但不限于完成本工程所有的材料费、人工费、机械费、</w:t>
      </w:r>
      <w:r>
        <w:rPr>
          <w:rFonts w:hint="eastAsia"/>
          <w:b/>
          <w:bCs/>
          <w:color w:val="auto"/>
          <w:kern w:val="2"/>
          <w:highlight w:val="none"/>
        </w:rPr>
        <w:t>检验试验费</w:t>
      </w:r>
      <w:r>
        <w:rPr>
          <w:rFonts w:hint="eastAsia"/>
          <w:color w:val="auto"/>
          <w:kern w:val="2"/>
          <w:highlight w:val="none"/>
        </w:rPr>
        <w:t>、施工水电费、土石方场内多次转运、材料设备场内多次转运、装卸费、成品保护费、工程建设标准和技术规范要求的费用、施工方案论证、施工图深化设计、技术处理费、缺陷修复费、验收移交、联合调试、对本工程相关的各专业工程提供协调及配合服务、合同工期内的赶工费、与知识产权相关的费用，治安、消防、安全、环保等主管部门因进行工程所规定应由施工单位所交纳的任何收费，民扰及扰民费，管理费、利润、各种施工风险、市场风险（除可调差情形外）、其他为按时按质完成本合同所规定工作的除措施费外所有直接和间接费用（不论图纸、规范、工程技术要求、工程量清单报价书中有没有说明），及本合同虽未提及但承包人在完成本工程过程中必须支付的与本工程相关的其他费用。</w:t>
      </w:r>
      <w:r>
        <w:rPr>
          <w:rFonts w:hint="eastAsia"/>
          <w:b/>
          <w:bCs/>
          <w:color w:val="auto"/>
          <w:kern w:val="2"/>
          <w:highlight w:val="none"/>
        </w:rPr>
        <w:t>除本合同另有约定，本合同综合单价不作调整</w:t>
      </w:r>
      <w:r>
        <w:rPr>
          <w:rFonts w:hint="eastAsia"/>
          <w:color w:val="auto"/>
          <w:kern w:val="2"/>
          <w:highlight w:val="none"/>
        </w:rPr>
        <w:t>。</w:t>
      </w:r>
    </w:p>
    <w:p>
      <w:pPr>
        <w:widowControl w:val="0"/>
        <w:adjustRightInd w:val="0"/>
        <w:snapToGrid w:val="0"/>
        <w:spacing w:line="360" w:lineRule="auto"/>
        <w:ind w:firstLine="480" w:firstLineChars="200"/>
        <w:jc w:val="both"/>
        <w:rPr>
          <w:color w:val="auto"/>
          <w:highlight w:val="none"/>
        </w:rPr>
      </w:pPr>
      <w:r>
        <w:rPr>
          <w:rFonts w:hint="eastAsia"/>
          <w:color w:val="auto"/>
          <w:highlight w:val="none"/>
        </w:rPr>
        <w:t>（三）</w:t>
      </w:r>
      <w:r>
        <w:rPr>
          <w:rFonts w:hint="eastAsia"/>
          <w:b/>
          <w:bCs/>
          <w:color w:val="auto"/>
          <w:kern w:val="2"/>
          <w:highlight w:val="none"/>
        </w:rPr>
        <w:t>工料机调差：无。</w:t>
      </w:r>
    </w:p>
    <w:p>
      <w:pPr>
        <w:widowControl w:val="0"/>
        <w:adjustRightInd w:val="0"/>
        <w:snapToGrid w:val="0"/>
        <w:spacing w:line="360" w:lineRule="auto"/>
        <w:ind w:firstLine="482" w:firstLineChars="200"/>
        <w:jc w:val="both"/>
        <w:rPr>
          <w:b/>
          <w:color w:val="auto"/>
          <w:kern w:val="2"/>
          <w:highlight w:val="none"/>
        </w:rPr>
      </w:pPr>
      <w:r>
        <w:rPr>
          <w:rFonts w:hint="eastAsia"/>
          <w:b/>
          <w:color w:val="auto"/>
          <w:kern w:val="2"/>
          <w:highlight w:val="none"/>
        </w:rPr>
        <w:t>（四）合同价所包含的内容</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根据本项目特点及现场施工条件，以下是可能影响工期及报价的重要风险因素。发包人此条款所列影响施工的情况只是概括性的，并未列尽，承包人应自行仔细核察可能影响施工的一切因素，承包人在施工过程中因以下风险因素而增加的所有投入及费用已包含在签约合同价中，发包人不予签证，承包人不得以此为由要求签证或拖延工期。</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所有综合单价为固定单价，除合同文件约定可调整的外，该综合单价不因任何因素而调整。</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1.临建设施及施工场地：本工程临时设施费用包含在</w:t>
      </w:r>
      <w:r>
        <w:rPr>
          <w:rFonts w:hint="eastAsia"/>
          <w:b/>
          <w:bCs/>
          <w:color w:val="auto"/>
          <w:kern w:val="2"/>
          <w:highlight w:val="none"/>
        </w:rPr>
        <w:t>签约合同价</w:t>
      </w:r>
      <w:r>
        <w:rPr>
          <w:rFonts w:hint="eastAsia"/>
          <w:color w:val="auto"/>
          <w:kern w:val="2"/>
          <w:highlight w:val="none"/>
        </w:rPr>
        <w:t>中。承包人应遵守国家法律法规，执行发包人及监理指令，按照施工图纸、设计变更单、图纸会审纪要、施工及验收规范等进行施工。按合同约定的质量及工期要求完成全部承建内容。合同约定由承包人完成或提供配合的工作（包括合同、会议纪要等的约定内容以及设计变更中涉及的工程指令执行、安全文明施工、成品保护等），凡因承包人原因未能完成或未能按质按期完成的，发包人在通知承包人后，即有权另择施工单位完成，所发生的费用由承包人承担，同时承包人应按</w:t>
      </w:r>
      <w:r>
        <w:rPr>
          <w:rFonts w:hint="eastAsia"/>
          <w:b/>
          <w:bCs/>
          <w:color w:val="auto"/>
          <w:kern w:val="2"/>
          <w:highlight w:val="none"/>
        </w:rPr>
        <w:t>签约合同价</w:t>
      </w:r>
      <w:r>
        <w:rPr>
          <w:rFonts w:hint="eastAsia"/>
          <w:color w:val="auto"/>
          <w:kern w:val="2"/>
          <w:highlight w:val="none"/>
        </w:rPr>
        <w:t>的20%向发包人支付违约金。发包人另行选择的施工单位的施工时间计入承包人工期，因此导致本合同工期延长的，承包人应承担违约责任。</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2.施工场地移交：发包人将现场场地移交至承包人，承包人应考虑现场场地与图纸存在的出入，对施工场地进行现状接收，并清理场地内遗留物料、垃圾等。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3.赶工措施：承包人应根据本合同中工期及竣工验收节点要求，充分考虑本工程需赶工时因需投入大量的施工人员、管理人员、机械、材料等而引发的费用。该等费用已包含在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4.主要材料定价：承包人不得以市场材料供应不足为由延误工期，因市场材料供应不足引起材料代换应按合同约定执行，增加的费用由承包人承担。承包人不得因此要求工程签证变更价款或延长工期。</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以暂估价出现的材料、设备需由发包人在工程施工中实行实时定价。承包人应在该材料设备订货进场施工前一个月根据图纸和招标文件的要求报送产品样品或工程样板及价格，经监理人及发包人审核确认后方可订货或施工，否则承包人承担由此引起的一切不良后果。承包人没有及时报价或报送资料不符合要求，而导致工期延误的，由承包人负责。发包人完成定价工作后应书面通知承包人，由于承包人未按时（超过5天）订货，导致该材料设备价格因市场原因涨价和工期延误，由承包人负责，发包人保留追索权利。</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主要材料设备品牌限定要求：对于本工程所需由发包人确定品牌、样板的材料，承包人需考虑给予发包人不少于10天的品牌、样板确认时间，提前提交完整资料至发包人，非发包人原因引起的或因双方价格确认导致的工期延误不予办理工期顺延。</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6.安全文明施工要求：承包人须服从发包人的管理，并按照发包人的相关要求进行施工。现场采取全封闭式管理并安装了门禁系统，所有人员需凭卡出入。管理措施及要求除本合同规定内容外，待承包人进场后，发包人会另行发放现场管理规定，承包人必须无条件服从。</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7.工程试车费用：按法律法规或地方规章或政府相关部门规定进行验收和水、电气安装及设备调试、运行，承包人负责各项现场配合事宜。此项费用已包含在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8.参观视察配合：配合各级政府部门及相关单位参观考察，承包人承诺按发包人要求（包括领导参观考察时发包人临时提出的要求）做好现场的安全文明施工、标语标牌制作安装及陪同工作，因此引发的一切费用均由承包人承担且上述费用包含在</w:t>
      </w:r>
      <w:r>
        <w:rPr>
          <w:rFonts w:hint="eastAsia"/>
          <w:b/>
          <w:bCs/>
          <w:color w:val="auto"/>
          <w:kern w:val="2"/>
          <w:highlight w:val="none"/>
        </w:rPr>
        <w:t>签约合同价</w:t>
      </w:r>
      <w:r>
        <w:rPr>
          <w:rFonts w:hint="eastAsia"/>
          <w:color w:val="auto"/>
          <w:kern w:val="2"/>
          <w:highlight w:val="none"/>
        </w:rPr>
        <w:t>中。</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9.工程范围的调整：施工过程中，发包人有权根据工程实际情况对工程承包范围进行调整，承包人必须服从发包人的协调与安排，因工程范围调整所引起的工程量增减的金额按本合同中变更价款的约定进行计算。</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10.成品保护：本工程施工过程中，承包人应按发包人要求采取必要的成品保护措施进行成品保护、清洁和警示，并需考虑在竣工移交前反复保护的措施及费用，承包人报价中充分考虑采取此类措施所带来的费用，此项费用已在合同价措施费用中按项包干列计，结算时不予调整。</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11.场内运输费用：承包人需将仓库腾挪、材料的二次搬运、腾挪及垂直运输、现场所产生的所有垃圾清理外运均已包含在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12.本工程必须严格按合同工期完成，承包人需充分考虑各种可能导致工期增加产生的实际困难及费用，包括春节、赶工、劳动力数量、工资发放等问题，该等因素承包人已充分考虑并均包含在</w:t>
      </w:r>
      <w:r>
        <w:rPr>
          <w:rFonts w:hint="eastAsia"/>
          <w:b/>
          <w:bCs/>
          <w:color w:val="auto"/>
          <w:kern w:val="2"/>
          <w:highlight w:val="none"/>
        </w:rPr>
        <w:t>签约合同价</w:t>
      </w:r>
      <w:r>
        <w:rPr>
          <w:rFonts w:hint="eastAsia"/>
          <w:color w:val="auto"/>
          <w:kern w:val="2"/>
          <w:highlight w:val="none"/>
        </w:rPr>
        <w:t>中。本项目工期不可延误，各关键工序节点如有延误，根据相关条款进行处罚，并在当次进度款中直接扣除。</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13.水电费用：进场后，承包人自行与现场管理单位协商用水用电，水电费用包含在</w:t>
      </w:r>
      <w:r>
        <w:rPr>
          <w:rFonts w:hint="eastAsia"/>
          <w:b/>
          <w:bCs/>
          <w:color w:val="auto"/>
          <w:kern w:val="2"/>
          <w:highlight w:val="none"/>
        </w:rPr>
        <w:t>签约合同价</w:t>
      </w:r>
      <w:r>
        <w:rPr>
          <w:rFonts w:hint="eastAsia"/>
          <w:color w:val="auto"/>
          <w:kern w:val="2"/>
          <w:highlight w:val="none"/>
        </w:rPr>
        <w:t>中。本工程竣工验收前，承包人必须向物业管理单位缴清水电费用，否则发包人有权不向承包人支付结算款。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14.开孔费用：所有孔洞预留、孔洞遗漏预留引起的二次开孔、设备拆装及移位等引起的所有费用均已包含在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15.承包人应派专业人员组织发包人（设计、工程、成本部门）在适当时机（不少于一次，每次不少于5-6人）前往材料设备厂家对材料设备进行抽查、检验等工作，由此产生的所有费用已包含在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16.各图纸的复核及配合衔接：由发包人提供的所有图纸及技术要求（包括但不限于平面布置图、综合天花平面图、凡是天花综合平面图、地坪饰面图、建筑资料平面图、立面索引图、天花灯具布置连线图、插座照明配电图、给排水平面图、排油烟平面图、燃气平面图、系统图、立面图、大样图、节点图等）等所有资料之间如存在任何矛盾或不一致，请在招标期间提出，由发包人统一解答，否则，中标后不得以上述资料之间存在矛盾或不一致为由向发包人提出索偿要求，或要求变更，增加</w:t>
      </w:r>
      <w:r>
        <w:rPr>
          <w:rFonts w:hint="eastAsia"/>
          <w:b/>
          <w:bCs/>
          <w:color w:val="auto"/>
          <w:kern w:val="2"/>
          <w:highlight w:val="none"/>
        </w:rPr>
        <w:t>签约合同价</w:t>
      </w:r>
      <w:r>
        <w:rPr>
          <w:rFonts w:hint="eastAsia"/>
          <w:color w:val="auto"/>
          <w:kern w:val="2"/>
          <w:highlight w:val="none"/>
        </w:rPr>
        <w:t>。发包人可要求按上述任何资料进行施工而不得调整</w:t>
      </w:r>
      <w:r>
        <w:rPr>
          <w:rFonts w:hint="eastAsia"/>
          <w:b/>
          <w:bCs/>
          <w:color w:val="auto"/>
          <w:kern w:val="2"/>
          <w:highlight w:val="none"/>
        </w:rPr>
        <w:t>签约合同价</w:t>
      </w:r>
      <w:r>
        <w:rPr>
          <w:rFonts w:hint="eastAsia"/>
          <w:color w:val="auto"/>
          <w:kern w:val="2"/>
          <w:highlight w:val="none"/>
        </w:rPr>
        <w:t>。承包人对图纸有任何疑问必须按投标须知前附表规定的时间内提出，由发包人统一解答，承包人须对图纸做充分的复核并将图纸的不完善充分考虑到</w:t>
      </w:r>
      <w:r>
        <w:rPr>
          <w:rFonts w:hint="eastAsia"/>
          <w:b/>
          <w:bCs/>
          <w:color w:val="auto"/>
          <w:kern w:val="2"/>
          <w:highlight w:val="none"/>
        </w:rPr>
        <w:t>签约合同价</w:t>
      </w:r>
      <w:r>
        <w:rPr>
          <w:rFonts w:hint="eastAsia"/>
          <w:color w:val="auto"/>
          <w:kern w:val="2"/>
          <w:highlight w:val="none"/>
        </w:rPr>
        <w:t>中。承包人中标后不得以图纸做法不明确、不完善、节点大样图的补充为由向发包人提出索偿要求，或要求变更并增加</w:t>
      </w:r>
      <w:r>
        <w:rPr>
          <w:rFonts w:hint="eastAsia"/>
          <w:b/>
          <w:bCs/>
          <w:color w:val="auto"/>
          <w:kern w:val="2"/>
          <w:highlight w:val="none"/>
        </w:rPr>
        <w:t>签约合同价</w:t>
      </w:r>
      <w:r>
        <w:rPr>
          <w:rFonts w:hint="eastAsia"/>
          <w:color w:val="auto"/>
          <w:kern w:val="2"/>
          <w:highlight w:val="none"/>
        </w:rPr>
        <w:t>；承包人应提供详细、全面的结构计算书，如发现招标图有受力不满足的地方，承包人应对该位置采取措施进行加强，此费用已包含在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17.垃圾外运：承包人进场后，承包人需在发包人指定的地点修建符合安全文明规定的垃圾池，施工产生的垃圾由承包人负责清运至垃圾池，自行外运。承包人须充分考虑垃圾外运市场价格波动等因素，该部分费用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18.交工前清洁施工现场的要求：承包人应保证施工场地清洁符合环境卫生管理的有关规定和深圳市文明施工要求，交工前清洁施工现场达到深圳市环境卫生的要求，保证施工场地平净、整洁，该部分费用已包含在</w:t>
      </w:r>
      <w:r>
        <w:rPr>
          <w:rFonts w:hint="eastAsia"/>
          <w:b/>
          <w:bCs/>
          <w:color w:val="auto"/>
          <w:kern w:val="2"/>
          <w:highlight w:val="none"/>
        </w:rPr>
        <w:t>签约合同价</w:t>
      </w:r>
      <w:r>
        <w:rPr>
          <w:rFonts w:hint="eastAsia"/>
          <w:color w:val="auto"/>
          <w:kern w:val="2"/>
          <w:highlight w:val="none"/>
        </w:rPr>
        <w:t>中，承包人不得另行要求发包人承担。。</w:t>
      </w:r>
    </w:p>
    <w:p>
      <w:pPr>
        <w:adjustRightInd w:val="0"/>
        <w:snapToGrid w:val="0"/>
        <w:spacing w:line="360" w:lineRule="auto"/>
        <w:ind w:firstLine="480" w:firstLineChars="200"/>
        <w:rPr>
          <w:color w:val="auto"/>
          <w:kern w:val="2"/>
          <w:highlight w:val="none"/>
        </w:rPr>
      </w:pPr>
      <w:r>
        <w:rPr>
          <w:rFonts w:hint="eastAsia"/>
          <w:color w:val="auto"/>
          <w:kern w:val="2"/>
          <w:highlight w:val="none"/>
        </w:rPr>
        <w:t>19.本项目不考虑弃土收纳处置费，施工过程中产生的建筑垃圾、废料等</w:t>
      </w:r>
      <w:r>
        <w:rPr>
          <w:rFonts w:hint="eastAsia"/>
          <w:b/>
          <w:bCs/>
          <w:color w:val="auto"/>
          <w:kern w:val="2"/>
          <w:highlight w:val="none"/>
        </w:rPr>
        <w:t>费用已包含在签约合同价中</w:t>
      </w:r>
      <w:r>
        <w:rPr>
          <w:rFonts w:hint="eastAsia"/>
          <w:color w:val="auto"/>
          <w:kern w:val="2"/>
          <w:highlight w:val="none"/>
        </w:rPr>
        <w:t>，实际发生的收纳处置费已包含在</w:t>
      </w:r>
      <w:r>
        <w:rPr>
          <w:rFonts w:hint="eastAsia"/>
          <w:b/>
          <w:bCs/>
          <w:color w:val="auto"/>
          <w:kern w:val="2"/>
          <w:highlight w:val="none"/>
        </w:rPr>
        <w:t>签约合同价</w:t>
      </w:r>
      <w:r>
        <w:rPr>
          <w:rFonts w:hint="eastAsia"/>
          <w:color w:val="auto"/>
          <w:kern w:val="2"/>
          <w:highlight w:val="none"/>
        </w:rPr>
        <w:t>中不另计算。</w:t>
      </w:r>
    </w:p>
    <w:p>
      <w:pPr>
        <w:widowControl w:val="0"/>
        <w:kinsoku w:val="0"/>
        <w:wordWrap w:val="0"/>
        <w:adjustRightInd w:val="0"/>
        <w:snapToGrid w:val="0"/>
        <w:spacing w:line="360" w:lineRule="auto"/>
        <w:ind w:firstLine="482" w:firstLineChars="200"/>
        <w:jc w:val="both"/>
        <w:rPr>
          <w:b/>
          <w:color w:val="auto"/>
          <w:kern w:val="2"/>
          <w:highlight w:val="none"/>
        </w:rPr>
      </w:pPr>
      <w:r>
        <w:rPr>
          <w:rFonts w:hint="eastAsia"/>
          <w:b/>
          <w:color w:val="auto"/>
          <w:kern w:val="2"/>
          <w:highlight w:val="none"/>
        </w:rPr>
        <w:t>（五）工程结算</w:t>
      </w:r>
    </w:p>
    <w:p>
      <w:pPr>
        <w:widowControl w:val="0"/>
        <w:numPr>
          <w:ilvl w:val="12"/>
          <w:numId w:val="0"/>
        </w:numPr>
        <w:adjustRightInd w:val="0"/>
        <w:snapToGrid w:val="0"/>
        <w:spacing w:line="360" w:lineRule="auto"/>
        <w:ind w:firstLine="480" w:firstLineChars="200"/>
        <w:jc w:val="both"/>
        <w:rPr>
          <w:color w:val="auto"/>
          <w:kern w:val="2"/>
          <w:highlight w:val="none"/>
          <w:lang w:val="sq-AL"/>
        </w:rPr>
      </w:pPr>
      <w:r>
        <w:rPr>
          <w:rFonts w:hint="eastAsia"/>
          <w:color w:val="auto"/>
          <w:kern w:val="2"/>
          <w:highlight w:val="none"/>
        </w:rPr>
        <w:t>1.</w:t>
      </w:r>
      <w:r>
        <w:rPr>
          <w:rFonts w:hint="eastAsia"/>
          <w:color w:val="auto"/>
          <w:kern w:val="2"/>
          <w:highlight w:val="none"/>
          <w:lang w:val="sq-AL"/>
        </w:rPr>
        <w:t>承包人应按规定的时间和内容向发包人提交齐全的符合主管部门要求的工程</w:t>
      </w:r>
      <w:r>
        <w:rPr>
          <w:rFonts w:hint="eastAsia"/>
          <w:color w:val="auto"/>
          <w:kern w:val="2"/>
          <w:highlight w:val="none"/>
        </w:rPr>
        <w:t>竣工</w:t>
      </w:r>
      <w:r>
        <w:rPr>
          <w:rFonts w:hint="eastAsia"/>
          <w:color w:val="auto"/>
          <w:kern w:val="2"/>
          <w:highlight w:val="none"/>
          <w:lang w:val="sq-AL"/>
        </w:rPr>
        <w:t>结算资料。</w:t>
      </w:r>
      <w:r>
        <w:rPr>
          <w:rFonts w:hint="eastAsia"/>
          <w:color w:val="auto"/>
          <w:kern w:val="2"/>
          <w:highlight w:val="none"/>
        </w:rPr>
        <w:t>承包人向发包人提交竣工结算书及完整的结算资料的时间要求为本工程竣工验收合格后30天内，承包人在结算报审后（从发包人代表签收之日起计算）与造价咨询在发包人要求时间内核对完毕，补充所有要求提供的资料，并完成签字确认，如未按时报审或完成核对，按照5000元/天进行处罚。</w:t>
      </w:r>
      <w:r>
        <w:rPr>
          <w:rFonts w:hint="eastAsia"/>
          <w:color w:val="auto"/>
          <w:kern w:val="2"/>
          <w:highlight w:val="none"/>
          <w:lang w:val="sq-AL"/>
        </w:rPr>
        <w:t>承包人未能按规定时间向发包人提交工程</w:t>
      </w:r>
      <w:r>
        <w:rPr>
          <w:rFonts w:hint="eastAsia"/>
          <w:color w:val="auto"/>
          <w:kern w:val="2"/>
          <w:highlight w:val="none"/>
        </w:rPr>
        <w:t>竣工</w:t>
      </w:r>
      <w:r>
        <w:rPr>
          <w:rFonts w:hint="eastAsia"/>
          <w:color w:val="auto"/>
          <w:kern w:val="2"/>
          <w:highlight w:val="none"/>
          <w:lang w:val="sq-AL"/>
        </w:rPr>
        <w:t>结算资料或在发包人核算期间承包人不予配合，因此而无法在规定时间内完成结算手续，经发包人通报后</w:t>
      </w:r>
      <w:r>
        <w:rPr>
          <w:color w:val="auto"/>
          <w:kern w:val="2"/>
          <w:highlight w:val="none"/>
          <w:lang w:val="sq-AL"/>
        </w:rPr>
        <w:t>30日内仍拒不办理的，</w:t>
      </w:r>
      <w:r>
        <w:rPr>
          <w:rFonts w:hint="eastAsia"/>
          <w:color w:val="auto"/>
          <w:kern w:val="2"/>
          <w:highlight w:val="none"/>
        </w:rPr>
        <w:t>除相应罚款外，逾期</w:t>
      </w:r>
      <w:r>
        <w:rPr>
          <w:rFonts w:hint="eastAsia"/>
          <w:color w:val="auto"/>
          <w:kern w:val="2"/>
          <w:highlight w:val="none"/>
          <w:lang w:val="sq-AL"/>
        </w:rPr>
        <w:t>发包人可启动强制结算机制，将其单方编制的结算文件送审计或审核，发包人根据已有资料审查、核实确定竣工结算价款,发包人核算的结果视为承包人已认可，承包人应该办理签认手续，不得有异议。另外，发包人因承包人的上述原因导致的无法按期办理本项目相关手续而造成的一切损失，含对任何第三方所造成的经济损失，均由承包人承担。发包人在收到承包人提交完整的竣工结算书及结算资料后，应按合同的有关约定，在监理人等的协助下，进行审查、核实，经与承包人协商达成一致意见后确认工程竣工结算价款。但发包人未对承包人提交的竣工结算书(包括经修改的竣工结算书或补充结算资料)进行认可和提出异议，不代表发包人已认可承包人提交的竣工结算书。</w:t>
      </w:r>
    </w:p>
    <w:p>
      <w:pPr>
        <w:widowControl w:val="0"/>
        <w:adjustRightInd w:val="0"/>
        <w:snapToGrid w:val="0"/>
        <w:spacing w:line="360" w:lineRule="auto"/>
        <w:ind w:firstLine="480" w:firstLineChars="200"/>
        <w:jc w:val="both"/>
        <w:rPr>
          <w:color w:val="auto"/>
          <w:kern w:val="2"/>
          <w:highlight w:val="none"/>
          <w:lang w:val="sq-AL"/>
        </w:rPr>
      </w:pPr>
      <w:r>
        <w:rPr>
          <w:color w:val="auto"/>
          <w:kern w:val="2"/>
          <w:highlight w:val="none"/>
        </w:rPr>
        <w:t>2</w:t>
      </w:r>
      <w:r>
        <w:rPr>
          <w:rFonts w:hint="eastAsia"/>
          <w:color w:val="auto"/>
          <w:kern w:val="2"/>
          <w:highlight w:val="none"/>
        </w:rPr>
        <w:t>.</w:t>
      </w:r>
      <w:r>
        <w:rPr>
          <w:color w:val="auto"/>
          <w:kern w:val="2"/>
          <w:highlight w:val="none"/>
        </w:rPr>
        <w:t>结算模式：采用施工图结算模式，即施工图+变更+签证+其他（索赔、奖罚等）。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3.结算计量原则：结算时工程量按实际发生量计算，</w:t>
      </w:r>
      <w:r>
        <w:rPr>
          <w:rFonts w:hint="eastAsia"/>
          <w:b/>
          <w:bCs/>
          <w:color w:val="auto"/>
          <w:kern w:val="2"/>
          <w:highlight w:val="none"/>
        </w:rPr>
        <w:t>工程量依据承包范围内经发包人确认的施工图、图纸会审纪要（只针对于图纸中明显的错漏之处，如某专业图纸自身矛盾、各专业图纸相互矛盾、设计图纸表达不清等）、设计变更通知单、经发包人批准的现场签证单等计算工程量</w:t>
      </w:r>
      <w:r>
        <w:rPr>
          <w:rFonts w:hint="eastAsia"/>
          <w:color w:val="auto"/>
          <w:kern w:val="2"/>
          <w:highlight w:val="none"/>
        </w:rPr>
        <w:t>。对施工质量不合格的分项工程，不予计量。</w:t>
      </w:r>
      <w:r>
        <w:rPr>
          <w:rFonts w:hint="eastAsia"/>
          <w:color w:val="auto"/>
          <w:kern w:val="2"/>
          <w:highlight w:val="none"/>
          <w:lang w:val="sq-AL"/>
        </w:rPr>
        <w:t>如图纸不能计量的，工程量由发包人、承包人、监理单位、咨询人四方现场计量确认（应包含现场草图、影像资料、工程量确认单）。</w:t>
      </w:r>
      <w:r>
        <w:rPr>
          <w:rFonts w:hint="eastAsia"/>
          <w:color w:val="auto"/>
          <w:kern w:val="2"/>
          <w:highlight w:val="none"/>
        </w:rPr>
        <w:t>因承包人自身原因造成的返工工程量、超出图纸范围又未经变更审批的工程量、不符合工程质量标准的工程量、发包人书面通知承包人取消的工程量，均不予计量。</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另，承包人不得以施工图工程量与招标工程量清单工程量不同（无论这种不同存在差异有多大）或工程变更引起工程量增减为由要求调整综合单价。</w:t>
      </w:r>
    </w:p>
    <w:p>
      <w:pPr>
        <w:widowControl w:val="0"/>
        <w:numPr>
          <w:ilvl w:val="255"/>
          <w:numId w:val="0"/>
        </w:numPr>
        <w:adjustRightInd w:val="0"/>
        <w:snapToGrid w:val="0"/>
        <w:spacing w:line="360" w:lineRule="auto"/>
        <w:ind w:firstLine="482" w:firstLineChars="200"/>
        <w:jc w:val="both"/>
        <w:rPr>
          <w:rFonts w:cs="Times New Roman"/>
          <w:color w:val="auto"/>
          <w:kern w:val="2"/>
          <w:highlight w:val="none"/>
        </w:rPr>
      </w:pPr>
      <w:r>
        <w:rPr>
          <w:rFonts w:hint="eastAsia"/>
          <w:b/>
          <w:color w:val="auto"/>
          <w:kern w:val="2"/>
          <w:highlight w:val="none"/>
        </w:rPr>
        <w:t>4.结算计价原则</w:t>
      </w:r>
    </w:p>
    <w:p>
      <w:pPr>
        <w:widowControl w:val="0"/>
        <w:numPr>
          <w:ilvl w:val="255"/>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（1）管堵头等所有管件以及管井内管道施工增加费用包含在相应管道合同综合单价中，结算时不另计取。</w:t>
      </w:r>
    </w:p>
    <w:p>
      <w:pPr>
        <w:widowControl w:val="0"/>
        <w:numPr>
          <w:ilvl w:val="255"/>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（2）刨沟及修复：混凝土和砖体凿槽及修补、挂网等费用包含在相应凿(压)槽合同综合单价中，结算时不另计取。</w:t>
      </w:r>
    </w:p>
    <w:p>
      <w:pPr>
        <w:widowControl w:val="0"/>
        <w:numPr>
          <w:ilvl w:val="255"/>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（3）</w:t>
      </w:r>
      <w:r>
        <w:rPr>
          <w:rFonts w:hint="eastAsia" w:cs="Times New Roman"/>
          <w:color w:val="auto"/>
          <w:kern w:val="2"/>
          <w:highlight w:val="none"/>
        </w:rPr>
        <w:t>建筑物</w:t>
      </w:r>
      <w:r>
        <w:rPr>
          <w:rFonts w:hint="eastAsia"/>
          <w:color w:val="auto"/>
          <w:kern w:val="2"/>
          <w:highlight w:val="none"/>
        </w:rPr>
        <w:t>超高增加费、高层建筑增加费等费用已包含在相应合同综合单价中，结算时不另计取。</w:t>
      </w:r>
    </w:p>
    <w:p>
      <w:pPr>
        <w:widowControl w:val="0"/>
        <w:numPr>
          <w:ilvl w:val="255"/>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（4）</w:t>
      </w:r>
      <w:r>
        <w:rPr>
          <w:color w:val="auto"/>
          <w:highlight w:val="none"/>
        </w:rPr>
        <w:t>电缆残值回收单价</w:t>
      </w:r>
      <w:r>
        <w:rPr>
          <w:rFonts w:hint="eastAsia"/>
          <w:color w:val="auto"/>
          <w:highlight w:val="none"/>
        </w:rPr>
        <w:t>有合同价的按合同价计取，无合同价的结算时</w:t>
      </w:r>
      <w:r>
        <w:rPr>
          <w:color w:val="auto"/>
          <w:highlight w:val="none"/>
        </w:rPr>
        <w:t>统一按</w:t>
      </w:r>
      <w:r>
        <w:rPr>
          <w:rFonts w:hint="eastAsia"/>
          <w:color w:val="auto"/>
          <w:highlight w:val="none"/>
        </w:rPr>
        <w:t>对应电缆信息价</w:t>
      </w:r>
      <w:r>
        <w:rPr>
          <w:color w:val="auto"/>
          <w:highlight w:val="none"/>
        </w:rPr>
        <w:t>的50%计取</w:t>
      </w:r>
      <w:r>
        <w:rPr>
          <w:rFonts w:hint="eastAsia"/>
          <w:color w:val="auto"/>
          <w:highlight w:val="none"/>
        </w:rPr>
        <w:t>,并按合同下浮率下浮确定；回收工程量按几方现场确认不可利旧工程量计取。</w:t>
      </w:r>
    </w:p>
    <w:p>
      <w:pPr>
        <w:pStyle w:val="13"/>
        <w:widowControl w:val="0"/>
        <w:numPr>
          <w:ilvl w:val="255"/>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（5）配电箱箱体安装、墙面修补、接地、端子板接线、开关及机构调整等费用包含在配电箱合同综合单价中，结算时不另计取。</w:t>
      </w:r>
    </w:p>
    <w:p>
      <w:pPr>
        <w:numPr>
          <w:ilvl w:val="255"/>
          <w:numId w:val="0"/>
        </w:numPr>
        <w:adjustRightInd w:val="0"/>
        <w:snapToGrid w:val="0"/>
        <w:spacing w:line="360" w:lineRule="auto"/>
        <w:ind w:firstLine="480" w:firstLineChars="200"/>
        <w:rPr>
          <w:color w:val="auto"/>
          <w:kern w:val="2"/>
          <w:highlight w:val="none"/>
        </w:rPr>
      </w:pPr>
      <w:r>
        <w:rPr>
          <w:rFonts w:hint="eastAsia"/>
          <w:color w:val="auto"/>
          <w:kern w:val="2"/>
          <w:highlight w:val="none"/>
        </w:rPr>
        <w:t>（6）拆除天花、洁具五金、配电箱、桥架及接地母线、自动开关、电缆及电缆终端头、配线及配管等涉及拆除工作内容，工程量结算时按几方现场确认的工程量进行计取。</w:t>
      </w:r>
    </w:p>
    <w:p>
      <w:pPr>
        <w:pStyle w:val="2"/>
        <w:rPr>
          <w:color w:val="auto"/>
          <w:highlight w:val="none"/>
        </w:rPr>
      </w:pPr>
      <w:r>
        <w:rPr>
          <w:rFonts w:hint="eastAsia"/>
          <w:b/>
          <w:bCs/>
          <w:color w:val="auto"/>
          <w:kern w:val="2"/>
          <w:highlight w:val="none"/>
          <w:lang w:val="sq-AL"/>
        </w:rPr>
        <w:t>本项目</w:t>
      </w:r>
      <w:r>
        <w:rPr>
          <w:rFonts w:hint="eastAsia"/>
          <w:b/>
          <w:bCs/>
          <w:color w:val="auto"/>
          <w:kern w:val="2"/>
          <w:highlight w:val="none"/>
        </w:rPr>
        <w:t>最终</w:t>
      </w:r>
      <w:r>
        <w:rPr>
          <w:rFonts w:hint="eastAsia"/>
          <w:b/>
          <w:bCs/>
          <w:color w:val="auto"/>
          <w:kern w:val="2"/>
          <w:highlight w:val="none"/>
          <w:lang w:val="sq-AL"/>
        </w:rPr>
        <w:t>结算金额不得超过投标上限价</w:t>
      </w:r>
      <w:r>
        <w:rPr>
          <w:rFonts w:hint="eastAsia"/>
          <w:b/>
          <w:bCs/>
          <w:color w:val="auto"/>
          <w:kern w:val="2"/>
          <w:highlight w:val="none"/>
          <w:lang w:val="sq-AL" w:eastAsia="zh-CN"/>
        </w:rPr>
        <w:t>（</w:t>
      </w:r>
      <w:bookmarkStart w:id="1159" w:name="_GoBack"/>
      <w:bookmarkEnd w:id="1159"/>
      <w:r>
        <w:rPr>
          <w:rFonts w:hint="eastAsia"/>
          <w:b/>
          <w:bCs/>
          <w:color w:val="auto"/>
          <w:kern w:val="2"/>
          <w:highlight w:val="none"/>
          <w:lang w:val="en-US" w:eastAsia="zh-CN"/>
        </w:rPr>
        <w:t>199.995104万元</w:t>
      </w:r>
      <w:r>
        <w:rPr>
          <w:rFonts w:hint="eastAsia"/>
          <w:b/>
          <w:bCs/>
          <w:color w:val="auto"/>
          <w:kern w:val="2"/>
          <w:highlight w:val="none"/>
          <w:lang w:val="sq-AL" w:eastAsia="zh-CN"/>
        </w:rPr>
        <w:t>）</w:t>
      </w:r>
      <w:r>
        <w:rPr>
          <w:rFonts w:hint="eastAsia"/>
          <w:b/>
          <w:bCs/>
          <w:color w:val="auto"/>
          <w:kern w:val="2"/>
          <w:highlight w:val="none"/>
          <w:lang w:val="sq-AL"/>
        </w:rPr>
        <w:t>。若结算金额超过投标上限价，则超出部分由乙方自行独立承担，按本项目投标上限价进行结算，乙方不得向甲方寻求其他任何的补偿或赔偿。最终结算价格以发包人委托第三方机构审定并经发包人确认的结果为准，若项目按规定须提交政府审计部门审计的，则最终结算价以政府审计部门审计结果为准。</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6.</w:t>
      </w:r>
      <w:r>
        <w:rPr>
          <w:rFonts w:hint="eastAsia"/>
          <w:color w:val="auto"/>
          <w:kern w:val="2"/>
          <w:highlight w:val="none"/>
          <w:lang w:val="sq-AL"/>
        </w:rPr>
        <w:t>承包人必须按实编制</w:t>
      </w:r>
      <w:r>
        <w:rPr>
          <w:rFonts w:hint="eastAsia"/>
          <w:color w:val="auto"/>
          <w:kern w:val="2"/>
          <w:highlight w:val="none"/>
        </w:rPr>
        <w:t>施工图预算及</w:t>
      </w:r>
      <w:r>
        <w:rPr>
          <w:rFonts w:hint="eastAsia"/>
          <w:color w:val="auto"/>
          <w:kern w:val="2"/>
          <w:highlight w:val="none"/>
          <w:lang w:val="sq-AL"/>
        </w:rPr>
        <w:t>工程竣工结算，</w:t>
      </w:r>
      <w:r>
        <w:rPr>
          <w:rFonts w:hint="eastAsia"/>
          <w:color w:val="auto"/>
          <w:kern w:val="2"/>
          <w:highlight w:val="none"/>
        </w:rPr>
        <w:t>不得高估冒算。</w:t>
      </w:r>
    </w:p>
    <w:p>
      <w:pPr>
        <w:widowControl w:val="0"/>
        <w:adjustRightInd w:val="0"/>
        <w:snapToGrid w:val="0"/>
        <w:spacing w:line="360" w:lineRule="auto"/>
        <w:ind w:firstLine="480" w:firstLineChars="200"/>
        <w:jc w:val="both"/>
        <w:rPr>
          <w:color w:val="auto"/>
          <w:kern w:val="2"/>
          <w:highlight w:val="none"/>
          <w:lang w:val="sq-AL"/>
        </w:rPr>
      </w:pPr>
      <w:r>
        <w:rPr>
          <w:rFonts w:hint="eastAsia"/>
          <w:color w:val="auto"/>
          <w:kern w:val="2"/>
          <w:highlight w:val="none"/>
          <w:lang w:val="sq-AL"/>
        </w:rPr>
        <w:t>经发包人委托第三方造价咨询复审单位进行</w:t>
      </w:r>
      <w:r>
        <w:rPr>
          <w:rFonts w:hint="eastAsia"/>
          <w:color w:val="auto"/>
          <w:kern w:val="2"/>
          <w:highlight w:val="none"/>
        </w:rPr>
        <w:t>施工图预算审核及</w:t>
      </w:r>
      <w:r>
        <w:rPr>
          <w:rFonts w:hint="eastAsia"/>
          <w:color w:val="auto"/>
          <w:kern w:val="2"/>
          <w:highlight w:val="none"/>
          <w:lang w:val="sq-AL"/>
        </w:rPr>
        <w:t>结算审核，如复审核减额超过承包人报送的</w:t>
      </w:r>
      <w:r>
        <w:rPr>
          <w:rFonts w:hint="eastAsia"/>
          <w:color w:val="auto"/>
          <w:kern w:val="2"/>
          <w:highlight w:val="none"/>
        </w:rPr>
        <w:t>施工图预算及</w:t>
      </w:r>
      <w:r>
        <w:rPr>
          <w:rFonts w:hint="eastAsia"/>
          <w:color w:val="auto"/>
          <w:kern w:val="2"/>
          <w:highlight w:val="none"/>
          <w:lang w:val="sq-AL"/>
        </w:rPr>
        <w:t>工程竣工结算造价的10%(不含本数10%)，承包人按以下方式承担违约金: 违约金=[承包人送审造价 - (</w:t>
      </w:r>
      <w:r>
        <w:rPr>
          <w:rFonts w:hint="eastAsia"/>
          <w:color w:val="auto"/>
          <w:kern w:val="2"/>
          <w:highlight w:val="none"/>
        </w:rPr>
        <w:t>复审</w:t>
      </w:r>
      <w:r>
        <w:rPr>
          <w:rFonts w:hint="eastAsia"/>
          <w:color w:val="auto"/>
          <w:kern w:val="2"/>
          <w:highlight w:val="none"/>
          <w:lang w:val="sq-AL"/>
        </w:rPr>
        <w:t>审定价*110%)</w:t>
      </w:r>
      <w:r>
        <w:rPr>
          <w:rFonts w:hint="eastAsia"/>
          <w:color w:val="auto"/>
          <w:kern w:val="2"/>
          <w:highlight w:val="none"/>
        </w:rPr>
        <w:t>]</w:t>
      </w:r>
      <w:r>
        <w:rPr>
          <w:rFonts w:hint="eastAsia"/>
          <w:color w:val="auto"/>
          <w:kern w:val="2"/>
          <w:highlight w:val="none"/>
          <w:lang w:val="sq-AL"/>
        </w:rPr>
        <w:t>x5%，发包人有权在</w:t>
      </w:r>
      <w:r>
        <w:rPr>
          <w:rFonts w:hint="eastAsia"/>
          <w:color w:val="auto"/>
          <w:kern w:val="2"/>
          <w:highlight w:val="none"/>
        </w:rPr>
        <w:t>工程进度款、</w:t>
      </w:r>
      <w:r>
        <w:rPr>
          <w:rFonts w:hint="eastAsia"/>
          <w:color w:val="auto"/>
          <w:kern w:val="2"/>
          <w:highlight w:val="none"/>
          <w:lang w:val="sq-AL"/>
        </w:rPr>
        <w:t>结算款项中以违约金形式扣除，承包人不得有异议。</w:t>
      </w:r>
    </w:p>
    <w:p>
      <w:pPr>
        <w:widowControl w:val="0"/>
        <w:kinsoku w:val="0"/>
        <w:wordWrap w:val="0"/>
        <w:adjustRightInd w:val="0"/>
        <w:snapToGrid w:val="0"/>
        <w:spacing w:line="360" w:lineRule="auto"/>
        <w:ind w:firstLine="482" w:firstLineChars="200"/>
        <w:jc w:val="both"/>
        <w:rPr>
          <w:b/>
          <w:color w:val="auto"/>
          <w:kern w:val="2"/>
          <w:highlight w:val="none"/>
        </w:rPr>
      </w:pPr>
      <w:r>
        <w:rPr>
          <w:rFonts w:hint="eastAsia"/>
          <w:b/>
          <w:color w:val="auto"/>
          <w:kern w:val="2"/>
          <w:highlight w:val="none"/>
        </w:rPr>
        <w:t>（六）工程款支付</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1.工程预付款</w:t>
      </w:r>
    </w:p>
    <w:p>
      <w:pPr>
        <w:pStyle w:val="13"/>
        <w:rPr>
          <w:color w:val="auto"/>
          <w:highlight w:val="none"/>
        </w:rPr>
      </w:pPr>
      <w:r>
        <w:rPr>
          <w:rFonts w:hint="eastAsia"/>
          <w:color w:val="auto"/>
          <w:kern w:val="2"/>
          <w:highlight w:val="none"/>
        </w:rPr>
        <w:t>本项目不支付预付款。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2.期中支付</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（1）原则上工程施工进度款按月支付，具体约定如下：</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 xml:space="preserve"> 每月25日前，承包人向监理工程师提出当期已完工程量计价申请，经监理、造价咨询、发包人按程序审核同意后，支付给承包人，每期应付工程进度款为当期完成产值的80％。首期进度款请款时需提供履约保函、保险购买证明（验原件、留复印件）经发包人审核后支付首期进度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（2）经发包人确认工程完工且竣工验收合格后，支付至合同签约价或预算价中低价者扣除暂列金额后的85%；</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（3）竣工图完成、提交质量保修金保函、提交完整竣工结算资料且结算审核完成后，支付至结算价97%（若提供工程质保保函，则在竣工结算经最终审核后支付至最终审定结算金额的100%）；</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（4）结算金额的3%作为工程质保金，竣工满两年后，按《工程质量缺陷保修书》的有关约定支付；</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（5）承包人在竣工验收当月申请工程款时，必须先结清该工程用水用电费用（含正式电），并提供供电部门相关证明。否则，发包人有权拒绝支付当月工程款。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承包人在发包人支付款项时用增值税专用发票进行结算，应在发包人付款前足额提供发票，发票金额以实际付款金额为准。如承包人未按约定提供相应金额的合法税务发票及相应付款申请资料，发包人有权不予支付款项。承包人应在发票开具后10日内提交发包人，延期提交的，发包人有权拒收且不付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支付比例不超过合同额的30%）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5.本工程保修款支付详见《工程质量缺陷保修书》。</w:t>
      </w:r>
    </w:p>
    <w:p>
      <w:pPr>
        <w:widowControl w:val="0"/>
        <w:adjustRightInd w:val="0"/>
        <w:snapToGrid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6.本工程签约合同价中工人工资款比例为：</w:t>
      </w:r>
      <w:r>
        <w:rPr>
          <w:rFonts w:hint="eastAsia" w:cs="Times New Roman"/>
          <w:color w:val="auto"/>
          <w:kern w:val="2"/>
          <w:highlight w:val="none"/>
          <w:u w:val="single"/>
        </w:rPr>
        <w:t xml:space="preserve"> 17% </w:t>
      </w:r>
      <w:r>
        <w:rPr>
          <w:rFonts w:hint="eastAsia" w:cs="Times New Roman"/>
          <w:color w:val="auto"/>
          <w:kern w:val="2"/>
          <w:highlight w:val="none"/>
        </w:rPr>
        <w:t>。</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（1）承包人指定收款账户的银行信息如下：</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开户名称：</w:t>
      </w:r>
      <w:r>
        <w:rPr>
          <w:rFonts w:hint="eastAsia"/>
          <w:color w:val="auto"/>
          <w:kern w:val="2"/>
          <w:highlight w:val="none"/>
          <w:u w:val="single"/>
        </w:rPr>
        <w:t>*****</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银行账号：</w:t>
      </w:r>
      <w:r>
        <w:rPr>
          <w:rFonts w:hint="eastAsia"/>
          <w:color w:val="auto"/>
          <w:kern w:val="2"/>
          <w:highlight w:val="none"/>
          <w:u w:val="single"/>
        </w:rPr>
        <w:t>**********</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开户银行：</w:t>
      </w:r>
      <w:r>
        <w:rPr>
          <w:rFonts w:hint="eastAsia"/>
          <w:color w:val="auto"/>
          <w:kern w:val="2"/>
          <w:highlight w:val="none"/>
          <w:u w:val="single"/>
        </w:rPr>
        <w:t>**********</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纳税人识别号：</w:t>
      </w:r>
      <w:r>
        <w:rPr>
          <w:rFonts w:hint="eastAsia"/>
          <w:color w:val="auto"/>
          <w:kern w:val="2"/>
          <w:highlight w:val="none"/>
          <w:u w:val="single"/>
        </w:rPr>
        <w:t>**********</w:t>
      </w:r>
    </w:p>
    <w:p>
      <w:pPr>
        <w:widowControl w:val="0"/>
        <w:numPr>
          <w:ilvl w:val="255"/>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（2）工人工资专用账户信息：</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工人工资款支付专用账户名称：</w:t>
      </w:r>
      <w:r>
        <w:rPr>
          <w:rFonts w:hint="eastAsia"/>
          <w:color w:val="auto"/>
          <w:kern w:val="2"/>
          <w:highlight w:val="none"/>
          <w:u w:val="single"/>
        </w:rPr>
        <w:t xml:space="preserve">     </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工人工资款支付专用账户开户银行：</w:t>
      </w:r>
      <w:r>
        <w:rPr>
          <w:rFonts w:hint="eastAsia"/>
          <w:color w:val="auto"/>
          <w:kern w:val="2"/>
          <w:highlight w:val="none"/>
          <w:u w:val="single"/>
        </w:rPr>
        <w:t xml:space="preserve">      </w:t>
      </w:r>
    </w:p>
    <w:p>
      <w:pPr>
        <w:widowControl w:val="0"/>
        <w:adjustRightInd w:val="0"/>
        <w:snapToGrid w:val="0"/>
        <w:spacing w:line="360" w:lineRule="auto"/>
        <w:ind w:firstLine="480" w:firstLineChars="200"/>
        <w:jc w:val="both"/>
        <w:rPr>
          <w:color w:val="auto"/>
          <w:kern w:val="2"/>
          <w:highlight w:val="none"/>
          <w:u w:val="single"/>
        </w:rPr>
      </w:pPr>
      <w:r>
        <w:rPr>
          <w:rFonts w:hint="eastAsia"/>
          <w:color w:val="auto"/>
          <w:kern w:val="2"/>
          <w:highlight w:val="none"/>
        </w:rPr>
        <w:t>工人工资款支付专用账户号：</w:t>
      </w:r>
      <w:r>
        <w:rPr>
          <w:rFonts w:hint="eastAsia"/>
          <w:color w:val="auto"/>
          <w:kern w:val="2"/>
          <w:highlight w:val="none"/>
          <w:u w:val="single"/>
        </w:rPr>
        <w:t xml:space="preserve">        </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7.资金监管</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发包人要求承包人建立监管账户，工程进度款支付到以承包人名义设立的监管账户中，承包人向外支付时，需</w:t>
      </w:r>
      <w:r>
        <w:rPr>
          <w:rFonts w:hint="eastAsia" w:cs="FangSong_GB2312"/>
          <w:color w:val="auto"/>
          <w:szCs w:val="21"/>
          <w:highlight w:val="none"/>
        </w:rPr>
        <w:t>提交支付名单和《资金使用计划（预算）》给发包人审核；在发包人批准的名单和计划内，承包人提交支付指令及银行需要的相关资料（相关合同、票据等），由银行进行逐笔审批单笔支付</w:t>
      </w:r>
      <w:r>
        <w:rPr>
          <w:rFonts w:hint="eastAsia"/>
          <w:color w:val="auto"/>
          <w:kern w:val="2"/>
          <w:highlight w:val="none"/>
        </w:rPr>
        <w:t>。资金共管的范围包括但不限于工程预付款、工程进度款、安全文明措施费等。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资金监管协议书参考模板详见附件5。</w:t>
      </w:r>
    </w:p>
    <w:p>
      <w:pPr>
        <w:widowControl w:val="0"/>
        <w:kinsoku w:val="0"/>
        <w:wordWrap w:val="0"/>
        <w:adjustRightInd w:val="0"/>
        <w:snapToGrid w:val="0"/>
        <w:spacing w:line="360" w:lineRule="auto"/>
        <w:ind w:firstLine="482" w:firstLineChars="200"/>
        <w:jc w:val="both"/>
        <w:rPr>
          <w:b/>
          <w:color w:val="auto"/>
          <w:kern w:val="2"/>
          <w:highlight w:val="none"/>
        </w:rPr>
      </w:pPr>
      <w:r>
        <w:rPr>
          <w:rFonts w:hint="eastAsia"/>
          <w:b/>
          <w:color w:val="auto"/>
          <w:kern w:val="2"/>
          <w:highlight w:val="none"/>
        </w:rPr>
        <w:t>（七）工程变更价款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w:t>
      </w:r>
      <w:r>
        <w:rPr>
          <w:rFonts w:hint="eastAsia"/>
          <w:b/>
          <w:color w:val="auto"/>
          <w:kern w:val="2"/>
          <w:highlight w:val="none"/>
        </w:rPr>
        <w:t>工程变更价款的确定方式</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合同综合单价中已有适用于变更工程的综合单价（或下挂定额子目单价），按合同综合单价（或下挂定额子目单价）确定变更价款。如合同存在相同清单项目不同综合单价(含电子文件)不一致的情况，按不利于承包人的方式计取；</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（2）合同综合单价中只有类似于变更工程的综合单价（或下挂定额子目单价），可以参照类似单价确定变更价款；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（3）合同综合单价中没有适用于变更工程的综合单价，按照招标控制价的编制方法计算出该清单项目的综合单价，再依据中标净下浮率调整后确定；</w:t>
      </w:r>
    </w:p>
    <w:p>
      <w:pPr>
        <w:adjustRightInd w:val="0"/>
        <w:snapToGrid w:val="0"/>
        <w:spacing w:line="360" w:lineRule="auto"/>
        <w:ind w:firstLine="480" w:firstLineChars="200"/>
        <w:rPr>
          <w:color w:val="auto"/>
          <w:kern w:val="2"/>
          <w:highlight w:val="none"/>
        </w:rPr>
      </w:pPr>
      <w:r>
        <w:rPr>
          <w:rFonts w:hint="eastAsia"/>
          <w:color w:val="auto"/>
          <w:kern w:val="2"/>
          <w:highlight w:val="none"/>
        </w:rPr>
        <w:t>（4）以上情况均不适用的项目，由承包人报送变更工程的项目综合单价，经发包人审批后确定。</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工程中标净下浮率=</w:t>
      </w:r>
      <w:r>
        <w:rPr>
          <w:rFonts w:hint="eastAsia"/>
          <w:color w:val="auto"/>
          <w:kern w:val="2"/>
          <w:highlight w:val="none"/>
          <w:lang w:val="sq-AL"/>
        </w:rPr>
        <w:t>[1－中标价（扣除不可竞争费）÷招标控制价（扣除不可竞争费）]×100%</w:t>
      </w:r>
      <w:r>
        <w:rPr>
          <w:rFonts w:hint="eastAsia"/>
          <w:color w:val="auto"/>
          <w:kern w:val="2"/>
          <w:highlight w:val="none"/>
        </w:rPr>
        <w:t>。</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承包人不得以变更签证工程的造价未确定为由，拒不进行施工，否则发包人有权按招标文件内工期延误的有关约定，对承包人提出索赔。</w:t>
      </w:r>
    </w:p>
    <w:p>
      <w:pPr>
        <w:widowControl w:val="0"/>
        <w:adjustRightInd w:val="0"/>
        <w:snapToGrid w:val="0"/>
        <w:spacing w:line="360" w:lineRule="auto"/>
        <w:ind w:firstLine="482" w:firstLineChars="200"/>
        <w:jc w:val="both"/>
        <w:rPr>
          <w:b/>
          <w:bCs/>
          <w:color w:val="auto"/>
          <w:kern w:val="2"/>
          <w:highlight w:val="none"/>
        </w:rPr>
      </w:pPr>
      <w:r>
        <w:rPr>
          <w:rFonts w:hint="eastAsia"/>
          <w:b/>
          <w:bCs/>
          <w:color w:val="auto"/>
          <w:kern w:val="2"/>
          <w:highlight w:val="none"/>
        </w:rPr>
        <w:t>2.工程变更引起措施项目费调整方式：除安全文明施工措施费、钢筋混凝土模板及脚手架费外，其余措施费不调整。</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3.工程变更风险提示</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招标时提供的图纸中可能出现部分节点大样图未标明或不详细等情况，承包人必须仔细核查图纸，如有不明处，必须按《投标须知前附表》规定的时间内书面提出，由发包人统一解答，凡未书面提出，均视为承包人认可发包人的所有图纸为明确可行的，则合同签订后或施工过程中，中标人不得以图纸做法不明确、不完善为由申请设计变更或增加价款，发包人对此均不予补偿。</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对节点大样图的任何补充、深化设计都不涉及到造价，承包人对节点大样图的补充、深化设计必须获得发包人及发包人委托的设计咨询的认可，如果发包人及设计咨询认为承包人的设计不满足要求，承包人必须无条件修改至发包人及设计咨询认可为止，且此认可并不涉及任何造价的改变或工期的增加，承包人须在投标报价中自行考虑。</w:t>
      </w:r>
    </w:p>
    <w:p>
      <w:pPr>
        <w:widowControl w:val="0"/>
        <w:kinsoku w:val="0"/>
        <w:wordWrap w:val="0"/>
        <w:adjustRightInd w:val="0"/>
        <w:snapToGrid w:val="0"/>
        <w:spacing w:line="360" w:lineRule="auto"/>
        <w:ind w:firstLine="482" w:firstLineChars="200"/>
        <w:jc w:val="both"/>
        <w:rPr>
          <w:rFonts w:cs="Times New Roman"/>
          <w:color w:val="auto"/>
          <w:kern w:val="2"/>
          <w:highlight w:val="none"/>
        </w:rPr>
      </w:pPr>
      <w:r>
        <w:rPr>
          <w:rFonts w:hint="eastAsia"/>
          <w:b/>
          <w:color w:val="auto"/>
          <w:kern w:val="2"/>
          <w:highlight w:val="none"/>
        </w:rPr>
        <w:t>（八）安全文明措施费范围</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安全文明措施费包含《深圳市建设工程计价费率标准（2023）》之安全文明措施费但不限于的工作内容：</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1、临时设施（</w:t>
      </w:r>
      <w:r>
        <w:rPr>
          <w:rFonts w:cs="Times New Roman"/>
          <w:color w:val="auto"/>
          <w:kern w:val="2"/>
          <w:highlight w:val="none"/>
        </w:rPr>
        <w:t>包括办公室、宿舍、食堂、卫生间、淋浴间等</w:t>
      </w:r>
      <w:r>
        <w:rPr>
          <w:rFonts w:hint="eastAsia"/>
          <w:color w:val="auto"/>
          <w:kern w:val="2"/>
          <w:highlight w:val="none"/>
        </w:rPr>
        <w:t>）</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(1)现场围挡：围挡搭设、维护、拆除及清运，含门、基础及面层一般装饰。现场大门应设置密封不透式铁门，配备警卫门卫室及门禁系统。</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(2)场地硬化：场地铺设硬地化材料、维护、拆除及清运。包括场地临时道路、吊装、预制、加工及生活等场地硬地化。</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(3)临时建筑：基础制作、临时建筑搭设、维护、拆除及清运。包括临时办公室、会议室、宿舍、食堂、厕所、加工场等。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现场临时用电设施：现场电源接入点之后的临时用电设备、设施及配电线路安装、维护、拆除及清运。含本工程所需的所有现场临时用电设施。包括施工及生活用的配电柜箱、电线系统、外电防护及保护装置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(5)现场临时用水设施：现场水源接入点之后的临时用水及消防设备、设施及管线安装、维护、拆除及清运。含本工程所需的所有现场临时用水设施，包括水表、水管、水龙头及保护措施。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承包人已考察现场，承包人进场以后土方外运、场地平整等费用承包人已综合考虑在临时设施费之内；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办公室场地由承包人自行考虑。</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施工垃圾集中收集站设置与保持（满足现场施工要求，包含分包）。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施工备用水蓄水池设置与保持（满足现场要求，包含分包）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地下室施工完毕后，投标方需按照总平面对现有临时道路进行修筑，以便形成多个环路，宽度6米，内容包括土方平整、碾压、150mm厚石粉铺设、碾压、150mm厚C25混凝土浇筑（并单边设置不小于300*400的排水明沟），保持所在标段范围路段畅通；另为了保证施工道路至于地下室顶板之上并保证结构及行车安全，两层地下室结构板务必按照招标方的要求进行结构回顶；</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包括从给水接驳点至施工现场的施工用水管道、从变压器接至施工现场临时电缆及每单元务必按照首层1个，标准层1个/2层、以及裙楼部位或超大面积标准层按1个/30米半径范围内的标准配备用水接驳点、三级电箱便于投标方及各分包使用，安全通道及出入口配备常明照明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临时设施拆除退场须经过监理审批，完工后按发包人要求将以上临时设施拆除以及所产生垃圾清运出现场。</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2.安全施工</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(1)安全警示牌、标语：危险处设置警示牌、操作规程牌；设置安全标语及横幅。包括本工程所有的安全警示牌、标语及横幅。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(2)危险处防护措施：基坑周边、临边作业、交叉作业、高处作业等防护；施工机械安全防护措施。含本工程所需的所有的安全防护措施。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(3)安全网：挂、拆及维护安全网；挂、拆及维护尼龙编织布。</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作业人员防护：本工程所有作业人员安全防护具(安全帽、安全带等安全护具)。(5)安全培训、教育及检测：本工程所需的所有安全教育、培训、交底等；特种设备检验检测；应急预案演练；危险性较大项目论证；起重吊装警戒措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(5)消防安全：本工程所需的所有消防安全设施。包括灭火器、消防水桶、消防水管、加压泵等。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(6)上下脚手架人行斜道：搭、拆及维护上下脚手架人行斜道。</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(7)接料平台：搭、拆及维护接料平台。</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(8)洞口和临边防护设施:楼梯口、电梯口、通道口、预留洞口、阳台周边、楼层周边、屋面周边、基坑周边、卸料平台两侧以及上下通道等临边安全防护设施。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材料加工厂及施工设备区域及安全出入口安全防护棚及安全通道的搭设及保持，包含防护棚及安全通道及其他防护措施的搭设、拆除，标语标识等，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挑架及安全防护棚的设置需符合国家和工程所在地市有关施工现场安全要求。报价中包含外挑脚手架形成前落地架的搭设及拆除费用以及今后存在的挑架下重新搭架及拆除费用，同时满足防坠落、安全、美观、不漏水、不受污染、无扬尘等要求；</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(9)塔式起重机、外用电梯、井字架提升机等建筑施工起重设备及配套防护设施；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(10)施工用电：符合规范要求的临时用电系统、标准化电箱、电器保护装置、电源线路的敷设、外电防护措施等；</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(11)清运自身施工垃圾的同时，室内外分包单位负责将其建筑/施工垃圾清运至指定的集中收集点，承包人及时清运至政府指定垃圾场，不得倾倒在距项目两地块红线1km范围内；包括所有室内外分包单位的施工垃圾（包含精装修垃圾），包括总包、分包设计变更等造成的一切垃圾，时间期限为开工一直到小区竣工。</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(12)按当地政府文明施工要求（如深圳市建设工程现场文明施工管理办法）可能增加的其他费用。</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(13）工地视频监控由承包人自行承担。</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3.文明施工</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(1)标示标牌：本工程所需的所有标示标牌。含工程概况、组织机构、管理人员名单及监督电话、安全生产、文明施工、消防保卫；施工现场总平面图等标示、标牌。</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(2)场容场貌：保持道路通畅、保持现场整洁、场地绿化。</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(3)材料堆放：保持材料堆放有序；易燃易爆有毒有害物品分类存放。</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(4)环境卫生：本工程所需的所有环境卫生措施。包括除四害消杀；食堂卫生措施；防暑降温措施。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(5)垃圾堆放相关设施：本工程所需的所有建筑垃圾和生活垃圾堆放相关设施。含建筑垃圾和生活垃圾临时堆放相关设施的搭设、维护、加固、拆除及标识及清运。</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4.环境保护</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施工单位在进场前将水土保持方案报送监理单位审核，水土保持方案包括水土流失预测、水土流失防治措施等，经审核的水土保持方案，施工过程中不得任意更改。施工过程中，施工单位应采取相应措施，防止因施工引起水土流失，应当按照批准的水土保持方案进行施工，不得破坏原有防洪排涝体系的功能，严禁向附近水库倾倒余泥、砂、石、渣土。</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(1)施工废水处理回用设施：本工程所需的所有废水处理回用设施。含基础施工、基础基坑降排水等施工废水处理回用设施的建设、维护、拆除及清运；安装回用水池及相关洒水设施的建设、维护、拆除及清运；临时化粪池和排污管道的建设、维护、拆除及清运。</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(2)施工车辆清洗设备：本工程所需的所有施工车辆清洗设备。含建设洗车用水处理回用设施的建设、维护、拆除及清运；清洗用高压水枪安装、拆除及清运；设置专人或自动机械逐台清洗出场车辆。</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(3)工地现场及周边道路降尘：本工程所需的所有降尘措施。含配置洒水设备；制定实施洒水降尘制度；场地和道路硬化或使用抑尘剂。</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(4)料堆防尘：本工程所有的料堆防尘措施。含水泥、砂石等易扬散的料堆表面全面覆盖；洒水或其他除尘措施。</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(5)施工噪声防治：本工程所需的所有施工噪声防治措施。</w:t>
      </w:r>
    </w:p>
    <w:p>
      <w:pPr>
        <w:widowControl w:val="0"/>
        <w:kinsoku w:val="0"/>
        <w:wordWrap w:val="0"/>
        <w:adjustRightInd w:val="0"/>
        <w:snapToGrid w:val="0"/>
        <w:spacing w:line="360" w:lineRule="auto"/>
        <w:ind w:firstLine="480" w:firstLineChars="200"/>
        <w:jc w:val="both"/>
        <w:rPr>
          <w:color w:val="auto"/>
          <w:kern w:val="2"/>
          <w:highlight w:val="none"/>
        </w:rPr>
      </w:pPr>
      <w:r>
        <w:rPr>
          <w:rFonts w:hint="eastAsia"/>
          <w:color w:val="auto"/>
          <w:kern w:val="2"/>
          <w:highlight w:val="none"/>
        </w:rPr>
        <w:t>承包人未按上述要求进行施工，导致周边环境污染、市政设施受损，附近河流、水库污染等引发的一切索赔、诉讼、损害赔偿等费用均由承包人负责处理，由此给发包人造成损失的，承包人赔偿发包人全部损失，并不免除政府主管部门对承包人的有关行政处罚和经济处罚。</w:t>
      </w:r>
    </w:p>
    <w:p>
      <w:pPr>
        <w:rPr>
          <w:color w:val="auto"/>
          <w:kern w:val="2"/>
          <w:highlight w:val="none"/>
        </w:rPr>
      </w:pPr>
      <w:r>
        <w:rPr>
          <w:color w:val="auto"/>
          <w:kern w:val="2"/>
          <w:highlight w:val="none"/>
        </w:rPr>
        <w:br w:type="page"/>
      </w:r>
    </w:p>
    <w:p>
      <w:pPr>
        <w:widowControl w:val="0"/>
        <w:numPr>
          <w:ilvl w:val="12"/>
          <w:numId w:val="0"/>
        </w:numPr>
        <w:adjustRightInd w:val="0"/>
        <w:snapToGrid w:val="0"/>
        <w:spacing w:line="360" w:lineRule="auto"/>
        <w:ind w:firstLine="480" w:firstLineChars="200"/>
        <w:jc w:val="both"/>
        <w:rPr>
          <w:color w:val="auto"/>
          <w:kern w:val="2"/>
          <w:highlight w:val="none"/>
        </w:rPr>
      </w:pPr>
      <w:r>
        <w:rPr>
          <w:rFonts w:hint="eastAsia"/>
          <w:color w:val="auto"/>
          <w:kern w:val="2"/>
          <w:highlight w:val="none"/>
        </w:rPr>
        <w:t>二、建设工程项目施工总承包工程管理及技术要求：详见附件1。</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三、材料设备参考品牌：详见附件2。</w:t>
      </w:r>
    </w:p>
    <w:p>
      <w:pPr>
        <w:adjustRightInd w:val="0"/>
        <w:snapToGrid w:val="0"/>
        <w:spacing w:line="360" w:lineRule="auto"/>
        <w:ind w:firstLine="480" w:firstLineChars="200"/>
        <w:rPr>
          <w:color w:val="auto"/>
          <w:szCs w:val="20"/>
          <w:highlight w:val="none"/>
        </w:rPr>
      </w:pPr>
      <w:r>
        <w:rPr>
          <w:rFonts w:hint="eastAsia"/>
          <w:color w:val="auto"/>
          <w:kern w:val="2"/>
          <w:szCs w:val="20"/>
          <w:highlight w:val="none"/>
        </w:rPr>
        <w:t>四、履约评价管理办法：详见附件3。</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五、工程质量保修书：详见附件4。</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六、资金监管协议书：参考模板详见附件5。</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七、安全生产、文明施工管理协议书：详见附件6。</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八、安全生产管理承诺书：详见附件7。</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九、消防安全管理承诺书：详见附件8。</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十、项目开发建设廉洁协议书：详见附件9。</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十一、项目管理机构配备情况表：详见附件10。</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十二、维护农民工合法权益承诺书：详见附件11。</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十三、关于设计文件审核及变更管理的投标承诺函：详见附件12。</w:t>
      </w:r>
    </w:p>
    <w:p>
      <w:pPr>
        <w:pStyle w:val="2"/>
        <w:rPr>
          <w:color w:val="auto"/>
          <w:highlight w:val="none"/>
        </w:rPr>
      </w:pPr>
      <w:r>
        <w:rPr>
          <w:rFonts w:hint="eastAsia"/>
          <w:color w:val="auto"/>
          <w:kern w:val="2"/>
          <w:highlight w:val="none"/>
        </w:rPr>
        <w:t>十四、本工程投标报价书及控制价清单。</w:t>
      </w:r>
    </w:p>
    <w:p>
      <w:pPr>
        <w:widowControl w:val="0"/>
        <w:adjustRightInd w:val="0"/>
        <w:snapToGrid w:val="0"/>
        <w:spacing w:line="360" w:lineRule="auto"/>
        <w:ind w:firstLine="480" w:firstLineChars="200"/>
        <w:jc w:val="both"/>
        <w:rPr>
          <w:color w:val="auto"/>
          <w:kern w:val="2"/>
          <w:highlight w:val="none"/>
        </w:rPr>
      </w:pPr>
      <w:r>
        <w:rPr>
          <w:rFonts w:hint="eastAsia"/>
          <w:color w:val="auto"/>
          <w:kern w:val="2"/>
          <w:highlight w:val="none"/>
        </w:rPr>
        <w:t>十五、有关本工程的澄清文件。</w:t>
      </w:r>
    </w:p>
    <w:p>
      <w:pPr>
        <w:numPr>
          <w:ilvl w:val="12"/>
          <w:numId w:val="0"/>
        </w:numPr>
        <w:rPr>
          <w:color w:val="auto"/>
          <w:kern w:val="2"/>
          <w:highlight w:val="none"/>
        </w:rPr>
      </w:pPr>
      <w:r>
        <w:rPr>
          <w:rFonts w:hint="eastAsia"/>
          <w:color w:val="auto"/>
          <w:kern w:val="2"/>
          <w:highlight w:val="none"/>
        </w:rPr>
        <w:br w:type="page"/>
      </w:r>
    </w:p>
    <w:p>
      <w:pPr>
        <w:spacing w:line="360" w:lineRule="auto"/>
        <w:outlineLvl w:val="1"/>
        <w:rPr>
          <w:color w:val="auto"/>
          <w:kern w:val="2"/>
          <w:sz w:val="21"/>
          <w:szCs w:val="21"/>
          <w:highlight w:val="none"/>
        </w:rPr>
      </w:pPr>
      <w:bookmarkStart w:id="552" w:name="_Toc142387747"/>
      <w:bookmarkStart w:id="553" w:name="_Toc19931"/>
      <w:bookmarkStart w:id="554" w:name="_Toc28803"/>
      <w:bookmarkStart w:id="555" w:name="_Toc22361"/>
      <w:bookmarkStart w:id="556" w:name="_Toc2686"/>
      <w:bookmarkStart w:id="557" w:name="_Toc306"/>
      <w:bookmarkStart w:id="558" w:name="_Toc20760"/>
      <w:bookmarkStart w:id="559" w:name="_Toc21428"/>
      <w:r>
        <w:rPr>
          <w:rFonts w:hint="eastAsia"/>
          <w:color w:val="auto"/>
          <w:kern w:val="2"/>
          <w:sz w:val="21"/>
          <w:szCs w:val="21"/>
          <w:highlight w:val="none"/>
        </w:rPr>
        <w:t>附件1</w:t>
      </w:r>
      <w:bookmarkEnd w:id="552"/>
      <w:bookmarkEnd w:id="553"/>
      <w:bookmarkEnd w:id="554"/>
      <w:bookmarkEnd w:id="555"/>
      <w:r>
        <w:rPr>
          <w:rFonts w:hint="eastAsia"/>
          <w:color w:val="auto"/>
          <w:kern w:val="2"/>
          <w:sz w:val="21"/>
          <w:szCs w:val="21"/>
          <w:highlight w:val="none"/>
        </w:rPr>
        <w:t>：</w:t>
      </w:r>
      <w:r>
        <w:rPr>
          <w:rFonts w:hint="eastAsia"/>
          <w:color w:val="auto"/>
          <w:kern w:val="2"/>
          <w:highlight w:val="none"/>
        </w:rPr>
        <w:t>施工总承包工程管理及技术要求</w:t>
      </w:r>
      <w:bookmarkEnd w:id="556"/>
      <w:bookmarkEnd w:id="557"/>
    </w:p>
    <w:bookmarkEnd w:id="558"/>
    <w:bookmarkEnd w:id="559"/>
    <w:p>
      <w:pPr>
        <w:rPr>
          <w:color w:val="auto"/>
          <w:highlight w:val="none"/>
        </w:rPr>
      </w:pPr>
      <w:bookmarkStart w:id="560" w:name="2.招标范围"/>
      <w:bookmarkEnd w:id="560"/>
      <w:bookmarkStart w:id="561" w:name="1.工程概况"/>
      <w:bookmarkEnd w:id="561"/>
      <w:bookmarkStart w:id="562" w:name="2.1_土建部分"/>
      <w:bookmarkEnd w:id="562"/>
      <w:bookmarkStart w:id="563" w:name="_bookmark2"/>
      <w:bookmarkEnd w:id="563"/>
      <w:bookmarkStart w:id="564" w:name="_bookmark1"/>
      <w:bookmarkEnd w:id="564"/>
      <w:bookmarkStart w:id="565" w:name="_bookmark3"/>
      <w:bookmarkEnd w:id="565"/>
    </w:p>
    <w:p>
      <w:pPr>
        <w:rPr>
          <w:rFonts w:ascii="Times New Roman"/>
          <w:color w:val="auto"/>
          <w:sz w:val="20"/>
          <w:highlight w:val="none"/>
        </w:rPr>
      </w:pPr>
    </w:p>
    <w:p>
      <w:pPr>
        <w:spacing w:line="320" w:lineRule="exact"/>
        <w:rPr>
          <w:rFonts w:ascii="Times New Roman"/>
          <w:b/>
          <w:bCs/>
          <w:color w:val="auto"/>
          <w:sz w:val="20"/>
          <w:highlight w:val="none"/>
        </w:rPr>
      </w:pPr>
    </w:p>
    <w:p>
      <w:pPr>
        <w:spacing w:line="320" w:lineRule="exact"/>
        <w:rPr>
          <w:rFonts w:ascii="Times New Roman"/>
          <w:b/>
          <w:bCs/>
          <w:color w:val="auto"/>
          <w:sz w:val="20"/>
          <w:highlight w:val="none"/>
        </w:rPr>
      </w:pPr>
    </w:p>
    <w:p>
      <w:pPr>
        <w:rPr>
          <w:rFonts w:ascii="Times New Roman"/>
          <w:color w:val="auto"/>
          <w:sz w:val="20"/>
          <w:highlight w:val="none"/>
        </w:rPr>
      </w:pPr>
    </w:p>
    <w:p>
      <w:pPr>
        <w:widowControl w:val="0"/>
        <w:spacing w:line="360" w:lineRule="auto"/>
        <w:rPr>
          <w:rFonts w:ascii="Times New Roman"/>
          <w:b/>
          <w:bCs/>
          <w:color w:val="auto"/>
          <w:sz w:val="52"/>
          <w:szCs w:val="52"/>
          <w:highlight w:val="none"/>
        </w:rPr>
      </w:pPr>
    </w:p>
    <w:p>
      <w:pPr>
        <w:widowControl w:val="0"/>
        <w:spacing w:line="360" w:lineRule="auto"/>
        <w:rPr>
          <w:color w:val="auto"/>
          <w:highlight w:val="none"/>
        </w:rPr>
      </w:pPr>
    </w:p>
    <w:p>
      <w:pPr>
        <w:widowControl w:val="0"/>
        <w:spacing w:line="360" w:lineRule="auto"/>
        <w:rPr>
          <w:color w:val="auto"/>
          <w:highlight w:val="none"/>
        </w:rPr>
      </w:pPr>
    </w:p>
    <w:p>
      <w:pPr>
        <w:widowControl w:val="0"/>
        <w:spacing w:line="360" w:lineRule="auto"/>
        <w:rPr>
          <w:rFonts w:ascii="Times New Roman"/>
          <w:color w:val="auto"/>
          <w:sz w:val="52"/>
          <w:szCs w:val="52"/>
          <w:highlight w:val="none"/>
        </w:rPr>
      </w:pPr>
    </w:p>
    <w:p>
      <w:pPr>
        <w:widowControl w:val="0"/>
        <w:spacing w:line="360" w:lineRule="auto"/>
        <w:jc w:val="center"/>
        <w:rPr>
          <w:rFonts w:ascii="方正小标宋简体" w:hAnsi="方正小标宋简体" w:eastAsia="方正小标宋简体" w:cs="方正小标宋简体"/>
          <w:b/>
          <w:bCs/>
          <w:color w:val="auto"/>
          <w:kern w:val="2"/>
          <w:sz w:val="52"/>
          <w:szCs w:val="52"/>
          <w:highlight w:val="none"/>
        </w:rPr>
      </w:pPr>
      <w:bookmarkStart w:id="566" w:name="_Toc10448"/>
      <w:bookmarkStart w:id="567" w:name="_Toc31531"/>
      <w:bookmarkStart w:id="568" w:name="_Toc9871"/>
      <w:bookmarkStart w:id="569" w:name="_Toc16132"/>
      <w:bookmarkStart w:id="570" w:name="_Toc11737"/>
      <w:bookmarkStart w:id="571" w:name="_Toc12602"/>
      <w:r>
        <w:rPr>
          <w:rFonts w:hint="eastAsia" w:ascii="方正小标宋简体" w:hAnsi="方正小标宋简体" w:eastAsia="方正小标宋简体" w:cs="方正小标宋简体"/>
          <w:b/>
          <w:bCs/>
          <w:color w:val="auto"/>
          <w:kern w:val="2"/>
          <w:sz w:val="52"/>
          <w:szCs w:val="52"/>
          <w:highlight w:val="none"/>
        </w:rPr>
        <w:t>施工</w:t>
      </w:r>
      <w:bookmarkEnd w:id="566"/>
      <w:bookmarkEnd w:id="567"/>
      <w:bookmarkEnd w:id="568"/>
      <w:bookmarkEnd w:id="569"/>
      <w:bookmarkEnd w:id="570"/>
      <w:bookmarkEnd w:id="571"/>
      <w:bookmarkStart w:id="572" w:name="_Toc27712"/>
      <w:bookmarkStart w:id="573" w:name="_Toc8543"/>
      <w:r>
        <w:rPr>
          <w:rFonts w:hint="eastAsia" w:ascii="方正小标宋简体" w:hAnsi="方正小标宋简体" w:eastAsia="方正小标宋简体" w:cs="方正小标宋简体"/>
          <w:b/>
          <w:bCs/>
          <w:color w:val="auto"/>
          <w:kern w:val="2"/>
          <w:sz w:val="52"/>
          <w:szCs w:val="52"/>
          <w:highlight w:val="none"/>
        </w:rPr>
        <w:t>总承包管理及技术要求</w:t>
      </w:r>
      <w:bookmarkEnd w:id="572"/>
      <w:bookmarkEnd w:id="573"/>
    </w:p>
    <w:p>
      <w:pPr>
        <w:rPr>
          <w:color w:val="auto"/>
          <w:sz w:val="22"/>
          <w:szCs w:val="22"/>
          <w:highlight w:val="none"/>
          <w:lang w:bidi="zh-CN"/>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6617"/>
        </w:tabs>
        <w:rPr>
          <w:color w:val="auto"/>
          <w:highlight w:val="none"/>
        </w:rPr>
        <w:sectPr>
          <w:footerReference r:id="rId5" w:type="default"/>
          <w:pgSz w:w="11910" w:h="16840"/>
          <w:pgMar w:top="1417" w:right="1417" w:bottom="1417" w:left="1417" w:header="808" w:footer="720" w:gutter="0"/>
          <w:pgNumType w:start="1"/>
          <w:cols w:space="720" w:num="1"/>
        </w:sectPr>
      </w:pPr>
      <w:r>
        <w:rPr>
          <w:rFonts w:hint="eastAsia"/>
          <w:color w:val="auto"/>
          <w:highlight w:val="none"/>
        </w:rPr>
        <w:tab/>
      </w:r>
    </w:p>
    <w:p>
      <w:pPr>
        <w:rPr>
          <w:b/>
          <w:bCs/>
          <w:color w:val="auto"/>
          <w:sz w:val="28"/>
          <w:szCs w:val="28"/>
          <w:highlight w:val="none"/>
        </w:rPr>
      </w:pPr>
    </w:p>
    <w:p>
      <w:pPr>
        <w:adjustRightInd w:val="0"/>
        <w:snapToGrid w:val="0"/>
        <w:spacing w:line="360" w:lineRule="auto"/>
        <w:ind w:firstLine="562" w:firstLineChars="200"/>
        <w:jc w:val="center"/>
        <w:rPr>
          <w:b/>
          <w:bCs/>
          <w:color w:val="auto"/>
          <w:sz w:val="28"/>
          <w:szCs w:val="28"/>
          <w:highlight w:val="none"/>
        </w:rPr>
      </w:pPr>
      <w:r>
        <w:rPr>
          <w:rFonts w:hint="eastAsia"/>
          <w:b/>
          <w:bCs/>
          <w:color w:val="auto"/>
          <w:sz w:val="28"/>
          <w:szCs w:val="28"/>
          <w:highlight w:val="none"/>
        </w:rPr>
        <w:t>目录</w:t>
      </w:r>
    </w:p>
    <w:p>
      <w:pPr>
        <w:tabs>
          <w:tab w:val="right" w:leader="dot" w:pos="8310"/>
        </w:tabs>
        <w:adjustRightInd w:val="0"/>
        <w:snapToGrid w:val="0"/>
        <w:spacing w:line="360" w:lineRule="auto"/>
        <w:ind w:firstLine="480" w:firstLineChars="200"/>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"_Toc25721" </w:instrText>
      </w:r>
      <w:r>
        <w:rPr>
          <w:color w:val="auto"/>
          <w:highlight w:val="none"/>
        </w:rPr>
        <w:fldChar w:fldCharType="separate"/>
      </w:r>
      <w:r>
        <w:rPr>
          <w:rFonts w:hint="eastAsia"/>
          <w:color w:val="auto"/>
          <w:highlight w:val="none"/>
        </w:rPr>
        <w:t>1. 工程概况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_Toc25721 \h </w:instrText>
      </w:r>
      <w:r>
        <w:rPr>
          <w:rFonts w:hint="eastAsia"/>
          <w:color w:val="auto"/>
          <w:highlight w:val="none"/>
        </w:rPr>
        <w:fldChar w:fldCharType="separate"/>
      </w:r>
      <w:r>
        <w:rPr>
          <w:color w:val="auto"/>
          <w:highlight w:val="none"/>
        </w:rPr>
        <w:t>128</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"_Toc14566" </w:instrText>
      </w:r>
      <w:r>
        <w:rPr>
          <w:color w:val="auto"/>
          <w:highlight w:val="none"/>
        </w:rPr>
        <w:fldChar w:fldCharType="separate"/>
      </w:r>
      <w:r>
        <w:rPr>
          <w:rFonts w:hint="eastAsia"/>
          <w:color w:val="auto"/>
          <w:highlight w:val="none"/>
        </w:rPr>
        <w:t>2. 承包范围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_Toc14566 \h </w:instrText>
      </w:r>
      <w:r>
        <w:rPr>
          <w:rFonts w:hint="eastAsia"/>
          <w:color w:val="auto"/>
          <w:highlight w:val="none"/>
        </w:rPr>
        <w:fldChar w:fldCharType="separate"/>
      </w:r>
      <w:r>
        <w:rPr>
          <w:color w:val="auto"/>
          <w:highlight w:val="none"/>
        </w:rPr>
        <w:t>128</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"_Toc12262" </w:instrText>
      </w:r>
      <w:r>
        <w:rPr>
          <w:color w:val="auto"/>
          <w:highlight w:val="none"/>
        </w:rPr>
        <w:fldChar w:fldCharType="separate"/>
      </w:r>
      <w:r>
        <w:rPr>
          <w:rFonts w:hint="eastAsia"/>
          <w:color w:val="auto"/>
          <w:highlight w:val="none"/>
        </w:rPr>
        <w:t>3. 工程整体建设目标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_Toc12262 \h </w:instrText>
      </w:r>
      <w:r>
        <w:rPr>
          <w:rFonts w:hint="eastAsia"/>
          <w:color w:val="auto"/>
          <w:highlight w:val="none"/>
        </w:rPr>
        <w:fldChar w:fldCharType="separate"/>
      </w:r>
      <w:r>
        <w:rPr>
          <w:color w:val="auto"/>
          <w:highlight w:val="none"/>
        </w:rPr>
        <w:t>130</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olor w:val="auto"/>
          <w:highlight w:val="none"/>
        </w:rPr>
        <w:t>4. 技术管理规范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_Toc18792 \h </w:instrText>
      </w:r>
      <w:r>
        <w:rPr>
          <w:rFonts w:hint="eastAsia"/>
          <w:color w:val="auto"/>
          <w:highlight w:val="none"/>
        </w:rPr>
        <w:fldChar w:fldCharType="separate"/>
      </w:r>
      <w:r>
        <w:rPr>
          <w:color w:val="auto"/>
          <w:highlight w:val="none"/>
        </w:rPr>
        <w:t>131</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"_Toc21067" </w:instrText>
      </w:r>
      <w:r>
        <w:rPr>
          <w:color w:val="auto"/>
          <w:highlight w:val="none"/>
        </w:rPr>
        <w:fldChar w:fldCharType="separate"/>
      </w:r>
      <w:r>
        <w:rPr>
          <w:rFonts w:hint="eastAsia"/>
          <w:color w:val="auto"/>
          <w:highlight w:val="none"/>
        </w:rPr>
        <w:t>5. 项目组织架构</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_Toc21067 \h </w:instrText>
      </w:r>
      <w:r>
        <w:rPr>
          <w:rFonts w:hint="eastAsia"/>
          <w:color w:val="auto"/>
          <w:highlight w:val="none"/>
        </w:rPr>
        <w:fldChar w:fldCharType="separate"/>
      </w:r>
      <w:r>
        <w:rPr>
          <w:color w:val="auto"/>
          <w:highlight w:val="none"/>
        </w:rPr>
        <w:t>131</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"_Toc28343" </w:instrText>
      </w:r>
      <w:r>
        <w:rPr>
          <w:color w:val="auto"/>
          <w:highlight w:val="none"/>
        </w:rPr>
        <w:fldChar w:fldCharType="separate"/>
      </w:r>
      <w:r>
        <w:rPr>
          <w:rFonts w:hint="eastAsia"/>
          <w:color w:val="auto"/>
          <w:highlight w:val="none"/>
        </w:rPr>
        <w:t>6. 计划管理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_Toc28343 \h </w:instrText>
      </w:r>
      <w:r>
        <w:rPr>
          <w:rFonts w:hint="eastAsia"/>
          <w:color w:val="auto"/>
          <w:highlight w:val="none"/>
        </w:rPr>
        <w:fldChar w:fldCharType="separate"/>
      </w:r>
      <w:r>
        <w:rPr>
          <w:color w:val="auto"/>
          <w:highlight w:val="none"/>
        </w:rPr>
        <w:t>132</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"_Toc717" </w:instrText>
      </w:r>
      <w:r>
        <w:rPr>
          <w:color w:val="auto"/>
          <w:highlight w:val="none"/>
        </w:rPr>
        <w:fldChar w:fldCharType="separate"/>
      </w:r>
      <w:r>
        <w:rPr>
          <w:rFonts w:hint="eastAsia"/>
          <w:color w:val="auto"/>
          <w:highlight w:val="none"/>
        </w:rPr>
        <w:t>7. 质量管理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_Toc717 \h </w:instrText>
      </w:r>
      <w:r>
        <w:rPr>
          <w:rFonts w:hint="eastAsia"/>
          <w:color w:val="auto"/>
          <w:highlight w:val="none"/>
        </w:rPr>
        <w:fldChar w:fldCharType="separate"/>
      </w:r>
      <w:r>
        <w:rPr>
          <w:color w:val="auto"/>
          <w:highlight w:val="none"/>
        </w:rPr>
        <w:t>133</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"_Toc3975" </w:instrText>
      </w:r>
      <w:r>
        <w:rPr>
          <w:color w:val="auto"/>
          <w:highlight w:val="none"/>
        </w:rPr>
        <w:fldChar w:fldCharType="separate"/>
      </w:r>
      <w:r>
        <w:rPr>
          <w:rFonts w:hint="eastAsia"/>
          <w:color w:val="auto"/>
          <w:highlight w:val="none"/>
        </w:rPr>
        <w:t>8. 测量管理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_Toc3975 \h </w:instrText>
      </w:r>
      <w:r>
        <w:rPr>
          <w:rFonts w:hint="eastAsia"/>
          <w:color w:val="auto"/>
          <w:highlight w:val="none"/>
        </w:rPr>
        <w:fldChar w:fldCharType="separate"/>
      </w:r>
      <w:r>
        <w:rPr>
          <w:color w:val="auto"/>
          <w:highlight w:val="none"/>
        </w:rPr>
        <w:t>134</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"_Toc28827" </w:instrText>
      </w:r>
      <w:r>
        <w:rPr>
          <w:color w:val="auto"/>
          <w:highlight w:val="none"/>
        </w:rPr>
        <w:fldChar w:fldCharType="separate"/>
      </w:r>
      <w:r>
        <w:rPr>
          <w:rFonts w:hint="eastAsia"/>
          <w:color w:val="auto"/>
          <w:highlight w:val="none"/>
        </w:rPr>
        <w:t>9. 安全文明施工管理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_Toc28827 \h </w:instrText>
      </w:r>
      <w:r>
        <w:rPr>
          <w:rFonts w:hint="eastAsia"/>
          <w:color w:val="auto"/>
          <w:highlight w:val="none"/>
        </w:rPr>
        <w:fldChar w:fldCharType="separate"/>
      </w:r>
      <w:r>
        <w:rPr>
          <w:color w:val="auto"/>
          <w:highlight w:val="none"/>
        </w:rPr>
        <w:t>135</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"_Toc2225" </w:instrText>
      </w:r>
      <w:r>
        <w:rPr>
          <w:color w:val="auto"/>
          <w:highlight w:val="none"/>
        </w:rPr>
        <w:fldChar w:fldCharType="separate"/>
      </w:r>
      <w:r>
        <w:rPr>
          <w:rFonts w:hint="eastAsia"/>
          <w:color w:val="auto"/>
          <w:highlight w:val="none"/>
        </w:rPr>
        <w:t>10. 工地管理要求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_Toc2225 \h </w:instrText>
      </w:r>
      <w:r>
        <w:rPr>
          <w:rFonts w:hint="eastAsia"/>
          <w:color w:val="auto"/>
          <w:highlight w:val="none"/>
        </w:rPr>
        <w:fldChar w:fldCharType="separate"/>
      </w:r>
      <w:r>
        <w:rPr>
          <w:color w:val="auto"/>
          <w:highlight w:val="none"/>
        </w:rPr>
        <w:t>146</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"_Toc28550" </w:instrText>
      </w:r>
      <w:r>
        <w:rPr>
          <w:color w:val="auto"/>
          <w:highlight w:val="none"/>
        </w:rPr>
        <w:fldChar w:fldCharType="separate"/>
      </w:r>
      <w:r>
        <w:rPr>
          <w:rFonts w:hint="eastAsia"/>
          <w:color w:val="auto"/>
          <w:highlight w:val="none"/>
        </w:rPr>
        <w:t>11. 施工技术管理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_Toc28550 \h </w:instrText>
      </w:r>
      <w:r>
        <w:rPr>
          <w:rFonts w:hint="eastAsia"/>
          <w:color w:val="auto"/>
          <w:highlight w:val="none"/>
        </w:rPr>
        <w:fldChar w:fldCharType="separate"/>
      </w:r>
      <w:r>
        <w:rPr>
          <w:color w:val="auto"/>
          <w:highlight w:val="none"/>
        </w:rPr>
        <w:t>148</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rFonts w:hint="eastAsia"/>
          <w:color w:val="auto"/>
          <w:highlight w:val="none"/>
        </w:rPr>
        <w:t>1</w:t>
      </w:r>
      <w:r>
        <w:rPr>
          <w:color w:val="auto"/>
          <w:highlight w:val="none"/>
        </w:rPr>
        <w:fldChar w:fldCharType="begin"/>
      </w:r>
      <w:r>
        <w:rPr>
          <w:color w:val="auto"/>
          <w:highlight w:val="none"/>
        </w:rPr>
        <w:instrText xml:space="preserve"> HYPERLINK \l "_Toc21939" </w:instrText>
      </w:r>
      <w:r>
        <w:rPr>
          <w:color w:val="auto"/>
          <w:highlight w:val="none"/>
        </w:rPr>
        <w:fldChar w:fldCharType="separate"/>
      </w:r>
      <w:r>
        <w:rPr>
          <w:rFonts w:hint="eastAsia"/>
          <w:color w:val="auto"/>
          <w:highlight w:val="none"/>
        </w:rPr>
        <w:t>2. 成品保护要求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_Toc21939 \h </w:instrText>
      </w:r>
      <w:r>
        <w:rPr>
          <w:rFonts w:hint="eastAsia"/>
          <w:color w:val="auto"/>
          <w:highlight w:val="none"/>
        </w:rPr>
        <w:fldChar w:fldCharType="separate"/>
      </w:r>
      <w:r>
        <w:rPr>
          <w:color w:val="auto"/>
          <w:highlight w:val="none"/>
        </w:rPr>
        <w:t>149</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"_Toc6817" </w:instrText>
      </w:r>
      <w:r>
        <w:rPr>
          <w:color w:val="auto"/>
          <w:highlight w:val="none"/>
        </w:rPr>
        <w:fldChar w:fldCharType="separate"/>
      </w:r>
      <w:r>
        <w:rPr>
          <w:rFonts w:hint="eastAsia"/>
          <w:color w:val="auto"/>
          <w:highlight w:val="none"/>
        </w:rPr>
        <w:t>13. 检验与验收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_Toc6817 \h </w:instrText>
      </w:r>
      <w:r>
        <w:rPr>
          <w:rFonts w:hint="eastAsia"/>
          <w:color w:val="auto"/>
          <w:highlight w:val="none"/>
        </w:rPr>
        <w:fldChar w:fldCharType="separate"/>
      </w:r>
      <w:r>
        <w:rPr>
          <w:color w:val="auto"/>
          <w:highlight w:val="none"/>
        </w:rPr>
        <w:t>151</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"_Toc26068" </w:instrText>
      </w:r>
      <w:r>
        <w:rPr>
          <w:color w:val="auto"/>
          <w:highlight w:val="none"/>
        </w:rPr>
        <w:fldChar w:fldCharType="separate"/>
      </w:r>
      <w:r>
        <w:rPr>
          <w:rFonts w:hint="eastAsia"/>
          <w:color w:val="auto"/>
          <w:highlight w:val="none"/>
        </w:rPr>
        <w:t>14. 材料设备管理要求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_Toc26068 \h </w:instrText>
      </w:r>
      <w:r>
        <w:rPr>
          <w:rFonts w:hint="eastAsia"/>
          <w:color w:val="auto"/>
          <w:highlight w:val="none"/>
        </w:rPr>
        <w:fldChar w:fldCharType="separate"/>
      </w:r>
      <w:r>
        <w:rPr>
          <w:color w:val="auto"/>
          <w:highlight w:val="none"/>
        </w:rPr>
        <w:t>152</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"_Toc30447" </w:instrText>
      </w:r>
      <w:r>
        <w:rPr>
          <w:color w:val="auto"/>
          <w:highlight w:val="none"/>
        </w:rPr>
        <w:fldChar w:fldCharType="separate"/>
      </w:r>
      <w:r>
        <w:rPr>
          <w:rFonts w:hint="eastAsia"/>
          <w:color w:val="auto"/>
          <w:highlight w:val="none"/>
        </w:rPr>
        <w:t>15.文档、资料、会议管理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_Toc30447 \h </w:instrText>
      </w:r>
      <w:r>
        <w:rPr>
          <w:rFonts w:hint="eastAsia"/>
          <w:color w:val="auto"/>
          <w:highlight w:val="none"/>
        </w:rPr>
        <w:fldChar w:fldCharType="separate"/>
      </w:r>
      <w:r>
        <w:rPr>
          <w:color w:val="auto"/>
          <w:highlight w:val="none"/>
        </w:rPr>
        <w:t>152</w:t>
      </w:r>
      <w:r>
        <w:rPr>
          <w:rFonts w:hint="eastAsia"/>
          <w:color w:val="auto"/>
          <w:highlight w:val="none"/>
        </w:rPr>
        <w:fldChar w:fldCharType="end"/>
      </w:r>
      <w:r>
        <w:rPr>
          <w:rFonts w:hint="eastAsia"/>
          <w:color w:val="auto"/>
          <w:highlight w:val="none"/>
        </w:rPr>
        <w:fldChar w:fldCharType="end"/>
      </w:r>
    </w:p>
    <w:p>
      <w:pPr>
        <w:tabs>
          <w:tab w:val="right" w:leader="dot" w:pos="8310"/>
        </w:tabs>
        <w:adjustRightInd w:val="0"/>
        <w:snapToGrid w:val="0"/>
        <w:spacing w:line="360" w:lineRule="auto"/>
        <w:ind w:firstLine="480" w:firstLineChars="200"/>
        <w:rPr>
          <w:color w:val="auto"/>
          <w:highlight w:val="none"/>
        </w:rPr>
      </w:pPr>
      <w:r>
        <w:rPr>
          <w:color w:val="auto"/>
          <w:highlight w:val="none"/>
        </w:rPr>
        <w:fldChar w:fldCharType="begin"/>
      </w:r>
      <w:r>
        <w:rPr>
          <w:color w:val="auto"/>
          <w:highlight w:val="none"/>
        </w:rPr>
        <w:instrText xml:space="preserve"> HYPERLINK \l "_Toc30509" </w:instrText>
      </w:r>
      <w:r>
        <w:rPr>
          <w:color w:val="auto"/>
          <w:highlight w:val="none"/>
        </w:rPr>
        <w:fldChar w:fldCharType="separate"/>
      </w:r>
      <w:r>
        <w:rPr>
          <w:rFonts w:hint="eastAsia"/>
          <w:color w:val="auto"/>
          <w:highlight w:val="none"/>
        </w:rPr>
        <w:t>16.违约处罚明细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_Toc30509 \h </w:instrText>
      </w:r>
      <w:r>
        <w:rPr>
          <w:rFonts w:hint="eastAsia"/>
          <w:color w:val="auto"/>
          <w:highlight w:val="none"/>
        </w:rPr>
        <w:fldChar w:fldCharType="separate"/>
      </w:r>
      <w:r>
        <w:rPr>
          <w:color w:val="auto"/>
          <w:highlight w:val="none"/>
        </w:rPr>
        <w:t>156</w:t>
      </w:r>
      <w:r>
        <w:rPr>
          <w:rFonts w:hint="eastAsia"/>
          <w:color w:val="auto"/>
          <w:highlight w:val="none"/>
        </w:rPr>
        <w:fldChar w:fldCharType="end"/>
      </w:r>
      <w:r>
        <w:rPr>
          <w:rFonts w:hint="eastAsia"/>
          <w:color w:val="auto"/>
          <w:highlight w:val="none"/>
        </w:rPr>
        <w:fldChar w:fldCharType="end"/>
      </w:r>
      <w:r>
        <w:rPr>
          <w:rFonts w:hint="eastAsia"/>
          <w:color w:val="auto"/>
          <w:highlight w:val="none"/>
        </w:rPr>
        <w:fldChar w:fldCharType="end"/>
      </w:r>
    </w:p>
    <w:p>
      <w:pPr>
        <w:rPr>
          <w:color w:val="auto"/>
          <w:kern w:val="2"/>
          <w:highlight w:val="none"/>
        </w:rPr>
      </w:pPr>
    </w:p>
    <w:p>
      <w:pPr>
        <w:rPr>
          <w:color w:val="auto"/>
          <w:kern w:val="2"/>
          <w:highlight w:val="none"/>
        </w:rPr>
      </w:pPr>
    </w:p>
    <w:p>
      <w:pPr>
        <w:numPr>
          <w:ilvl w:val="0"/>
          <w:numId w:val="4"/>
        </w:numPr>
        <w:tabs>
          <w:tab w:val="left" w:pos="584"/>
          <w:tab w:val="left" w:pos="585"/>
        </w:tabs>
        <w:autoSpaceDE w:val="0"/>
        <w:autoSpaceDN w:val="0"/>
        <w:spacing w:before="120" w:beforeLines="50" w:after="120" w:afterLines="50" w:line="560" w:lineRule="exact"/>
        <w:outlineLvl w:val="1"/>
        <w:rPr>
          <w:b/>
          <w:bCs/>
          <w:color w:val="auto"/>
          <w:kern w:val="2"/>
          <w:highlight w:val="none"/>
        </w:rPr>
        <w:sectPr>
          <w:footerReference r:id="rId6" w:type="default"/>
          <w:pgSz w:w="11910" w:h="16840"/>
          <w:pgMar w:top="1440" w:right="1800" w:bottom="1440" w:left="1800" w:header="808" w:footer="847" w:gutter="0"/>
          <w:cols w:space="720" w:num="1"/>
        </w:sectPr>
      </w:pPr>
      <w:bookmarkStart w:id="574" w:name="_Toc21286"/>
      <w:bookmarkStart w:id="575" w:name="_Toc3476"/>
    </w:p>
    <w:p>
      <w:pPr>
        <w:keepNext/>
        <w:keepLines/>
        <w:adjustRightInd w:val="0"/>
        <w:snapToGrid w:val="0"/>
        <w:spacing w:line="360" w:lineRule="auto"/>
        <w:outlineLvl w:val="2"/>
        <w:rPr>
          <w:b/>
          <w:bCs/>
          <w:color w:val="auto"/>
          <w:kern w:val="2"/>
          <w:highlight w:val="none"/>
        </w:rPr>
      </w:pPr>
      <w:bookmarkStart w:id="576" w:name="_Toc18330"/>
      <w:bookmarkStart w:id="577" w:name="_Toc25446"/>
      <w:bookmarkStart w:id="578" w:name="_Toc8107"/>
      <w:bookmarkStart w:id="579" w:name="_Toc25721"/>
      <w:bookmarkStart w:id="580" w:name="_Toc32096"/>
      <w:bookmarkStart w:id="581" w:name="_Toc16902"/>
      <w:bookmarkStart w:id="582" w:name="_Toc24676"/>
      <w:bookmarkStart w:id="583" w:name="_Toc13939"/>
      <w:bookmarkStart w:id="584" w:name="_Toc11203"/>
      <w:bookmarkStart w:id="585" w:name="_Toc16482"/>
      <w:bookmarkStart w:id="586" w:name="_Toc27310"/>
      <w:r>
        <w:rPr>
          <w:rFonts w:hint="eastAsia"/>
          <w:b/>
          <w:bCs/>
          <w:color w:val="auto"/>
          <w:kern w:val="2"/>
          <w:highlight w:val="none"/>
        </w:rPr>
        <w:t>1. 工程概况</w:t>
      </w:r>
      <w:bookmarkEnd w:id="574"/>
      <w:bookmarkEnd w:id="576"/>
      <w:bookmarkEnd w:id="577"/>
      <w:bookmarkEnd w:id="578"/>
      <w:bookmarkEnd w:id="579"/>
      <w:bookmarkEnd w:id="580"/>
      <w:bookmarkEnd w:id="581"/>
      <w:bookmarkEnd w:id="582"/>
      <w:bookmarkEnd w:id="583"/>
      <w:bookmarkEnd w:id="584"/>
      <w:bookmarkEnd w:id="585"/>
      <w:bookmarkEnd w:id="586"/>
    </w:p>
    <w:p>
      <w:pPr>
        <w:tabs>
          <w:tab w:val="left" w:pos="0"/>
        </w:tabs>
        <w:adjustRightInd w:val="0"/>
        <w:snapToGrid w:val="0"/>
        <w:spacing w:line="360" w:lineRule="auto"/>
        <w:ind w:firstLine="480" w:firstLineChars="200"/>
        <w:jc w:val="both"/>
        <w:rPr>
          <w:rFonts w:cs="FangSong_GB2312"/>
          <w:color w:val="auto"/>
          <w:kern w:val="2"/>
          <w:highlight w:val="none"/>
        </w:rPr>
      </w:pPr>
      <w:bookmarkStart w:id="587" w:name="_Toc2568"/>
      <w:bookmarkStart w:id="588" w:name="_Toc32459"/>
      <w:bookmarkStart w:id="589" w:name="_Toc12988"/>
      <w:bookmarkStart w:id="590" w:name="_Toc8006"/>
      <w:bookmarkStart w:id="591" w:name="_Toc1259"/>
      <w:bookmarkStart w:id="592" w:name="_Toc12804"/>
      <w:bookmarkStart w:id="593" w:name="_Toc31277"/>
      <w:bookmarkStart w:id="594" w:name="_Toc1245"/>
      <w:bookmarkStart w:id="595" w:name="_Toc27171"/>
      <w:bookmarkStart w:id="596" w:name="_Toc6901"/>
      <w:bookmarkStart w:id="597" w:name="_Toc19254"/>
      <w:r>
        <w:rPr>
          <w:rFonts w:hint="eastAsia"/>
          <w:color w:val="auto"/>
          <w:kern w:val="2"/>
          <w:szCs w:val="22"/>
          <w:highlight w:val="none"/>
          <w:u w:val="single"/>
        </w:rPr>
        <w:t>龙馨家园A座第3层建筑面积约774平方米，需通过增设幕墙对该层进行封闭，满足后期使用需求，并对第3层整体进行精装修；对龙馨家园A座第17层成本合约部东侧墙体进行移位，增加其室内办公面积，满足其部门办公需求；对龙馨家园A座第18层的淋浴间地面进行找坡改造，使其地面积水能够顺畅流排。</w:t>
      </w:r>
    </w:p>
    <w:p>
      <w:pPr>
        <w:tabs>
          <w:tab w:val="left" w:pos="0"/>
        </w:tabs>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现场条件：</w:t>
      </w:r>
    </w:p>
    <w:p>
      <w:pPr>
        <w:tabs>
          <w:tab w:val="left" w:pos="0"/>
        </w:tabs>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（1）临时用水：由承包方负责，该费用已在合同价中综合考虑，结算时不另行计取；</w:t>
      </w:r>
    </w:p>
    <w:p>
      <w:pPr>
        <w:tabs>
          <w:tab w:val="left" w:pos="0"/>
        </w:tabs>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（2）临时用电：由承包方负责，该费用已在合同价中综合考虑，结算时不另行计取；</w:t>
      </w:r>
    </w:p>
    <w:p>
      <w:pPr>
        <w:tabs>
          <w:tab w:val="left" w:pos="0"/>
        </w:tabs>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（3）临时设施：场内临时办公设施的设置需报发包人、监理单位审批同意；项目周边不具备生活设施搭建条件，承包人需自行解决。</w:t>
      </w:r>
    </w:p>
    <w:p>
      <w:pPr>
        <w:widowControl w:val="0"/>
        <w:autoSpaceDE w:val="0"/>
        <w:autoSpaceDN w:val="0"/>
        <w:adjustRightInd w:val="0"/>
        <w:snapToGrid w:val="0"/>
        <w:spacing w:line="360" w:lineRule="auto"/>
        <w:ind w:firstLine="480" w:firstLineChars="200"/>
        <w:jc w:val="both"/>
        <w:rPr>
          <w:bCs/>
          <w:color w:val="auto"/>
          <w:kern w:val="2"/>
          <w:highlight w:val="none"/>
        </w:rPr>
      </w:pPr>
      <w:r>
        <w:rPr>
          <w:rFonts w:hint="eastAsia"/>
          <w:bCs/>
          <w:color w:val="auto"/>
          <w:kern w:val="2"/>
          <w:highlight w:val="none"/>
        </w:rPr>
        <w:t>总承包商既是项目建设的参与者，也是总组织、总协调、总管理者，对项目建设起着至关重要的作用。总承包商应在履行合同的基础上，充分发挥自身实力和优势，做好对所有承包商的组织、协调和管理工作，确保项目施工进度、质量和安全处于可控范围；总承包商还应负责施工现场管理，做好现场总平面规划，提供满足工程施工需要的临时设施、临时用水、临时用电、临时场地等设施，统筹安排现场各种施工资源与工作面的使用，做好现场安保和综合治理。</w:t>
      </w:r>
    </w:p>
    <w:p>
      <w:pPr>
        <w:keepNext/>
        <w:keepLines/>
        <w:adjustRightInd w:val="0"/>
        <w:snapToGrid w:val="0"/>
        <w:spacing w:line="360" w:lineRule="auto"/>
        <w:outlineLvl w:val="2"/>
        <w:rPr>
          <w:b/>
          <w:bCs/>
          <w:color w:val="auto"/>
          <w:kern w:val="2"/>
          <w:highlight w:val="none"/>
        </w:rPr>
      </w:pPr>
      <w:bookmarkStart w:id="598" w:name="_Toc14566"/>
      <w:r>
        <w:rPr>
          <w:rFonts w:hint="eastAsia"/>
          <w:b/>
          <w:bCs/>
          <w:color w:val="auto"/>
          <w:kern w:val="2"/>
          <w:highlight w:val="none"/>
        </w:rPr>
        <w:t>2. 承包范围</w:t>
      </w:r>
      <w:bookmarkEnd w:id="587"/>
      <w:bookmarkEnd w:id="588"/>
      <w:bookmarkEnd w:id="589"/>
      <w:bookmarkEnd w:id="590"/>
      <w:bookmarkEnd w:id="591"/>
      <w:bookmarkEnd w:id="592"/>
      <w:bookmarkEnd w:id="593"/>
      <w:bookmarkEnd w:id="594"/>
      <w:bookmarkEnd w:id="595"/>
      <w:bookmarkEnd w:id="596"/>
      <w:bookmarkEnd w:id="597"/>
      <w:bookmarkEnd w:id="598"/>
    </w:p>
    <w:p>
      <w:pPr>
        <w:keepNext/>
        <w:keepLines/>
        <w:widowControl w:val="0"/>
        <w:tabs>
          <w:tab w:val="left" w:pos="585"/>
        </w:tabs>
        <w:autoSpaceDE w:val="0"/>
        <w:autoSpaceDN w:val="0"/>
        <w:adjustRightInd w:val="0"/>
        <w:snapToGrid w:val="0"/>
        <w:spacing w:line="360" w:lineRule="auto"/>
        <w:outlineLvl w:val="3"/>
        <w:rPr>
          <w:b/>
          <w:bCs/>
          <w:color w:val="auto"/>
          <w:kern w:val="2"/>
          <w:highlight w:val="none"/>
        </w:rPr>
      </w:pPr>
      <w:bookmarkStart w:id="599" w:name="_Toc920"/>
      <w:r>
        <w:rPr>
          <w:rFonts w:hint="eastAsia"/>
          <w:b/>
          <w:bCs/>
          <w:color w:val="auto"/>
          <w:kern w:val="2"/>
          <w:highlight w:val="none"/>
        </w:rPr>
        <w:t>2.1 承包范围</w:t>
      </w:r>
      <w:bookmarkEnd w:id="599"/>
    </w:p>
    <w:p>
      <w:pPr>
        <w:widowControl w:val="0"/>
        <w:autoSpaceDE w:val="0"/>
        <w:autoSpaceDN w:val="0"/>
        <w:adjustRightInd w:val="0"/>
        <w:snapToGrid w:val="0"/>
        <w:spacing w:line="360" w:lineRule="auto"/>
        <w:ind w:firstLine="480" w:firstLineChars="200"/>
        <w:jc w:val="both"/>
        <w:rPr>
          <w:bCs/>
          <w:color w:val="auto"/>
          <w:kern w:val="2"/>
          <w:highlight w:val="none"/>
        </w:rPr>
      </w:pPr>
      <w:r>
        <w:rPr>
          <w:rFonts w:hint="eastAsia"/>
          <w:bCs/>
          <w:color w:val="auto"/>
          <w:kern w:val="2"/>
          <w:highlight w:val="none"/>
        </w:rPr>
        <w:t>幕墙工程（玻璃幕墙、金属幕墙、埋件、栏杆、铝板、雨棚、玻璃门及相关配件等的施工及施工图深化设计）、分隔空间、地面、墙面/天棚、门窗安装，强电工程、弱电工程、智能化工程、给排水工程、消防工程、通风空调工程、建筑节能、拆改工程、完成本项目验收移交所需的全部监测及检测、与办公设备和软装陈设等配合工作、常规材料及所有的开孔和装饰面收边收口工作、成品保护、清洁卫生、建渣清运出场等。具体工作内容以施工图纸、工程量清单为准。</w:t>
      </w:r>
    </w:p>
    <w:p>
      <w:pPr>
        <w:widowControl w:val="0"/>
        <w:autoSpaceDE w:val="0"/>
        <w:autoSpaceDN w:val="0"/>
        <w:adjustRightInd w:val="0"/>
        <w:snapToGrid w:val="0"/>
        <w:spacing w:line="360" w:lineRule="auto"/>
        <w:ind w:firstLine="480" w:firstLineChars="200"/>
        <w:jc w:val="both"/>
        <w:rPr>
          <w:rFonts w:cs="FangSong_GB2312"/>
          <w:b/>
          <w:bCs/>
          <w:color w:val="auto"/>
          <w:kern w:val="2"/>
          <w:highlight w:val="none"/>
        </w:rPr>
      </w:pPr>
      <w:r>
        <w:rPr>
          <w:rFonts w:hint="eastAsia"/>
          <w:bCs/>
          <w:color w:val="auto"/>
          <w:kern w:val="2"/>
          <w:highlight w:val="none"/>
        </w:rPr>
        <w:t>承包人不能拒绝执行为完成本项工程而需执行的可能遗漏的工程项目。发包人有权力根据需要进行调整，承包人须无条件接受发包人提出的变更要求，并按要求调整施工范围及内容。</w:t>
      </w:r>
      <w:bookmarkStart w:id="600" w:name="_Toc27908"/>
    </w:p>
    <w:p>
      <w:pPr>
        <w:keepNext/>
        <w:keepLines/>
        <w:widowControl w:val="0"/>
        <w:autoSpaceDE w:val="0"/>
        <w:autoSpaceDN w:val="0"/>
        <w:adjustRightInd w:val="0"/>
        <w:snapToGrid w:val="0"/>
        <w:spacing w:line="360" w:lineRule="auto"/>
        <w:outlineLvl w:val="3"/>
        <w:rPr>
          <w:rFonts w:cs="FangSong_GB2312"/>
          <w:b/>
          <w:bCs/>
          <w:color w:val="auto"/>
          <w:kern w:val="2"/>
          <w:highlight w:val="none"/>
        </w:rPr>
      </w:pPr>
      <w:r>
        <w:rPr>
          <w:rFonts w:hint="eastAsia" w:cs="FangSong_GB2312"/>
          <w:b/>
          <w:bCs/>
          <w:color w:val="auto"/>
          <w:kern w:val="2"/>
          <w:highlight w:val="none"/>
        </w:rPr>
        <w:t>2.2 承包范围补充说明</w:t>
      </w:r>
      <w:bookmarkEnd w:id="600"/>
    </w:p>
    <w:p>
      <w:pPr>
        <w:adjustRightInd w:val="0"/>
        <w:snapToGrid w:val="0"/>
        <w:spacing w:line="360" w:lineRule="auto"/>
        <w:ind w:firstLine="480" w:firstLineChars="200"/>
        <w:rPr>
          <w:rFonts w:cs="FangSong_GB2312"/>
          <w:color w:val="auto"/>
          <w:kern w:val="2"/>
          <w:highlight w:val="none"/>
        </w:rPr>
      </w:pPr>
      <w:r>
        <w:rPr>
          <w:rFonts w:hint="eastAsia" w:cs="FangSong_GB2312"/>
          <w:color w:val="auto"/>
          <w:kern w:val="2"/>
          <w:highlight w:val="none"/>
        </w:rPr>
        <w:t>（1）</w:t>
      </w:r>
      <w:r>
        <w:rPr>
          <w:rFonts w:cs="FangSong_GB2312"/>
          <w:color w:val="auto"/>
          <w:kern w:val="2"/>
          <w:highlight w:val="none"/>
        </w:rPr>
        <w:t>如承包人在施工期间需要使用电梯，需</w:t>
      </w:r>
      <w:r>
        <w:rPr>
          <w:rFonts w:hint="eastAsia" w:cs="FangSong_GB2312"/>
          <w:color w:val="auto"/>
          <w:kern w:val="2"/>
          <w:highlight w:val="none"/>
        </w:rPr>
        <w:t>严格按照项目物业管理方的要求进行使用</w:t>
      </w:r>
      <w:r>
        <w:rPr>
          <w:rFonts w:cs="FangSong_GB2312"/>
          <w:color w:val="auto"/>
          <w:kern w:val="2"/>
          <w:highlight w:val="none"/>
        </w:rPr>
        <w:t>，并承担由于电梯使用造成电梯保护、开机人工、维护、安全、使用等方面的所有责任和费用。</w:t>
      </w:r>
    </w:p>
    <w:p>
      <w:pPr>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（2）负责施工所有设备的基础，预留</w:t>
      </w:r>
      <w:r>
        <w:rPr>
          <w:rFonts w:cs="FangSong_GB2312"/>
          <w:color w:val="auto"/>
          <w:kern w:val="2"/>
          <w:highlight w:val="none"/>
        </w:rPr>
        <w:t>(埋)所有管道穿墙、板、梁、池壁等部位的全部预留孔(洞)、预埋套管等(包括地下室、水箱间及人防区)，并负责管道与套管及套管与建筑结构间封堵（包括因变更而造成剪力墙、楼板开洞，以及前期预留多余的套管和洞口的封堵），现场已施工完成且后续因发包人发生设计变更的可以按签证办理，现场未施工且后续因发包人发生设计变更的按设计变更执行，严格按照设计和施工要求封堵，保证不渗漏。</w:t>
      </w:r>
    </w:p>
    <w:p>
      <w:pPr>
        <w:adjustRightInd w:val="0"/>
        <w:snapToGrid w:val="0"/>
        <w:spacing w:line="360" w:lineRule="auto"/>
        <w:ind w:firstLine="482"/>
        <w:rPr>
          <w:rFonts w:cs="FangSong_GB2312"/>
          <w:color w:val="auto"/>
          <w:kern w:val="2"/>
          <w:highlight w:val="none"/>
        </w:rPr>
      </w:pPr>
      <w:r>
        <w:rPr>
          <w:rFonts w:hint="eastAsia" w:cs="FangSong_GB2312"/>
          <w:color w:val="auto"/>
          <w:kern w:val="2"/>
          <w:highlight w:val="none"/>
        </w:rPr>
        <w:t>（3）承包人须按发包人要求配合完成重大安全、文明活动以及上级单位检查活动等，此费用由承包人投标报价时自行考虑，费用已在合同价中综合考虑，结算时不再另行计取。</w:t>
      </w:r>
    </w:p>
    <w:p>
      <w:pPr>
        <w:adjustRightInd w:val="0"/>
        <w:snapToGrid w:val="0"/>
        <w:spacing w:line="360" w:lineRule="auto"/>
        <w:ind w:firstLine="480" w:firstLineChars="200"/>
        <w:rPr>
          <w:rFonts w:cs="FangSong_GB2312"/>
          <w:color w:val="auto"/>
          <w:kern w:val="2"/>
          <w:highlight w:val="none"/>
        </w:rPr>
      </w:pPr>
      <w:r>
        <w:rPr>
          <w:rFonts w:hint="eastAsia" w:cs="FangSong_GB2312"/>
          <w:color w:val="auto"/>
          <w:kern w:val="2"/>
          <w:highlight w:val="none"/>
        </w:rPr>
        <w:t>（4）发包人有权决定工程红线范围内外</w:t>
      </w:r>
      <w:r>
        <w:rPr>
          <w:rFonts w:cs="FangSong_GB2312"/>
          <w:color w:val="auto"/>
          <w:kern w:val="2"/>
          <w:highlight w:val="none"/>
        </w:rPr>
        <w:t>增加</w:t>
      </w:r>
      <w:r>
        <w:rPr>
          <w:rFonts w:hint="eastAsia" w:cs="FangSong_GB2312"/>
          <w:color w:val="auto"/>
          <w:kern w:val="2"/>
          <w:highlight w:val="none"/>
        </w:rPr>
        <w:t>的</w:t>
      </w:r>
      <w:r>
        <w:rPr>
          <w:rFonts w:cs="FangSong_GB2312"/>
          <w:color w:val="auto"/>
          <w:kern w:val="2"/>
          <w:highlight w:val="none"/>
        </w:rPr>
        <w:t>零星工程是否由承包人施工，如发包人决定将以上零星工程委托给承包人施工，承包人必须无条件接受，并充分理解发包人对该委托的要求，予以配合并按时完成，价格按照合同内同类工程和约定条款计取，如承包人拒绝配合施工或超出发包人要求的时间延时完工，承包人同意按照该项工程造价的20%支付违约金。如承包人拒绝接受发包人指令，发包人可将该项工程另行委托其他单位施工，承包人同意按照该项工程造价的20%支付违约金。</w:t>
      </w:r>
    </w:p>
    <w:p>
      <w:pPr>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施工中发生的一切安全事故，均应明确划分责任由责任方承担经济及法律责任，并立即按照事故处理流程报告发包人和建设主管部门，若因此导致发包人垫付费用（发包人垫付费用由发包人及监理签字确认即可），则发包人有权从应付责任方的工程款中扣除。</w:t>
      </w:r>
    </w:p>
    <w:p>
      <w:pPr>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现场所有建筑垃圾承包人应及时清理并运走，上述建筑垃圾无论是承包人施工产生还是承包人确定的分包单位施工产生，均由承包人负责清理、外运并承担相关费用；工程竣工后五天内承包人将现场清理完毕（包括建筑材料、垃圾、生产和生活用临时设施拆除）。如承包人不负责清理，发包人另派他人清理，费用（由发包人及监理签字确认即可）从承包人工程款中扣除。</w:t>
      </w:r>
    </w:p>
    <w:p>
      <w:pPr>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（7）承包人应遵守地方政府和有关部门对施工场地交通、施工噪声、施工现场粉尘等环境卫生和场外污染管理规定并办理有关手续，因承包人责任造成的罚款（含对发包人的罚款）由承包人负责支付。</w:t>
      </w:r>
    </w:p>
    <w:p>
      <w:pPr>
        <w:adjustRightInd w:val="0"/>
        <w:snapToGrid w:val="0"/>
        <w:spacing w:line="360" w:lineRule="auto"/>
        <w:ind w:firstLine="480" w:firstLineChars="200"/>
        <w:rPr>
          <w:rFonts w:cs="FangSong_GB2312"/>
          <w:color w:val="auto"/>
          <w:kern w:val="2"/>
          <w:highlight w:val="none"/>
        </w:rPr>
      </w:pPr>
      <w:r>
        <w:rPr>
          <w:rFonts w:hint="eastAsia" w:cs="FangSong_GB2312"/>
          <w:color w:val="auto"/>
          <w:kern w:val="2"/>
          <w:highlight w:val="none"/>
        </w:rPr>
        <w:t>（8）承包人负责处理环境保护、解决施工扰民或民扰的问题。</w:t>
      </w:r>
    </w:p>
    <w:p>
      <w:pPr>
        <w:keepNext/>
        <w:keepLines/>
        <w:adjustRightInd w:val="0"/>
        <w:snapToGrid w:val="0"/>
        <w:spacing w:line="360" w:lineRule="auto"/>
        <w:outlineLvl w:val="2"/>
        <w:rPr>
          <w:b/>
          <w:bCs/>
          <w:color w:val="auto"/>
          <w:kern w:val="2"/>
          <w:highlight w:val="none"/>
        </w:rPr>
      </w:pPr>
      <w:bookmarkStart w:id="601" w:name="_Toc8158"/>
      <w:bookmarkStart w:id="602" w:name="_Toc19256"/>
      <w:bookmarkStart w:id="603" w:name="_Toc4325"/>
      <w:bookmarkStart w:id="604" w:name="_Toc5276"/>
      <w:bookmarkStart w:id="605" w:name="_Toc30583"/>
      <w:bookmarkStart w:id="606" w:name="_Toc10774"/>
      <w:bookmarkStart w:id="607" w:name="_Toc67"/>
      <w:bookmarkStart w:id="608" w:name="_Toc22779"/>
      <w:bookmarkStart w:id="609" w:name="_Toc26647"/>
      <w:bookmarkStart w:id="610" w:name="_Toc29152"/>
      <w:bookmarkStart w:id="611" w:name="_Toc1515"/>
      <w:bookmarkStart w:id="612" w:name="_Toc12262"/>
      <w:r>
        <w:rPr>
          <w:rFonts w:hint="eastAsia"/>
          <w:b/>
          <w:bCs/>
          <w:color w:val="auto"/>
          <w:kern w:val="2"/>
          <w:highlight w:val="none"/>
        </w:rPr>
        <w:t>3. 工程整体建设目标</w:t>
      </w:r>
      <w:bookmarkEnd w:id="601"/>
      <w:bookmarkEnd w:id="602"/>
      <w:bookmarkEnd w:id="603"/>
      <w:bookmarkEnd w:id="604"/>
      <w:bookmarkEnd w:id="605"/>
      <w:bookmarkEnd w:id="606"/>
      <w:bookmarkEnd w:id="607"/>
      <w:bookmarkEnd w:id="608"/>
      <w:bookmarkEnd w:id="609"/>
      <w:bookmarkEnd w:id="610"/>
      <w:bookmarkEnd w:id="611"/>
      <w:bookmarkEnd w:id="612"/>
    </w:p>
    <w:p>
      <w:pPr>
        <w:keepNext/>
        <w:keepLines/>
        <w:widowControl w:val="0"/>
        <w:autoSpaceDE w:val="0"/>
        <w:autoSpaceDN w:val="0"/>
        <w:adjustRightInd w:val="0"/>
        <w:snapToGrid w:val="0"/>
        <w:spacing w:line="360" w:lineRule="auto"/>
        <w:outlineLvl w:val="3"/>
        <w:rPr>
          <w:b/>
          <w:bCs/>
          <w:color w:val="auto"/>
          <w:kern w:val="2"/>
          <w:highlight w:val="none"/>
        </w:rPr>
      </w:pPr>
      <w:bookmarkStart w:id="613" w:name="_Toc23038"/>
      <w:bookmarkStart w:id="614" w:name="_Toc4755"/>
      <w:bookmarkStart w:id="615" w:name="_Toc22257"/>
      <w:bookmarkStart w:id="616" w:name="_Toc32155"/>
      <w:bookmarkStart w:id="617" w:name="_Toc3756"/>
      <w:bookmarkStart w:id="618" w:name="_Toc5821"/>
      <w:bookmarkStart w:id="619" w:name="_Toc847"/>
      <w:bookmarkStart w:id="620" w:name="_Toc21625"/>
      <w:bookmarkStart w:id="621" w:name="_Toc9743"/>
      <w:bookmarkStart w:id="622" w:name="_Toc6071"/>
      <w:r>
        <w:rPr>
          <w:rFonts w:hint="eastAsia"/>
          <w:b/>
          <w:bCs/>
          <w:color w:val="auto"/>
          <w:kern w:val="2"/>
          <w:highlight w:val="none"/>
        </w:rPr>
        <w:t>3.1 工期目标</w:t>
      </w:r>
      <w:bookmarkEnd w:id="613"/>
      <w:bookmarkEnd w:id="614"/>
      <w:bookmarkEnd w:id="615"/>
      <w:bookmarkEnd w:id="616"/>
      <w:bookmarkEnd w:id="617"/>
      <w:bookmarkEnd w:id="618"/>
      <w:bookmarkEnd w:id="619"/>
      <w:bookmarkEnd w:id="620"/>
      <w:bookmarkEnd w:id="621"/>
      <w:bookmarkEnd w:id="622"/>
    </w:p>
    <w:p>
      <w:pPr>
        <w:widowControl w:val="0"/>
        <w:autoSpaceDE w:val="0"/>
        <w:autoSpaceDN w:val="0"/>
        <w:adjustRightInd w:val="0"/>
        <w:snapToGrid w:val="0"/>
        <w:spacing w:line="360" w:lineRule="auto"/>
        <w:ind w:firstLine="480" w:firstLineChars="200"/>
        <w:jc w:val="both"/>
        <w:rPr>
          <w:color w:val="auto"/>
          <w:kern w:val="2"/>
          <w:highlight w:val="none"/>
        </w:rPr>
      </w:pPr>
      <w:r>
        <w:rPr>
          <w:rFonts w:hint="eastAsia"/>
          <w:color w:val="auto"/>
          <w:kern w:val="2"/>
          <w:highlight w:val="none"/>
        </w:rPr>
        <w:t>（1）承包人应在总工期内完工并完成竣工验收：总工期96日历天；</w:t>
      </w:r>
    </w:p>
    <w:p>
      <w:pPr>
        <w:widowControl w:val="0"/>
        <w:autoSpaceDE w:val="0"/>
        <w:autoSpaceDN w:val="0"/>
        <w:adjustRightInd w:val="0"/>
        <w:snapToGrid w:val="0"/>
        <w:spacing w:line="360" w:lineRule="auto"/>
        <w:ind w:firstLine="480" w:firstLineChars="200"/>
        <w:jc w:val="both"/>
        <w:rPr>
          <w:color w:val="auto"/>
          <w:kern w:val="2"/>
          <w:highlight w:val="none"/>
        </w:rPr>
      </w:pPr>
      <w:r>
        <w:rPr>
          <w:rFonts w:hint="eastAsia"/>
          <w:color w:val="auto"/>
          <w:kern w:val="2"/>
          <w:highlight w:val="none"/>
        </w:rPr>
        <w:t>（2）计划开工日期：2025年5月6日（暂定），</w:t>
      </w:r>
      <w:r>
        <w:rPr>
          <w:rFonts w:hint="eastAsia"/>
          <w:color w:val="auto"/>
          <w:highlight w:val="none"/>
        </w:rPr>
        <w:t>实际开工日期以发包人书面发出的进场通知为准</w:t>
      </w:r>
      <w:r>
        <w:rPr>
          <w:rFonts w:hint="eastAsia"/>
          <w:color w:val="auto"/>
          <w:kern w:val="2"/>
          <w:highlight w:val="none"/>
        </w:rPr>
        <w:t>。</w:t>
      </w:r>
    </w:p>
    <w:bookmarkEnd w:id="575"/>
    <w:p>
      <w:pPr>
        <w:widowControl w:val="0"/>
        <w:autoSpaceDE w:val="0"/>
        <w:autoSpaceDN w:val="0"/>
        <w:adjustRightInd w:val="0"/>
        <w:snapToGrid w:val="0"/>
        <w:spacing w:line="360" w:lineRule="auto"/>
        <w:ind w:firstLine="482" w:firstLineChars="200"/>
        <w:jc w:val="both"/>
        <w:rPr>
          <w:rFonts w:cs="FangSong_GB2312"/>
          <w:b/>
          <w:bCs/>
          <w:color w:val="auto"/>
          <w:kern w:val="2"/>
          <w:highlight w:val="none"/>
        </w:rPr>
      </w:pPr>
      <w:r>
        <w:rPr>
          <w:rFonts w:hint="eastAsia" w:cs="FangSong_GB2312"/>
          <w:b/>
          <w:bCs/>
          <w:color w:val="auto"/>
          <w:kern w:val="2"/>
          <w:highlight w:val="none"/>
        </w:rPr>
        <w:t>竣工目标延期完成的，罚款5000/天</w:t>
      </w:r>
      <w:r>
        <w:rPr>
          <w:rFonts w:cs="FangSong_GB2312"/>
          <w:b/>
          <w:bCs/>
          <w:color w:val="auto"/>
          <w:kern w:val="2"/>
          <w:highlight w:val="none"/>
        </w:rPr>
        <w:t>。</w:t>
      </w:r>
      <w:r>
        <w:rPr>
          <w:rFonts w:hint="eastAsia" w:cs="FangSong_GB2312"/>
          <w:b/>
          <w:bCs/>
          <w:color w:val="auto"/>
          <w:kern w:val="2"/>
          <w:highlight w:val="none"/>
        </w:rPr>
        <w:t>罚款金额从结算金额中扣除。</w:t>
      </w:r>
    </w:p>
    <w:p>
      <w:pPr>
        <w:widowControl w:val="0"/>
        <w:autoSpaceDE w:val="0"/>
        <w:autoSpaceDN w:val="0"/>
        <w:adjustRightInd w:val="0"/>
        <w:snapToGrid w:val="0"/>
        <w:spacing w:line="360" w:lineRule="auto"/>
        <w:ind w:firstLine="480" w:firstLineChars="200"/>
        <w:jc w:val="both"/>
        <w:rPr>
          <w:color w:val="auto"/>
          <w:kern w:val="2"/>
          <w:highlight w:val="none"/>
        </w:rPr>
      </w:pPr>
      <w:bookmarkStart w:id="623" w:name="_Toc28567"/>
      <w:r>
        <w:rPr>
          <w:rFonts w:hint="eastAsia"/>
          <w:color w:val="auto"/>
          <w:kern w:val="2"/>
          <w:highlight w:val="none"/>
        </w:rPr>
        <w:t>（</w:t>
      </w:r>
      <w:r>
        <w:rPr>
          <w:rFonts w:hint="eastAsia" w:cs="FangSong_GB2312"/>
          <w:color w:val="auto"/>
          <w:kern w:val="2"/>
          <w:highlight w:val="none"/>
        </w:rPr>
        <w:t>3</w:t>
      </w:r>
      <w:r>
        <w:rPr>
          <w:rFonts w:hint="eastAsia"/>
          <w:color w:val="auto"/>
          <w:kern w:val="2"/>
          <w:highlight w:val="none"/>
        </w:rPr>
        <w:t>）工期说明：</w:t>
      </w:r>
      <w:bookmarkEnd w:id="623"/>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①发承包双方在确定竣工日期以及各项控制工期时，已充分考虑：</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A.可能出现的下雨、停水、停电、节假日等因素；</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B.发包人分包、施工合同、供货合同等工程的工期及其影响；</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C.政府重大接待活动等产生的道路交通或施工管制影响；</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D.工程设计变更的影响；</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E.其他因素。</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②如最后承包人能按期完成竣工验收，则本合同上表规定的工期违约金全部返还。</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③所有违约金单独计算，与当期进度款同时兑现。</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④本条款解释权归发包人所有。</w:t>
      </w:r>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624" w:name="_Toc17082"/>
      <w:bookmarkStart w:id="625" w:name="_Toc21276"/>
      <w:bookmarkStart w:id="626" w:name="_Toc3724"/>
      <w:bookmarkStart w:id="627" w:name="_Toc12131"/>
      <w:bookmarkStart w:id="628" w:name="_Toc30939"/>
      <w:bookmarkStart w:id="629" w:name="_Toc5590"/>
      <w:bookmarkStart w:id="630" w:name="_Toc698"/>
      <w:bookmarkStart w:id="631" w:name="_Toc32153"/>
      <w:bookmarkStart w:id="632" w:name="_Toc17207"/>
      <w:bookmarkStart w:id="633" w:name="_Toc24471"/>
      <w:r>
        <w:rPr>
          <w:rFonts w:hint="eastAsia" w:cs="FangSong_GB2312"/>
          <w:b/>
          <w:bCs/>
          <w:color w:val="auto"/>
          <w:kern w:val="2"/>
          <w:highlight w:val="none"/>
        </w:rPr>
        <w:t>3.2 质量目标</w:t>
      </w:r>
      <w:bookmarkEnd w:id="624"/>
      <w:bookmarkEnd w:id="625"/>
      <w:bookmarkEnd w:id="626"/>
      <w:bookmarkEnd w:id="627"/>
      <w:bookmarkEnd w:id="628"/>
      <w:bookmarkEnd w:id="629"/>
      <w:bookmarkEnd w:id="630"/>
      <w:bookmarkEnd w:id="631"/>
      <w:bookmarkEnd w:id="632"/>
      <w:bookmarkEnd w:id="633"/>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工程质量合格，工程质量必须符合设计要求和现行国家及地方有关规范、标准规定及甲方相关要求、规定。当合同约定的质量要求与相关法律、法规、规范和技术标准矛盾时，以较高要求为准。各单位工程确保一次验收合格，确保无渗漏、工程达到用户满意工程。</w:t>
      </w:r>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634" w:name="_Toc7395"/>
      <w:bookmarkStart w:id="635" w:name="_Toc12540"/>
      <w:bookmarkStart w:id="636" w:name="_Toc18044"/>
      <w:bookmarkStart w:id="637" w:name="_Toc1192"/>
      <w:bookmarkStart w:id="638" w:name="_Toc20006"/>
      <w:bookmarkStart w:id="639" w:name="_Toc12042"/>
      <w:bookmarkStart w:id="640" w:name="_Toc20470"/>
      <w:bookmarkStart w:id="641" w:name="_Toc14049"/>
      <w:bookmarkStart w:id="642" w:name="_Toc31070"/>
      <w:bookmarkStart w:id="643" w:name="_Toc6269"/>
      <w:r>
        <w:rPr>
          <w:rFonts w:hint="eastAsia" w:cs="FangSong_GB2312"/>
          <w:b/>
          <w:bCs/>
          <w:color w:val="auto"/>
          <w:kern w:val="2"/>
          <w:highlight w:val="none"/>
        </w:rPr>
        <w:t>3.3 安全文明施工目标</w:t>
      </w:r>
      <w:bookmarkEnd w:id="634"/>
      <w:bookmarkEnd w:id="635"/>
      <w:bookmarkEnd w:id="636"/>
      <w:bookmarkEnd w:id="637"/>
      <w:bookmarkEnd w:id="638"/>
      <w:bookmarkEnd w:id="639"/>
      <w:bookmarkEnd w:id="640"/>
      <w:bookmarkEnd w:id="641"/>
      <w:bookmarkEnd w:id="642"/>
      <w:bookmarkEnd w:id="643"/>
    </w:p>
    <w:p>
      <w:pPr>
        <w:widowControl w:val="0"/>
        <w:autoSpaceDE w:val="0"/>
        <w:autoSpaceDN w:val="0"/>
        <w:adjustRightInd w:val="0"/>
        <w:snapToGrid w:val="0"/>
        <w:spacing w:line="360" w:lineRule="auto"/>
        <w:ind w:firstLine="480" w:firstLineChars="200"/>
        <w:jc w:val="both"/>
        <w:rPr>
          <w:bCs/>
          <w:color w:val="auto"/>
          <w:kern w:val="2"/>
          <w:highlight w:val="none"/>
        </w:rPr>
      </w:pPr>
      <w:r>
        <w:rPr>
          <w:rFonts w:hint="eastAsia"/>
          <w:bCs/>
          <w:color w:val="auto"/>
          <w:kern w:val="2"/>
          <w:highlight w:val="none"/>
        </w:rPr>
        <w:t>（1）确保无重大伤亡事故，施工现场按照国家、地方安全文明施工要求进行管理，工伤频率控制在建筑施工安全管理法规的指标要求范围内，工地无扬尘，泥浆不外流，排污符合环保要求。</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同时需满足甲方CI形象宣传需求，对于施工现场标识的设置和管理，承包方必须严格按照甲方《承包商施工现场管理制度》、《深圳市龙华建设发展有限公司安全生产标准化图集（印发版）》以及政府部门的相关要求执行，相关费用包含在合同报价内，施工现场严禁出现未经甲方许可的私立广告标识。</w:t>
      </w:r>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644" w:name="_Toc12389"/>
      <w:bookmarkStart w:id="645" w:name="_Toc25482"/>
      <w:bookmarkStart w:id="646" w:name="_Toc9337"/>
      <w:bookmarkStart w:id="647" w:name="_Toc30905"/>
      <w:bookmarkStart w:id="648" w:name="_Toc18368"/>
      <w:bookmarkStart w:id="649" w:name="_Toc2916"/>
      <w:bookmarkStart w:id="650" w:name="_Toc6631"/>
      <w:bookmarkStart w:id="651" w:name="_Toc19865"/>
      <w:bookmarkStart w:id="652" w:name="_Toc2651"/>
      <w:bookmarkStart w:id="653" w:name="_Toc22258"/>
      <w:r>
        <w:rPr>
          <w:rFonts w:hint="eastAsia" w:cs="FangSong_GB2312"/>
          <w:b/>
          <w:bCs/>
          <w:color w:val="auto"/>
          <w:kern w:val="2"/>
          <w:highlight w:val="none"/>
        </w:rPr>
        <w:t>3.4 绿色建筑标准</w:t>
      </w:r>
      <w:bookmarkEnd w:id="644"/>
      <w:bookmarkEnd w:id="645"/>
      <w:bookmarkEnd w:id="646"/>
      <w:bookmarkEnd w:id="647"/>
      <w:bookmarkEnd w:id="648"/>
      <w:bookmarkEnd w:id="649"/>
      <w:bookmarkEnd w:id="650"/>
      <w:bookmarkEnd w:id="651"/>
      <w:bookmarkEnd w:id="652"/>
      <w:bookmarkEnd w:id="653"/>
    </w:p>
    <w:p>
      <w:pPr>
        <w:widowControl w:val="0"/>
        <w:autoSpaceDE w:val="0"/>
        <w:autoSpaceDN w:val="0"/>
        <w:adjustRightInd w:val="0"/>
        <w:snapToGrid w:val="0"/>
        <w:spacing w:line="360" w:lineRule="auto"/>
        <w:ind w:firstLine="480" w:firstLineChars="200"/>
        <w:jc w:val="both"/>
        <w:rPr>
          <w:rFonts w:cs="FangSong_GB2312"/>
          <w:bCs/>
          <w:color w:val="auto"/>
          <w:kern w:val="2"/>
          <w:highlight w:val="none"/>
        </w:rPr>
      </w:pPr>
      <w:r>
        <w:rPr>
          <w:rFonts w:hint="eastAsia" w:cs="FangSong_GB2312"/>
          <w:bCs/>
          <w:color w:val="auto"/>
          <w:kern w:val="2"/>
          <w:highlight w:val="none"/>
        </w:rPr>
        <w:t>按设计文件要求执行。</w:t>
      </w:r>
    </w:p>
    <w:p>
      <w:pPr>
        <w:adjustRightInd w:val="0"/>
        <w:snapToGrid w:val="0"/>
        <w:spacing w:line="360" w:lineRule="auto"/>
        <w:jc w:val="both"/>
        <w:outlineLvl w:val="2"/>
        <w:rPr>
          <w:rFonts w:cs="FangSong_GB2312"/>
          <w:b/>
          <w:bCs/>
          <w:color w:val="auto"/>
          <w:kern w:val="2"/>
          <w:highlight w:val="none"/>
        </w:rPr>
      </w:pPr>
      <w:bookmarkStart w:id="654" w:name="_Toc32336"/>
      <w:bookmarkStart w:id="655" w:name="_Toc12881"/>
      <w:bookmarkStart w:id="656" w:name="_Toc11033"/>
      <w:bookmarkStart w:id="657" w:name="_Toc10110"/>
      <w:bookmarkStart w:id="658" w:name="_Toc18792"/>
      <w:bookmarkStart w:id="659" w:name="_Toc8902"/>
      <w:bookmarkStart w:id="660" w:name="_Toc20919"/>
      <w:bookmarkStart w:id="661" w:name="_Toc21743"/>
      <w:bookmarkStart w:id="662" w:name="_Toc19853"/>
      <w:bookmarkStart w:id="663" w:name="_Toc12249"/>
      <w:bookmarkStart w:id="664" w:name="_Toc7455"/>
      <w:bookmarkStart w:id="665" w:name="_Toc9133"/>
      <w:bookmarkStart w:id="666" w:name="_Toc20145"/>
      <w:bookmarkStart w:id="667" w:name="_Toc13424"/>
      <w:bookmarkStart w:id="668" w:name="_Toc9302"/>
      <w:bookmarkStart w:id="669" w:name="_Toc14830"/>
      <w:bookmarkStart w:id="670" w:name="_Toc6819"/>
      <w:bookmarkStart w:id="671" w:name="_Toc32260"/>
      <w:bookmarkStart w:id="672" w:name="_Toc21067"/>
      <w:bookmarkStart w:id="673" w:name="_Toc30552"/>
      <w:bookmarkStart w:id="674" w:name="_Toc22072"/>
      <w:bookmarkStart w:id="675" w:name="_Toc12396"/>
      <w:bookmarkStart w:id="676" w:name="_Toc14991"/>
      <w:bookmarkStart w:id="677" w:name="_Toc13162"/>
      <w:r>
        <w:rPr>
          <w:rFonts w:hint="eastAsia" w:cs="FangSong_GB2312"/>
          <w:b/>
          <w:bCs/>
          <w:color w:val="auto"/>
          <w:kern w:val="2"/>
          <w:highlight w:val="none"/>
        </w:rPr>
        <w:t>4. 技术管理规范</w:t>
      </w:r>
      <w:bookmarkEnd w:id="654"/>
      <w:bookmarkEnd w:id="655"/>
      <w:bookmarkEnd w:id="656"/>
      <w:bookmarkEnd w:id="657"/>
      <w:bookmarkEnd w:id="658"/>
      <w:bookmarkEnd w:id="659"/>
      <w:bookmarkEnd w:id="660"/>
      <w:bookmarkEnd w:id="661"/>
      <w:bookmarkEnd w:id="662"/>
      <w:bookmarkEnd w:id="663"/>
      <w:bookmarkEnd w:id="664"/>
      <w:bookmarkEnd w:id="665"/>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 xml:space="preserve">本工程的设计、施工验收及管理规范包括但不限于： </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《混凝土强度检验评定标准》（</w:t>
      </w:r>
      <w:r>
        <w:rPr>
          <w:rFonts w:cs="FangSong_GB2312"/>
          <w:color w:val="auto"/>
          <w:kern w:val="2"/>
          <w:highlight w:val="none"/>
        </w:rPr>
        <w:t>GB/T50107-201</w:t>
      </w:r>
      <w:r>
        <w:rPr>
          <w:rFonts w:hint="eastAsia" w:cs="FangSong_GB2312"/>
          <w:color w:val="auto"/>
          <w:kern w:val="2"/>
          <w:highlight w:val="none"/>
        </w:rPr>
        <w:t>9</w:t>
      </w:r>
      <w:r>
        <w:rPr>
          <w:rFonts w:cs="FangSong_GB2312"/>
          <w:color w:val="auto"/>
          <w:kern w:val="2"/>
          <w:highlight w:val="none"/>
        </w:rPr>
        <w:t>）</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《混凝土外加剂应用技术规范》（</w:t>
      </w:r>
      <w:r>
        <w:rPr>
          <w:rFonts w:cs="FangSong_GB2312"/>
          <w:color w:val="auto"/>
          <w:kern w:val="2"/>
          <w:highlight w:val="none"/>
        </w:rPr>
        <w:t>GB50119-2013）</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《混凝土质量控制标准》（</w:t>
      </w:r>
      <w:r>
        <w:rPr>
          <w:rFonts w:cs="FangSong_GB2312"/>
          <w:color w:val="auto"/>
          <w:kern w:val="2"/>
          <w:highlight w:val="none"/>
        </w:rPr>
        <w:t>GB50164-2011）</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《混凝土结构工程施工质量验收规范》（</w:t>
      </w:r>
      <w:r>
        <w:rPr>
          <w:rFonts w:cs="FangSong_GB2312"/>
          <w:color w:val="auto"/>
          <w:kern w:val="2"/>
          <w:highlight w:val="none"/>
        </w:rPr>
        <w:t>GB50204-2015）</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《混凝土结构工程施工规范》（</w:t>
      </w:r>
      <w:r>
        <w:rPr>
          <w:rFonts w:cs="FangSong_GB2312"/>
          <w:color w:val="auto"/>
          <w:kern w:val="2"/>
          <w:highlight w:val="none"/>
        </w:rPr>
        <w:t>GB50666-2011）</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《建筑工程施工质量验收统一标准》（</w:t>
      </w:r>
      <w:r>
        <w:rPr>
          <w:rFonts w:cs="FangSong_GB2312"/>
          <w:color w:val="auto"/>
          <w:kern w:val="2"/>
          <w:highlight w:val="none"/>
        </w:rPr>
        <w:t>GB50300-2013）</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《建筑基坑工程监测技术规范》（</w:t>
      </w:r>
      <w:r>
        <w:rPr>
          <w:rFonts w:cs="FangSong_GB2312"/>
          <w:color w:val="auto"/>
          <w:kern w:val="2"/>
          <w:highlight w:val="none"/>
        </w:rPr>
        <w:t>GB50497-2019）</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《建筑变形测量规范》（</w:t>
      </w:r>
      <w:r>
        <w:rPr>
          <w:rFonts w:cs="FangSong_GB2312"/>
          <w:color w:val="auto"/>
          <w:kern w:val="2"/>
          <w:highlight w:val="none"/>
        </w:rPr>
        <w:t>JGJ8-201</w:t>
      </w:r>
      <w:r>
        <w:rPr>
          <w:rFonts w:hint="eastAsia" w:cs="FangSong_GB2312"/>
          <w:color w:val="auto"/>
          <w:kern w:val="2"/>
          <w:highlight w:val="none"/>
        </w:rPr>
        <w:t>9</w:t>
      </w:r>
      <w:r>
        <w:rPr>
          <w:rFonts w:cs="FangSong_GB2312"/>
          <w:color w:val="auto"/>
          <w:kern w:val="2"/>
          <w:highlight w:val="none"/>
        </w:rPr>
        <w:t>）</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《建筑机械使用安全技术规程》（</w:t>
      </w:r>
      <w:r>
        <w:rPr>
          <w:rFonts w:cs="FangSong_GB2312"/>
          <w:color w:val="auto"/>
          <w:kern w:val="2"/>
          <w:highlight w:val="none"/>
        </w:rPr>
        <w:t>JGJ33-201</w:t>
      </w:r>
      <w:r>
        <w:rPr>
          <w:rFonts w:hint="eastAsia" w:cs="FangSong_GB2312"/>
          <w:color w:val="auto"/>
          <w:kern w:val="2"/>
          <w:highlight w:val="none"/>
        </w:rPr>
        <w:t>9</w:t>
      </w:r>
      <w:r>
        <w:rPr>
          <w:rFonts w:cs="FangSong_GB2312"/>
          <w:color w:val="auto"/>
          <w:kern w:val="2"/>
          <w:highlight w:val="none"/>
        </w:rPr>
        <w:t>）</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《施工企业安全生产评价标准》（</w:t>
      </w:r>
      <w:r>
        <w:rPr>
          <w:rFonts w:cs="FangSong_GB2312"/>
          <w:color w:val="auto"/>
          <w:kern w:val="2"/>
          <w:highlight w:val="none"/>
        </w:rPr>
        <w:t>JGJ/T77-2010）</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《建筑地基处理技术规范》（</w:t>
      </w:r>
      <w:r>
        <w:rPr>
          <w:rFonts w:cs="FangSong_GB2312"/>
          <w:color w:val="auto"/>
          <w:kern w:val="2"/>
          <w:highlight w:val="none"/>
        </w:rPr>
        <w:t>JGJ79-20</w:t>
      </w:r>
      <w:r>
        <w:rPr>
          <w:rFonts w:hint="eastAsia" w:cs="FangSong_GB2312"/>
          <w:color w:val="auto"/>
          <w:kern w:val="2"/>
          <w:highlight w:val="none"/>
        </w:rPr>
        <w:t>2</w:t>
      </w:r>
      <w:r>
        <w:rPr>
          <w:rFonts w:cs="FangSong_GB2312"/>
          <w:color w:val="auto"/>
          <w:kern w:val="2"/>
          <w:highlight w:val="none"/>
        </w:rPr>
        <w:t>2）</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《建筑设计防火规范》（</w:t>
      </w:r>
      <w:r>
        <w:rPr>
          <w:rFonts w:cs="FangSong_GB2312"/>
          <w:color w:val="auto"/>
          <w:kern w:val="2"/>
          <w:highlight w:val="none"/>
        </w:rPr>
        <w:t>GB50016-20</w:t>
      </w:r>
      <w:r>
        <w:rPr>
          <w:rFonts w:hint="eastAsia" w:cs="FangSong_GB2312"/>
          <w:color w:val="auto"/>
          <w:kern w:val="2"/>
          <w:highlight w:val="none"/>
        </w:rPr>
        <w:t>22</w:t>
      </w:r>
      <w:r>
        <w:rPr>
          <w:rFonts w:cs="FangSong_GB2312"/>
          <w:color w:val="auto"/>
          <w:kern w:val="2"/>
          <w:highlight w:val="none"/>
        </w:rPr>
        <w:t>）</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项目模块化设计、施工、验收需符合《混凝土模块化建筑技术规程》（SJG 130 – 2023）和《模块化装配整体式建筑设计规程》(T/CECS 575-2019)等规范，并满足深圳绿色建筑二星级认证、深圳市装配式建筑示范项目有关要求。</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《装配整体式叠合混凝土结构施工及质量验收规程》</w:t>
      </w:r>
    </w:p>
    <w:p>
      <w:pPr>
        <w:widowControl w:val="0"/>
        <w:adjustRightInd w:val="0"/>
        <w:snapToGrid w:val="0"/>
        <w:spacing w:line="360" w:lineRule="auto"/>
        <w:ind w:firstLine="480" w:firstLineChars="200"/>
        <w:rPr>
          <w:rFonts w:cs="FangSong_GB2312"/>
          <w:color w:val="auto"/>
          <w:kern w:val="2"/>
          <w:highlight w:val="none"/>
        </w:rPr>
      </w:pPr>
      <w:r>
        <w:rPr>
          <w:rFonts w:hint="eastAsia" w:cs="FangSong_GB2312"/>
          <w:color w:val="auto"/>
          <w:kern w:val="2"/>
          <w:highlight w:val="none"/>
        </w:rPr>
        <w:t>《装配整体式钢筋焊接网叠合混凝土结构技术规程》</w:t>
      </w:r>
    </w:p>
    <w:p>
      <w:pPr>
        <w:widowControl w:val="0"/>
        <w:autoSpaceDE w:val="0"/>
        <w:autoSpaceDN w:val="0"/>
        <w:adjustRightInd w:val="0"/>
        <w:snapToGrid w:val="0"/>
        <w:spacing w:line="360" w:lineRule="auto"/>
        <w:ind w:firstLine="482" w:firstLineChars="200"/>
        <w:jc w:val="both"/>
        <w:rPr>
          <w:rFonts w:cs="FangSong_GB2312"/>
          <w:b/>
          <w:bCs/>
          <w:color w:val="auto"/>
          <w:kern w:val="2"/>
          <w:highlight w:val="none"/>
        </w:rPr>
      </w:pPr>
      <w:r>
        <w:rPr>
          <w:rFonts w:hint="eastAsia" w:cs="FangSong_GB2312"/>
          <w:b/>
          <w:bCs/>
          <w:color w:val="auto"/>
          <w:kern w:val="2"/>
          <w:highlight w:val="none"/>
        </w:rPr>
        <w:t>以上规范如有最新版本，按最新版本执行。本次招标内容不限于上述所列规范，同时还应满足项目所在地的地方性规范。如遇设计或施工规范和标准对同一事项的要求不一致时，以要求高者为准。</w:t>
      </w:r>
    </w:p>
    <w:p>
      <w:pPr>
        <w:adjustRightInd w:val="0"/>
        <w:snapToGrid w:val="0"/>
        <w:spacing w:line="360" w:lineRule="auto"/>
        <w:jc w:val="both"/>
        <w:outlineLvl w:val="2"/>
        <w:rPr>
          <w:rFonts w:cs="FangSong_GB2312"/>
          <w:b/>
          <w:bCs/>
          <w:color w:val="auto"/>
          <w:kern w:val="2"/>
          <w:highlight w:val="none"/>
        </w:rPr>
      </w:pPr>
      <w:r>
        <w:rPr>
          <w:rFonts w:hint="eastAsia" w:cs="FangSong_GB2312"/>
          <w:b/>
          <w:bCs/>
          <w:color w:val="auto"/>
          <w:kern w:val="2"/>
          <w:highlight w:val="none"/>
        </w:rPr>
        <w:t>5. 项目组织架构</w:t>
      </w:r>
      <w:bookmarkEnd w:id="666"/>
      <w:bookmarkEnd w:id="667"/>
      <w:bookmarkEnd w:id="668"/>
      <w:bookmarkEnd w:id="669"/>
      <w:bookmarkEnd w:id="670"/>
      <w:bookmarkEnd w:id="671"/>
      <w:bookmarkEnd w:id="672"/>
      <w:bookmarkEnd w:id="673"/>
      <w:bookmarkEnd w:id="674"/>
      <w:bookmarkEnd w:id="675"/>
      <w:bookmarkEnd w:id="676"/>
      <w:bookmarkEnd w:id="677"/>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678" w:name="_Toc9759"/>
      <w:bookmarkStart w:id="679" w:name="_Toc31274"/>
      <w:bookmarkStart w:id="680" w:name="_Toc2514"/>
      <w:bookmarkStart w:id="681" w:name="_Toc11703"/>
      <w:bookmarkStart w:id="682" w:name="_Toc29069"/>
      <w:bookmarkStart w:id="683" w:name="_Toc21048"/>
      <w:bookmarkStart w:id="684" w:name="_Toc7937"/>
      <w:bookmarkStart w:id="685" w:name="_Toc455"/>
      <w:bookmarkStart w:id="686" w:name="_Toc19808"/>
      <w:bookmarkStart w:id="687" w:name="_Toc29780"/>
      <w:r>
        <w:rPr>
          <w:rFonts w:hint="eastAsia" w:cs="FangSong_GB2312"/>
          <w:b/>
          <w:bCs/>
          <w:color w:val="auto"/>
          <w:kern w:val="2"/>
          <w:highlight w:val="none"/>
        </w:rPr>
        <w:t>5.1 基本要求</w:t>
      </w:r>
      <w:bookmarkEnd w:id="678"/>
      <w:bookmarkEnd w:id="679"/>
      <w:bookmarkEnd w:id="680"/>
      <w:bookmarkEnd w:id="681"/>
      <w:bookmarkEnd w:id="682"/>
      <w:bookmarkEnd w:id="683"/>
      <w:bookmarkEnd w:id="684"/>
      <w:bookmarkEnd w:id="685"/>
      <w:bookmarkEnd w:id="686"/>
      <w:bookmarkEnd w:id="687"/>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（1）总承包商应建立符合工程特点的项目组织架构。</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应需配置项目经理、生产经理、技术负责人、质量负责人、安全负责人等专业技术人员，提供与商务标一致的《项目管理班子配备情况表》，并附上述人员的任职资格材料（相关执业资格证、工程类职称证书等）。</w:t>
      </w:r>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688" w:name="_Toc19570"/>
      <w:bookmarkStart w:id="689" w:name="_Toc10125"/>
      <w:bookmarkStart w:id="690" w:name="_Toc31360"/>
      <w:bookmarkStart w:id="691" w:name="_Toc1457"/>
      <w:bookmarkStart w:id="692" w:name="_Toc10852"/>
      <w:bookmarkStart w:id="693" w:name="_Toc7347"/>
      <w:bookmarkStart w:id="694" w:name="_Toc29381"/>
      <w:bookmarkStart w:id="695" w:name="_Toc25455"/>
      <w:bookmarkStart w:id="696" w:name="_Toc20723"/>
      <w:bookmarkStart w:id="697" w:name="_Toc15844"/>
      <w:r>
        <w:rPr>
          <w:rFonts w:hint="eastAsia" w:cs="FangSong_GB2312"/>
          <w:b/>
          <w:bCs/>
          <w:color w:val="auto"/>
          <w:kern w:val="2"/>
          <w:highlight w:val="none"/>
        </w:rPr>
        <w:t>5.2 主要管理人员要求</w:t>
      </w:r>
      <w:bookmarkEnd w:id="688"/>
      <w:bookmarkEnd w:id="689"/>
      <w:bookmarkEnd w:id="690"/>
      <w:bookmarkEnd w:id="691"/>
      <w:bookmarkEnd w:id="692"/>
      <w:bookmarkEnd w:id="693"/>
      <w:bookmarkEnd w:id="694"/>
      <w:bookmarkEnd w:id="695"/>
      <w:bookmarkEnd w:id="696"/>
      <w:bookmarkEnd w:id="697"/>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bookmarkStart w:id="698" w:name="_Toc13416"/>
      <w:r>
        <w:rPr>
          <w:rFonts w:hint="eastAsia" w:cs="FangSong_GB2312"/>
          <w:color w:val="auto"/>
          <w:kern w:val="2"/>
          <w:highlight w:val="none"/>
        </w:rPr>
        <w:t>（1）公司分管领导</w:t>
      </w:r>
      <w:bookmarkEnd w:id="698"/>
    </w:p>
    <w:p>
      <w:pPr>
        <w:widowControl w:val="0"/>
        <w:autoSpaceDE w:val="0"/>
        <w:autoSpaceDN w:val="0"/>
        <w:adjustRightInd w:val="0"/>
        <w:snapToGrid w:val="0"/>
        <w:spacing w:line="360" w:lineRule="auto"/>
        <w:ind w:firstLine="480" w:firstLineChars="200"/>
        <w:jc w:val="both"/>
        <w:rPr>
          <w:color w:val="auto"/>
          <w:kern w:val="2"/>
          <w:highlight w:val="none"/>
        </w:rPr>
      </w:pPr>
      <w:r>
        <w:rPr>
          <w:rFonts w:hint="eastAsia"/>
          <w:color w:val="auto"/>
          <w:kern w:val="2"/>
          <w:highlight w:val="none"/>
        </w:rPr>
        <w:t>①总承包商应指定公司总部 1 名决策层或董事会成员作为本项目分管领导。</w:t>
      </w:r>
    </w:p>
    <w:p>
      <w:pPr>
        <w:widowControl w:val="0"/>
        <w:autoSpaceDE w:val="0"/>
        <w:autoSpaceDN w:val="0"/>
        <w:adjustRightInd w:val="0"/>
        <w:snapToGrid w:val="0"/>
        <w:spacing w:line="360" w:lineRule="auto"/>
        <w:ind w:firstLine="480" w:firstLineChars="200"/>
        <w:jc w:val="both"/>
        <w:rPr>
          <w:color w:val="auto"/>
          <w:kern w:val="2"/>
          <w:highlight w:val="none"/>
        </w:rPr>
      </w:pPr>
      <w:r>
        <w:rPr>
          <w:rFonts w:hint="eastAsia"/>
          <w:color w:val="auto"/>
          <w:kern w:val="2"/>
          <w:highlight w:val="none"/>
        </w:rPr>
        <w:t>②项目分管领导须每季度与甲方高层会面，接受投诉、提供建议、协调公司资源。</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bookmarkStart w:id="699" w:name="_Toc19682"/>
      <w:r>
        <w:rPr>
          <w:rFonts w:hint="eastAsia" w:cs="FangSong_GB2312"/>
          <w:color w:val="auto"/>
          <w:kern w:val="2"/>
          <w:highlight w:val="none"/>
        </w:rPr>
        <w:t>（2）项目经理</w:t>
      </w:r>
      <w:bookmarkEnd w:id="699"/>
    </w:p>
    <w:p>
      <w:pPr>
        <w:adjustRightInd w:val="0"/>
        <w:snapToGrid w:val="0"/>
        <w:spacing w:line="360" w:lineRule="auto"/>
        <w:ind w:firstLine="480" w:firstLineChars="200"/>
        <w:jc w:val="both"/>
        <w:rPr>
          <w:rFonts w:cs="FangSong_GB2312"/>
          <w:bCs/>
          <w:color w:val="auto"/>
          <w:kern w:val="2"/>
          <w:highlight w:val="none"/>
        </w:rPr>
      </w:pPr>
      <w:r>
        <w:rPr>
          <w:rFonts w:hint="eastAsia" w:cs="FangSong_GB2312"/>
          <w:bCs/>
          <w:color w:val="auto"/>
          <w:kern w:val="2"/>
          <w:highlight w:val="none"/>
        </w:rPr>
        <w:t>项目经理应提供近5年（自截标之日起倒算，以竣工验收报告或建设单位出具完工证明时间为准）完成的自认为最具代表性的同类工程业绩。</w:t>
      </w:r>
    </w:p>
    <w:p>
      <w:pPr>
        <w:adjustRightInd w:val="0"/>
        <w:snapToGrid w:val="0"/>
        <w:spacing w:line="360" w:lineRule="auto"/>
        <w:jc w:val="both"/>
        <w:outlineLvl w:val="2"/>
        <w:rPr>
          <w:rFonts w:cs="FangSong_GB2312"/>
          <w:b/>
          <w:bCs/>
          <w:color w:val="auto"/>
          <w:kern w:val="2"/>
          <w:highlight w:val="none"/>
        </w:rPr>
      </w:pPr>
      <w:bookmarkStart w:id="700" w:name="_Toc3173"/>
      <w:bookmarkStart w:id="701" w:name="_Toc6550"/>
      <w:bookmarkStart w:id="702" w:name="_Toc17743"/>
      <w:bookmarkStart w:id="703" w:name="_Toc15451"/>
      <w:bookmarkStart w:id="704" w:name="_Toc26325"/>
      <w:bookmarkStart w:id="705" w:name="_Toc26549"/>
      <w:bookmarkStart w:id="706" w:name="_Toc28343"/>
      <w:bookmarkStart w:id="707" w:name="_Toc3386"/>
      <w:bookmarkStart w:id="708" w:name="_Toc3383"/>
      <w:bookmarkStart w:id="709" w:name="_Toc5776"/>
      <w:bookmarkStart w:id="710" w:name="_Toc14285"/>
      <w:bookmarkStart w:id="711" w:name="_Toc22374"/>
      <w:r>
        <w:rPr>
          <w:rFonts w:hint="eastAsia" w:cs="FangSong_GB2312"/>
          <w:b/>
          <w:bCs/>
          <w:color w:val="auto"/>
          <w:kern w:val="2"/>
          <w:highlight w:val="none"/>
        </w:rPr>
        <w:t>6. 计划管理</w:t>
      </w:r>
      <w:bookmarkEnd w:id="700"/>
      <w:bookmarkEnd w:id="701"/>
      <w:bookmarkEnd w:id="702"/>
      <w:bookmarkEnd w:id="703"/>
      <w:bookmarkEnd w:id="704"/>
      <w:bookmarkEnd w:id="705"/>
      <w:bookmarkEnd w:id="706"/>
      <w:bookmarkEnd w:id="707"/>
      <w:bookmarkEnd w:id="708"/>
      <w:bookmarkEnd w:id="709"/>
      <w:bookmarkEnd w:id="710"/>
      <w:bookmarkEnd w:id="711"/>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（1）施工总进度计划中应详细说明整个工程进度计划、劳动力计划、机械设备进场计划、材料计划、发包人供应材料设备采购计划。</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工程进度计划应按照关键线路网络图和主要工作横道图两种形式分别编绘，并应包括每月预计完成的工作量和形象进度，在需要时每个月修正一次。承包人必须按监理人确认的进度计划组织施工，接受监理人对进度的检查、监督。工程实际进度对于在竣工时间内完工过于迟缓或与经确认的进度计划不符时，承包人应按监理人的要求和建议进行整改并提交修订的进度计划，经监理人确认后执行。</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（3）总承包商进场后，应建立进度报告制度，严把关键线路施工进度。并按以下节点及要求编制并上报进度计划：</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①按甲方确定的工期目标编制控制性总体施工进度计划；</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②开工时提供本项目的进度计划；</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③每月25日前完成提供下月的工程进度计划及本月进度统计报表的时间；</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④每周监理例会前提供下周的工程进度计划及本周进度统计报表的时间；</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⑤以上各阶段的进度计划编制内容必须包括下周月施工重点、难点及采取的措施；本周月进度计划的符合性，进度延后的说明及后续采取的措施；各专业分包、材料进场计划节点及管理要求；各阶段进度计划在编制后报监理审核后在要求时间前交发包人确认后，方可执行。</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在施工过程中按期（周、月、季）比较进度计划和实际进度，若发现进度计划和实际进度出现偏差，则要及时查找原因、找到对策，并根据延迟的情况调整后续工序，保证总工期，如果需要调整施工总进度计划，修订的施工总进度计划按程序报监理、甲方审批后执行。</w:t>
      </w:r>
    </w:p>
    <w:p>
      <w:pPr>
        <w:keepNext/>
        <w:keepLines/>
        <w:adjustRightInd w:val="0"/>
        <w:snapToGrid w:val="0"/>
        <w:spacing w:line="360" w:lineRule="auto"/>
        <w:jc w:val="both"/>
        <w:outlineLvl w:val="2"/>
        <w:rPr>
          <w:rFonts w:cs="FangSong_GB2312"/>
          <w:b/>
          <w:bCs/>
          <w:color w:val="auto"/>
          <w:kern w:val="2"/>
          <w:highlight w:val="none"/>
        </w:rPr>
      </w:pPr>
      <w:bookmarkStart w:id="712" w:name="_Toc3745"/>
      <w:bookmarkStart w:id="713" w:name="_Toc25460"/>
      <w:bookmarkStart w:id="714" w:name="_Toc8246"/>
      <w:bookmarkStart w:id="715" w:name="_Toc717"/>
      <w:bookmarkStart w:id="716" w:name="_Toc4747"/>
      <w:bookmarkStart w:id="717" w:name="_Toc15193"/>
      <w:bookmarkStart w:id="718" w:name="_Toc22885"/>
      <w:bookmarkStart w:id="719" w:name="_Toc18973"/>
      <w:bookmarkStart w:id="720" w:name="_Toc25426"/>
      <w:bookmarkStart w:id="721" w:name="_Toc6868"/>
      <w:bookmarkStart w:id="722" w:name="_Toc25180"/>
      <w:bookmarkStart w:id="723" w:name="_Toc15951"/>
      <w:r>
        <w:rPr>
          <w:rFonts w:hint="eastAsia" w:cs="FangSong_GB2312"/>
          <w:b/>
          <w:bCs/>
          <w:color w:val="auto"/>
          <w:kern w:val="2"/>
          <w:highlight w:val="none"/>
        </w:rPr>
        <w:t>7. 质量管理</w:t>
      </w:r>
      <w:bookmarkEnd w:id="712"/>
      <w:bookmarkEnd w:id="713"/>
      <w:bookmarkEnd w:id="714"/>
      <w:bookmarkEnd w:id="715"/>
      <w:bookmarkEnd w:id="716"/>
      <w:bookmarkEnd w:id="717"/>
      <w:bookmarkEnd w:id="718"/>
      <w:bookmarkEnd w:id="719"/>
      <w:bookmarkEnd w:id="720"/>
      <w:bookmarkEnd w:id="721"/>
      <w:bookmarkEnd w:id="722"/>
      <w:bookmarkEnd w:id="723"/>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724" w:name="_Toc16167"/>
      <w:bookmarkStart w:id="725" w:name="_Toc25170"/>
      <w:bookmarkStart w:id="726" w:name="_Toc17269"/>
      <w:bookmarkStart w:id="727" w:name="_Toc31576"/>
      <w:bookmarkStart w:id="728" w:name="_Toc25085"/>
      <w:bookmarkStart w:id="729" w:name="_Toc21431"/>
      <w:bookmarkStart w:id="730" w:name="_Toc26721"/>
      <w:bookmarkStart w:id="731" w:name="_Toc11576"/>
      <w:bookmarkStart w:id="732" w:name="_Toc17377"/>
      <w:bookmarkStart w:id="733" w:name="_Toc25213"/>
      <w:r>
        <w:rPr>
          <w:rFonts w:hint="eastAsia" w:cs="FangSong_GB2312"/>
          <w:b/>
          <w:bCs/>
          <w:color w:val="auto"/>
          <w:kern w:val="2"/>
          <w:highlight w:val="none"/>
        </w:rPr>
        <w:t>7.1 质量管理内容</w:t>
      </w:r>
      <w:bookmarkEnd w:id="724"/>
      <w:bookmarkEnd w:id="725"/>
      <w:bookmarkEnd w:id="726"/>
      <w:bookmarkEnd w:id="727"/>
      <w:bookmarkEnd w:id="728"/>
      <w:bookmarkEnd w:id="729"/>
      <w:bookmarkEnd w:id="730"/>
      <w:bookmarkEnd w:id="731"/>
      <w:bookmarkEnd w:id="732"/>
      <w:bookmarkEnd w:id="733"/>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（1）总承包商应建立完善工程质量管理体系，保证工程整体质量达到质量目标。</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（2）总承包商主持质量控制工作会议，解决项目的质量问题。</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（3）负责检查现场质检人员到岗、特殊工种人员持证上岗及施工机械、建筑材料的准备情况。</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（4）核查进场建筑材料、设备、构件、配件质量，组织对进场材料、设备进行检验和复验。</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（5）组织监督或检查关键部位、关键工序的施工质量，确保施工方案及工程建设强制性条规的落实。</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（6）建立定期全面质量检查制度，每周或每双周对项目进行全面质量检查，并形成质量检查记录，向监理、甲方报告。通过培训及专题讨论等活动，倡导全员质量管理。</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（7）总承包商应负责协调各施工连接交界面/线的施工计划及工序安排，对其交界面线整体工程质量负责。</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（8）负责收集、保管并汇总各类成品及施工中形成的质保书、标准文件和相关资料。</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（9）完成甲方交办的其它工作。</w:t>
      </w:r>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734" w:name="_Toc27143"/>
      <w:bookmarkStart w:id="735" w:name="_Toc5427"/>
      <w:bookmarkStart w:id="736" w:name="_Toc15992"/>
      <w:bookmarkStart w:id="737" w:name="_Toc1848"/>
      <w:bookmarkStart w:id="738" w:name="_Toc16795"/>
      <w:bookmarkStart w:id="739" w:name="_Toc10638"/>
      <w:bookmarkStart w:id="740" w:name="_Toc16629"/>
      <w:bookmarkStart w:id="741" w:name="_Toc24081"/>
      <w:bookmarkStart w:id="742" w:name="_Toc15191"/>
      <w:r>
        <w:rPr>
          <w:rFonts w:hint="eastAsia" w:cs="FangSong_GB2312"/>
          <w:b/>
          <w:bCs/>
          <w:color w:val="auto"/>
          <w:kern w:val="2"/>
          <w:highlight w:val="none"/>
        </w:rPr>
        <w:t>7.2 总承包商承担的质量责任</w:t>
      </w:r>
      <w:bookmarkEnd w:id="734"/>
      <w:bookmarkEnd w:id="735"/>
      <w:bookmarkEnd w:id="736"/>
      <w:bookmarkEnd w:id="737"/>
      <w:bookmarkEnd w:id="738"/>
      <w:bookmarkEnd w:id="739"/>
      <w:bookmarkEnd w:id="740"/>
      <w:bookmarkEnd w:id="741"/>
      <w:bookmarkEnd w:id="742"/>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（1）总承包商对合同约定总承包商管理范围的全部工程承担整体质量责任。</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（2）总承包商对自行组织施工的工程承担质量责任。</w:t>
      </w:r>
    </w:p>
    <w:p>
      <w:pPr>
        <w:keepNext/>
        <w:keepLines/>
        <w:widowControl w:val="0"/>
        <w:autoSpaceDE w:val="0"/>
        <w:autoSpaceDN w:val="0"/>
        <w:adjustRightInd w:val="0"/>
        <w:snapToGrid w:val="0"/>
        <w:spacing w:line="360" w:lineRule="auto"/>
        <w:jc w:val="both"/>
        <w:outlineLvl w:val="3"/>
        <w:rPr>
          <w:rFonts w:cs="FangSong_GB2312"/>
          <w:b/>
          <w:bCs/>
          <w:color w:val="auto"/>
          <w:kern w:val="2"/>
          <w:highlight w:val="none"/>
        </w:rPr>
      </w:pPr>
      <w:bookmarkStart w:id="743" w:name="_Toc25323"/>
      <w:bookmarkStart w:id="744" w:name="_Toc15980"/>
      <w:bookmarkStart w:id="745" w:name="_Toc6671"/>
      <w:bookmarkStart w:id="746" w:name="_Toc28961"/>
      <w:bookmarkStart w:id="747" w:name="_Toc12680"/>
      <w:bookmarkStart w:id="748" w:name="_Toc17001"/>
      <w:bookmarkStart w:id="749" w:name="_Toc16666"/>
      <w:bookmarkStart w:id="750" w:name="_Toc5481"/>
      <w:bookmarkStart w:id="751" w:name="_Toc27562"/>
      <w:bookmarkStart w:id="752" w:name="_Toc21613"/>
      <w:r>
        <w:rPr>
          <w:rFonts w:hint="eastAsia" w:cs="FangSong_GB2312"/>
          <w:b/>
          <w:bCs/>
          <w:color w:val="auto"/>
          <w:kern w:val="2"/>
          <w:highlight w:val="none"/>
        </w:rPr>
        <w:t>7.3 总承包商质量管理制度</w:t>
      </w:r>
      <w:bookmarkEnd w:id="743"/>
      <w:bookmarkEnd w:id="744"/>
      <w:bookmarkEnd w:id="745"/>
      <w:bookmarkEnd w:id="746"/>
      <w:bookmarkEnd w:id="747"/>
      <w:bookmarkEnd w:id="748"/>
      <w:bookmarkEnd w:id="749"/>
      <w:bookmarkEnd w:id="750"/>
      <w:bookmarkEnd w:id="751"/>
      <w:bookmarkEnd w:id="752"/>
    </w:p>
    <w:p>
      <w:pPr>
        <w:widowControl w:val="0"/>
        <w:autoSpaceDE w:val="0"/>
        <w:autoSpaceDN w:val="0"/>
        <w:adjustRightInd w:val="0"/>
        <w:snapToGrid w:val="0"/>
        <w:spacing w:line="360" w:lineRule="auto"/>
        <w:ind w:firstLine="482" w:firstLineChars="200"/>
        <w:jc w:val="both"/>
        <w:rPr>
          <w:rFonts w:cs="FangSong_GB2312"/>
          <w:b/>
          <w:bCs/>
          <w:color w:val="auto"/>
          <w:kern w:val="2"/>
          <w:highlight w:val="none"/>
        </w:rPr>
      </w:pPr>
      <w:r>
        <w:rPr>
          <w:rFonts w:hint="eastAsia" w:cs="FangSong_GB2312"/>
          <w:b/>
          <w:bCs/>
          <w:color w:val="auto"/>
          <w:kern w:val="2"/>
          <w:highlight w:val="none"/>
        </w:rPr>
        <w:t>总承包商的质量管理制度包括但不限于以下：</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（1）质量管理目标分解制度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（2）施工图纸会审制度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（3）设计交底制度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（4）原材料、设备跟踪制度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（5）原材料、设备、构配件进场验收制度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（6）取样送检制度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（7）工艺交底制度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（8）质量控制点策划制度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（9）施工组织设计/施工方案审批制度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（10）施工机械设备状态检查制度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（11）测量及计量器具性能精度检查制度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（12）质量通病防止专项措施</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（13）施工环境保证制度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（14）设备选型制度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（15）工序交接验收见证制度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（16）特种作业人员持证上岗制度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（17）工程质量三检、多检及联检制度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（18）成品保护制度</w:t>
      </w:r>
    </w:p>
    <w:p>
      <w:pPr>
        <w:widowControl w:val="0"/>
        <w:autoSpaceDE w:val="0"/>
        <w:autoSpaceDN w:val="0"/>
        <w:adjustRightInd w:val="0"/>
        <w:snapToGrid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（19）质量信息统计与反馈机制</w:t>
      </w:r>
    </w:p>
    <w:p>
      <w:pPr>
        <w:keepNext/>
        <w:keepLines/>
        <w:spacing w:line="360" w:lineRule="auto"/>
        <w:outlineLvl w:val="2"/>
        <w:rPr>
          <w:rFonts w:cs="FangSong_GB2312"/>
          <w:b/>
          <w:bCs/>
          <w:color w:val="auto"/>
          <w:kern w:val="2"/>
          <w:highlight w:val="none"/>
        </w:rPr>
      </w:pPr>
      <w:bookmarkStart w:id="753" w:name="_Toc10026"/>
      <w:bookmarkStart w:id="754" w:name="_Toc11756"/>
      <w:bookmarkStart w:id="755" w:name="_Toc28585"/>
      <w:bookmarkStart w:id="756" w:name="_Toc14624"/>
      <w:bookmarkStart w:id="757" w:name="_Toc18014"/>
      <w:bookmarkStart w:id="758" w:name="_Toc15599"/>
      <w:bookmarkStart w:id="759" w:name="_Toc5996"/>
      <w:bookmarkStart w:id="760" w:name="_Toc5144"/>
      <w:bookmarkStart w:id="761" w:name="_Toc3975"/>
      <w:bookmarkStart w:id="762" w:name="_Toc27906"/>
      <w:bookmarkStart w:id="763" w:name="_Toc1543"/>
      <w:bookmarkStart w:id="764" w:name="_Toc1766"/>
      <w:bookmarkStart w:id="765" w:name="_Toc14014"/>
      <w:r>
        <w:rPr>
          <w:rFonts w:hint="eastAsia" w:cs="FangSong_GB2312"/>
          <w:b/>
          <w:bCs/>
          <w:color w:val="auto"/>
          <w:kern w:val="2"/>
          <w:highlight w:val="none"/>
        </w:rPr>
        <w:t>8. 测量管理</w:t>
      </w:r>
      <w:bookmarkEnd w:id="753"/>
      <w:bookmarkEnd w:id="754"/>
      <w:bookmarkEnd w:id="755"/>
      <w:bookmarkEnd w:id="756"/>
      <w:bookmarkEnd w:id="757"/>
      <w:bookmarkEnd w:id="758"/>
      <w:bookmarkEnd w:id="759"/>
      <w:bookmarkEnd w:id="760"/>
      <w:bookmarkEnd w:id="761"/>
      <w:bookmarkEnd w:id="762"/>
      <w:bookmarkEnd w:id="763"/>
      <w:bookmarkEnd w:id="764"/>
      <w:bookmarkEnd w:id="765"/>
    </w:p>
    <w:p>
      <w:pPr>
        <w:keepNext/>
        <w:keepLines/>
        <w:widowControl w:val="0"/>
        <w:autoSpaceDE w:val="0"/>
        <w:autoSpaceDN w:val="0"/>
        <w:spacing w:line="360" w:lineRule="auto"/>
        <w:outlineLvl w:val="3"/>
        <w:rPr>
          <w:rFonts w:cs="FangSong_GB2312"/>
          <w:b/>
          <w:bCs/>
          <w:color w:val="auto"/>
          <w:kern w:val="2"/>
          <w:highlight w:val="none"/>
        </w:rPr>
      </w:pPr>
      <w:bookmarkStart w:id="766" w:name="_Toc32415"/>
      <w:bookmarkStart w:id="767" w:name="_Toc26443"/>
      <w:bookmarkStart w:id="768" w:name="_Toc15868"/>
      <w:bookmarkStart w:id="769" w:name="_Toc5150"/>
      <w:bookmarkStart w:id="770" w:name="_Toc15612"/>
      <w:bookmarkStart w:id="771" w:name="_Toc20867"/>
      <w:bookmarkStart w:id="772" w:name="_Toc2806"/>
      <w:bookmarkStart w:id="773" w:name="_Toc32181"/>
      <w:bookmarkStart w:id="774" w:name="_Toc19667"/>
      <w:bookmarkStart w:id="775" w:name="_Toc23563"/>
      <w:r>
        <w:rPr>
          <w:rFonts w:hint="eastAsia" w:cs="FangSong_GB2312"/>
          <w:b/>
          <w:bCs/>
          <w:color w:val="auto"/>
          <w:kern w:val="2"/>
          <w:highlight w:val="none"/>
        </w:rPr>
        <w:t>8.1 基本要求</w:t>
      </w:r>
      <w:bookmarkEnd w:id="766"/>
      <w:bookmarkEnd w:id="767"/>
      <w:bookmarkEnd w:id="768"/>
      <w:bookmarkEnd w:id="769"/>
      <w:bookmarkEnd w:id="770"/>
      <w:bookmarkEnd w:id="771"/>
      <w:bookmarkEnd w:id="772"/>
      <w:bookmarkEnd w:id="773"/>
      <w:bookmarkEnd w:id="774"/>
      <w:bookmarkEnd w:id="775"/>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（1）本项目建立一个稳定可靠的测量控制网是本工程测量工作的重点。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（2）总承包商应特别重视本工程的定位和放线的相互校核和闭合检查工作，如果发现任何超出规范和技术要求允许的偏差，总承包商应立即查明原因，提出切实整改措施，报监理和甲方审批后，进行纠偏整改；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（3）测量专业人员和测量团队应具备相应专业资质。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（4）测量仪器设备应符合本工程要求的测量精度，且经专门机构鉴定合格，并定期进行检测。</w:t>
      </w:r>
    </w:p>
    <w:p>
      <w:pPr>
        <w:keepNext/>
        <w:keepLines/>
        <w:widowControl w:val="0"/>
        <w:autoSpaceDE w:val="0"/>
        <w:autoSpaceDN w:val="0"/>
        <w:spacing w:line="360" w:lineRule="auto"/>
        <w:outlineLvl w:val="3"/>
        <w:rPr>
          <w:rFonts w:cs="FangSong_GB2312"/>
          <w:b/>
          <w:bCs/>
          <w:color w:val="auto"/>
          <w:kern w:val="2"/>
          <w:highlight w:val="none"/>
        </w:rPr>
      </w:pPr>
      <w:bookmarkStart w:id="776" w:name="_Toc22338"/>
      <w:bookmarkStart w:id="777" w:name="_Toc25427"/>
      <w:bookmarkStart w:id="778" w:name="_Toc23314"/>
      <w:bookmarkStart w:id="779" w:name="_Toc8779"/>
      <w:bookmarkStart w:id="780" w:name="_Toc4563"/>
      <w:bookmarkStart w:id="781" w:name="_Toc2439"/>
      <w:bookmarkStart w:id="782" w:name="_Toc20701"/>
      <w:bookmarkStart w:id="783" w:name="_Toc8555"/>
      <w:bookmarkStart w:id="784" w:name="_Toc14747"/>
      <w:bookmarkStart w:id="785" w:name="_Toc29962"/>
      <w:r>
        <w:rPr>
          <w:rFonts w:hint="eastAsia" w:cs="FangSong_GB2312"/>
          <w:b/>
          <w:bCs/>
          <w:color w:val="auto"/>
          <w:kern w:val="2"/>
          <w:highlight w:val="none"/>
        </w:rPr>
        <w:t>8.2 总承包商的测量责任</w:t>
      </w:r>
      <w:bookmarkEnd w:id="776"/>
      <w:bookmarkEnd w:id="777"/>
      <w:bookmarkEnd w:id="778"/>
      <w:bookmarkEnd w:id="779"/>
      <w:bookmarkEnd w:id="780"/>
      <w:bookmarkEnd w:id="781"/>
      <w:bookmarkEnd w:id="782"/>
      <w:bookmarkEnd w:id="783"/>
      <w:bookmarkEnd w:id="784"/>
      <w:bookmarkEnd w:id="785"/>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（1）总承包商是本项目测量管理的第一责任人，必须设立专人、专门机构负责本项目所有测量工作的具体实施和管理，建立专业工程测量管理体系。</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（2）与测绘单位做好本工程平面控制点和高程控制点的移交工作，并做好控制点的复测和保护工作。根据测绘单位提供的本工程测量控制点建立首级场区控制网。</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（3）编制本项目总体测量施工方案，按方案实施本项目的测量定位和复核工作。包括但不限于平面控制（各级平面控制网、点的选择）、竖向测量、高程控制、沉降观测、压缩变形、标高偏差、垂直度偏差等。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负责测设场地内的合同范围内的各级平面和高程场区控制网和建筑物测量控制网，在工作面结构体上作好醒目的标识，必要时按规范要求进行控制点埋石工作，把符合要求的成果上报监理复查，并做好控制网点的保护工作，及时恢复。</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（5）负责定期对各级测量控制网进行复测，维护各级控制网测量成果。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（6）负责本工程全过程变形监测，包括但不仅限于基坑变形总承包商自监测、建筑物沉降监测和其它需要变形控制的监测等。并负责做好与相应监测有关的温度、湿度、风力、空气质量等因素的监测工作。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（7）总承包商测量专职人员做好测量放线成果、预埋件定位、支护结构限界等进行检查和复测工作。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（8）总承包商确保投入的各种测量仪器精度符合规范要求，并且年检合格。</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（9）负责做好竣工验收的各项测量工作，负责工程档案要求的测量资料整理归档工作。</w:t>
      </w:r>
    </w:p>
    <w:p>
      <w:pPr>
        <w:keepNext/>
        <w:keepLines/>
        <w:spacing w:line="360" w:lineRule="auto"/>
        <w:outlineLvl w:val="2"/>
        <w:rPr>
          <w:rFonts w:cs="FangSong_GB2312"/>
          <w:b/>
          <w:bCs/>
          <w:color w:val="auto"/>
          <w:kern w:val="2"/>
          <w:highlight w:val="none"/>
        </w:rPr>
      </w:pPr>
      <w:bookmarkStart w:id="786" w:name="_Toc12989"/>
      <w:bookmarkStart w:id="787" w:name="_Toc16972"/>
      <w:bookmarkStart w:id="788" w:name="_Toc15632"/>
      <w:bookmarkStart w:id="789" w:name="_Toc8963"/>
      <w:bookmarkStart w:id="790" w:name="_Toc12673"/>
      <w:bookmarkStart w:id="791" w:name="_Toc16755"/>
      <w:bookmarkStart w:id="792" w:name="_Toc12766"/>
      <w:bookmarkStart w:id="793" w:name="_Toc28827"/>
      <w:bookmarkStart w:id="794" w:name="_Toc15358"/>
      <w:bookmarkStart w:id="795" w:name="_Toc24023"/>
      <w:bookmarkStart w:id="796" w:name="_Toc5698"/>
      <w:bookmarkStart w:id="797" w:name="_Toc14837"/>
      <w:bookmarkStart w:id="798" w:name="_Toc15662"/>
      <w:r>
        <w:rPr>
          <w:rFonts w:hint="eastAsia" w:cs="FangSong_GB2312"/>
          <w:b/>
          <w:bCs/>
          <w:color w:val="auto"/>
          <w:kern w:val="2"/>
          <w:highlight w:val="none"/>
        </w:rPr>
        <w:t>9. 安全文明施工管理</w:t>
      </w:r>
      <w:bookmarkEnd w:id="786"/>
      <w:bookmarkEnd w:id="787"/>
      <w:bookmarkEnd w:id="788"/>
      <w:bookmarkEnd w:id="789"/>
      <w:bookmarkEnd w:id="790"/>
      <w:bookmarkEnd w:id="791"/>
      <w:bookmarkEnd w:id="792"/>
      <w:bookmarkEnd w:id="793"/>
      <w:bookmarkEnd w:id="794"/>
      <w:bookmarkEnd w:id="795"/>
      <w:bookmarkEnd w:id="796"/>
      <w:bookmarkEnd w:id="797"/>
      <w:bookmarkEnd w:id="798"/>
    </w:p>
    <w:p>
      <w:pPr>
        <w:keepNext/>
        <w:keepLines/>
        <w:widowControl w:val="0"/>
        <w:autoSpaceDE w:val="0"/>
        <w:autoSpaceDN w:val="0"/>
        <w:spacing w:line="360" w:lineRule="auto"/>
        <w:outlineLvl w:val="3"/>
        <w:rPr>
          <w:rFonts w:cs="FangSong_GB2312"/>
          <w:b/>
          <w:bCs/>
          <w:color w:val="auto"/>
          <w:kern w:val="2"/>
          <w:highlight w:val="none"/>
        </w:rPr>
      </w:pPr>
      <w:bookmarkStart w:id="799" w:name="_Toc1672"/>
      <w:bookmarkStart w:id="800" w:name="_Toc1005"/>
      <w:bookmarkStart w:id="801" w:name="_Toc10139"/>
      <w:bookmarkStart w:id="802" w:name="_Toc25102"/>
      <w:bookmarkStart w:id="803" w:name="_Toc10571"/>
      <w:bookmarkStart w:id="804" w:name="_Toc9131"/>
      <w:bookmarkStart w:id="805" w:name="_Toc5353"/>
      <w:bookmarkStart w:id="806" w:name="_Toc14657"/>
      <w:bookmarkStart w:id="807" w:name="_Toc8836"/>
      <w:bookmarkStart w:id="808" w:name="_Toc4130"/>
      <w:r>
        <w:rPr>
          <w:rFonts w:hint="eastAsia" w:cs="FangSong_GB2312"/>
          <w:b/>
          <w:bCs/>
          <w:color w:val="auto"/>
          <w:kern w:val="2"/>
          <w:highlight w:val="none"/>
        </w:rPr>
        <w:t>9.1 总则</w:t>
      </w:r>
      <w:bookmarkEnd w:id="799"/>
      <w:bookmarkEnd w:id="800"/>
      <w:bookmarkEnd w:id="801"/>
      <w:bookmarkEnd w:id="802"/>
      <w:bookmarkEnd w:id="803"/>
      <w:bookmarkEnd w:id="804"/>
      <w:bookmarkEnd w:id="805"/>
      <w:bookmarkEnd w:id="806"/>
      <w:bookmarkEnd w:id="807"/>
      <w:bookmarkEnd w:id="80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必须严格遵守《中华人民共和国安全生产法》、《建设工程安全生产管理条例》（中华人民共和国国务院令第393号）、《生产安全事故报告和调查处理条例》（国务院令第493号）、《关于进一步规范房屋建筑和市政工程生产安全事故报告和调查处理工作的若干意见》（建质〔2007〕257号）、《关于加强建设工程安全文明施工标准化管理的若干规定》（深建规【2018】5号）、《深圳市建设工程现场文明施工管理办法》、《深圳市建设工程安全文明施工标准(SJG-46-2018)》、《〈关于严厉惩处建设工程安全生产违法违规行为的若干措施（试行）〉的实施细则》，施工现场满足“7个100%”扬尘控制和地下管线、设施保护“6个100%”措施深圳市当地其它有关安全生产的法律、法规、规定，加强安全生产管理，认真开展建设工程施工现场安全生产和文明施工管理工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（2）总承包商必须坚持“安全第一、预防为主、综合治理” 的安全生产方针，实施建设工程安全生产管理，并以该方针作为该工程合同期内安全生产管理的核心，加强安全生产管理，建立、健全安全生产责任制度，完善安全生产条件，确保安全生产。</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（3）总承包商在该工程合同期内实现安全文明目标。</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（4）总承包商必须对该工程施工现场的安全生产与文明施工负总责。明确安全责任、义务、权利以及工作界面的划定等方面的内容。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（5）总承包商在该工程合同期内的所有施工工作及与施工有关的活动必须严格遵守国家、地区、行业颁发制订的各类建设工程相关的法律法规、标准规范、操作规程等管理规定。</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（6）总承包商在该工程合同期内必须按照《企业安全风险分级管控和隐患排查治理双重预防机制建设通则》（DB4403/T 52019）开展项目双重预防机制工作，按照《建筑施工安全检查标准》（JGJ59-2011）和当地相关要求规定的内容，定期对施工现场进行安全生产与文明施工综合检查，对检查出的事故隐患必须立即整改，并将整改记录报送监理和甲方备案。同时，总承包商应定期（每月一次）对项目部开展公司级的安全生产与文明施工监督、检查活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（7）总承包商应当为总承包商施工现场从事危险作业的人员办理意外伤害保险，同时按照安全生产法的规定投保项目安全生产责任保险。</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总承包商制定并落实整个工程的文明施工（包括水土保持、绿色施工垃圾清运、卫生设施、安全围护、成品保护、安全保卫、消防安全、公共照明、施工扰民、防尘降噪、污水排放、周边交通、材料堆放等等）措施与方案，提供文明施工设施，监督及管理施工现场文明施工情况，不断完善文明施工管理措施，使整个施工现场处于安全有序合法的施工状态。</w:t>
      </w:r>
    </w:p>
    <w:p>
      <w:pPr>
        <w:keepNext/>
        <w:keepLines/>
        <w:widowControl w:val="0"/>
        <w:autoSpaceDE w:val="0"/>
        <w:autoSpaceDN w:val="0"/>
        <w:spacing w:line="360" w:lineRule="auto"/>
        <w:outlineLvl w:val="3"/>
        <w:rPr>
          <w:rFonts w:cs="FangSong_GB2312"/>
          <w:b/>
          <w:bCs/>
          <w:color w:val="auto"/>
          <w:kern w:val="2"/>
          <w:highlight w:val="none"/>
        </w:rPr>
      </w:pPr>
      <w:bookmarkStart w:id="809" w:name="_Toc32605"/>
      <w:bookmarkStart w:id="810" w:name="_Toc21759"/>
      <w:bookmarkStart w:id="811" w:name="_Toc2601"/>
      <w:bookmarkStart w:id="812" w:name="_Toc18787"/>
      <w:bookmarkStart w:id="813" w:name="_Toc10440"/>
      <w:bookmarkStart w:id="814" w:name="_Toc27878"/>
      <w:bookmarkStart w:id="815" w:name="_Toc3689"/>
      <w:bookmarkStart w:id="816" w:name="_Toc6276"/>
      <w:bookmarkStart w:id="817" w:name="_Toc4568"/>
      <w:bookmarkStart w:id="818" w:name="_Toc3208"/>
      <w:r>
        <w:rPr>
          <w:rFonts w:hint="eastAsia" w:cs="FangSong_GB2312"/>
          <w:b/>
          <w:bCs/>
          <w:color w:val="auto"/>
          <w:kern w:val="2"/>
          <w:highlight w:val="none"/>
        </w:rPr>
        <w:t>9.2 一般规定</w:t>
      </w:r>
      <w:bookmarkEnd w:id="809"/>
      <w:bookmarkEnd w:id="810"/>
      <w:bookmarkEnd w:id="811"/>
      <w:bookmarkEnd w:id="812"/>
      <w:bookmarkEnd w:id="813"/>
      <w:bookmarkEnd w:id="814"/>
      <w:bookmarkEnd w:id="815"/>
      <w:bookmarkEnd w:id="816"/>
      <w:bookmarkEnd w:id="817"/>
      <w:bookmarkEnd w:id="81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（1）总承包商资质需符合该工程招投标的要求，安全生产许可证必须真实、有效，且投标期内未受到政府相关处罚措施。</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的投标总价中必须按要求单独列支安全文明施工措施费，该项费用应当用于按照国家、省、市建筑施工安全、施工现场环境与卫生标准和有关规定，购置和更新施工安全防护用具及设施、改善安全生产条件和作业环境所需要的费用，具体包括安全施工费、文明施工费、环境保护费以及临时设施费等。该笔费用不得挪作它用，具体金额及使用办法需满足深圳市相关管理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（3）总承包商必须编制项目建设周期安全文明施工措施费使用计划，经监理审核后报送甲方备案。该项费用必须严格按照使用计划执行专款专用，并提供相关票据接受甲方的监督检查。</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项目经理必须需持证上岗，除了取得相应执业资格外，还必须持有相应级别的专职安全生产管理人员有效证书。项目经理对建设工程项目的安全施工负责，落实安全生产规章制度和操作规程，确保安全生产费用的有效使用，并根据工程的特点组织制定安全施工措施，消除安全事故隐患，及时、如实报告生产安全事故。</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总承包商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监理单位审批，法律法规、规章制度学习记录真实、完整。</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总承包商必须设立该工程安全生产管理机构，配置专职安全主任和专职安全管理人员（其任职资格需满足省、市行政主管部门要求），专职安全管理人员数量、资格必须符合《建筑施工企业安全生产管理机构设置及专职安全生产管理人员配备办法》等国家和省市的有关规定，且必须按建筑和安装专业配置。以上人员必须现场履行管理责任，不得挂名。专职安全生产管理人员负责对安全生产进行现场监督检查。发现安全事故隐患，应当及时向项目负责人和安全生产管理机构报告；对违章指挥、违章操作的，应当立即制止。</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承包商的安全管理人员需接受甲方核查、考评，对不符合要求的安全管理人员甲方有权要求更换，承包商必须无条件予以更换，更换人员资格不得低于同类总承包商资格，且必须满足甲方的要求。对不符合甲方要求的人员，需在接到书面通知后1周内离场，更换人员必须同时到岗。</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总承包商必须按照合同约定的履行应负的责任和义务，严禁违法分包转包和挂靠资质的行为，严禁将其承包的全部工程或者将其承包的全部工程肢解后以分包的名义分别转给其他单位或个人施工的行为，保证遵守《建设项目工程总承包管理规范》（GBT 50358-2017 ）有关规定。</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总承包商必须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（10）总承包商现场安全生产与文明施工管理工作必须服从甲方、监理/环境监理的监督管理，对以上单位提出的合理化建议及要求必须严格遵守执行。</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（11）施工现场任何与安全生产有关的重要事宜承包商必须提前报告监理和甲方，包括但不限于以下活动：政府各级职能部门检查、本单位安全检查、年度安全生产月活动等。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（12）施工活动中，承包商不得使用国家、地区、行业明令禁止使用或必须淘汰的机械设备、建筑材料、施工工艺。</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（13）总承包商在合同期内有义务采取一切必需的安全防护及事故预防措施保护公众及公共设施的安全，使之不受损害，同时承担所采取措施的相应费用。上述费用应包含于合同总价中。</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14）总承包商项目部安全总监（安全主任）应具有工程师及以上职称，且有8年以上建设工程安全管理工作经验。安全管理人员若发生变动或安全总监（安全主任）请假应及时报告监理单位和建设单位，但必须确保在国家法定节假日期间，有专职安全人员在现场跟班监控。</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（15）总承包商施工管理人员、专职安全员每年度应进行安全教育培训和考核，培训考核记录报监理单位审查备案。</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（16）承包商应按照《危险性较大的分部分项工程安全管理办法》有关规定，对危险性较大的分部分项工程编制专项施工方案，报监理单位审批。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（17）承包商对超过一定规模的危险性较大的分部分项工程应组织专家论证，并严格按照论证方案组织施工。</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（18）总承包商应加强对重大危险源的控制与管理，制定重大危险源的管理制度，对施工现场的重大危险源进行辨识、登记、公示、控制。</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19）承包商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（20）承包商应参加监理单位组织的项目定期安全检查和项目安全生产专题会议，对检查发现的各项安全隐患按照“三定”原则进行整改。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（21）承包商应对分包单位进行资质、安全生产许可证和相关人员安全生产资格的审查，并报监理单位审核。</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（22）承包商应与分包单位（含甲方专业分包）签订安全生产协议、消防协议，并报建设单位备案，并负责分包单位（含甲方专业分包）统一协调、管理。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（23）承包商分包单位应按规定建立安全管理机构，配备项目经理和专职安全员，项目经理和专职安全员应具有B证、C证。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24）承包商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25）承包商应严格执行深圳市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26）承包商应按规定设置劳务工维权信息牌，关心工人、加强沟通交流，保障工人的基本生活条件。时刻保持维稳工作的敏感性，发现不稳定因素密切跟踪，出现不稳定苗头及时制止，防止矛盾激化或不稳的因素扩大。</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（27）承包商应针对工程特点，制定防触电、防坍塌、防高处坠落、防起重及机械伤害、防火灾、防物体打击等主要内容的专项应急救援预案。</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（28）承包商应建立应急救援组织，培训、配备应急救援人员，定期组织员工进行应急救援演练，并做好演练记录。</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（29）承包商应按应急救援预案要求，配备应急救援器材和设备。</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（30）事故发生后，承包商应全力开展应急抢险救援，及时将事故原因、抢险措施上报政府有关部门和甲方，按“四不放过”原则做好事故调查处理工作。</w:t>
      </w:r>
    </w:p>
    <w:p>
      <w:pPr>
        <w:keepNext/>
        <w:keepLines/>
        <w:widowControl w:val="0"/>
        <w:autoSpaceDE w:val="0"/>
        <w:autoSpaceDN w:val="0"/>
        <w:spacing w:line="360" w:lineRule="auto"/>
        <w:outlineLvl w:val="3"/>
        <w:rPr>
          <w:rFonts w:cs="FangSong_GB2312"/>
          <w:b/>
          <w:bCs/>
          <w:color w:val="auto"/>
          <w:kern w:val="2"/>
          <w:highlight w:val="none"/>
        </w:rPr>
      </w:pPr>
      <w:bookmarkStart w:id="819" w:name="_Toc2478"/>
      <w:bookmarkStart w:id="820" w:name="_Toc26306"/>
      <w:bookmarkStart w:id="821" w:name="_Toc11999"/>
      <w:bookmarkStart w:id="822" w:name="_Toc13393"/>
      <w:bookmarkStart w:id="823" w:name="_Toc215"/>
      <w:bookmarkStart w:id="824" w:name="_Toc6894"/>
      <w:bookmarkStart w:id="825" w:name="_Toc29454"/>
      <w:bookmarkStart w:id="826" w:name="_Toc28591"/>
      <w:bookmarkStart w:id="827" w:name="_Toc16558"/>
      <w:bookmarkStart w:id="828" w:name="_Toc13835"/>
      <w:r>
        <w:rPr>
          <w:rFonts w:hint="eastAsia" w:cs="FangSong_GB2312"/>
          <w:b/>
          <w:bCs/>
          <w:color w:val="auto"/>
          <w:kern w:val="2"/>
          <w:highlight w:val="none"/>
        </w:rPr>
        <w:t>9.3 安全生产和消防管理要求</w:t>
      </w:r>
      <w:bookmarkEnd w:id="819"/>
      <w:bookmarkEnd w:id="820"/>
      <w:bookmarkEnd w:id="821"/>
      <w:bookmarkEnd w:id="822"/>
      <w:bookmarkEnd w:id="823"/>
      <w:bookmarkEnd w:id="824"/>
      <w:bookmarkEnd w:id="825"/>
      <w:bookmarkEnd w:id="826"/>
      <w:bookmarkEnd w:id="827"/>
      <w:bookmarkEnd w:id="82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为了提高施工现场安全生产和文明施工的管理水平，总承包商必须按规定建立该项目的安全生产、文明施工管理体系，制定安全管理方针和目标，建立项目安全管理组织架构，明确各级安全管理职责，落实安全责任。</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必须建立安全生产制度，包括但不限于各级安全生产责任制、安全教育制度、安全例会制度、安全检查制度、施工机械设施验收制度等，按照《广东省建筑施工安全管理资料统一用表（2021版）》规范内业资料管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（3）承包商必须严格遵循施工作业防护在先，作业在后的顺序，禁止先作业，后补防护或无防护冒险施工的情况发生。</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（4）承包商应在监理单位见证下及时将脚手架钢管、扣件、安全网、安全帽、安全带等安全用具送检，经检验合格后方可投入使用。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（5）承包商进场的施工机具、设施设备投入使用前，应报监理单位验收。</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承包商应加强安全生产教育培训，对所有新进场、转岗工人进行三级安全教育，购买工伤保险，并按照《深圳市住房和建设局关于试行建筑从业人员安全教育数字化教材强化实名制安全教育培训的通知》，落实实名制安全教育培训工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（7）承包商每天应开展班前安全交底，每月开展岗位操作规程培训，监理旁站见证。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（8）承包商专项方案实施前，编制人员或项目技术负责人应当向现场管理人员和作业人员进行安全技术交底，需监理旁站见证。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（9）承包商特种作业人员应持证上岗，证件需有效并定期复审，上岗前应对其进行安全技术交底，每月对其进行安全教育培训。</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（10）承包商安全员应每日对现场进行安全巡查，并填写安全巡查日志。</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（11）承包商项目部应每周开展安全检查，每月开展安全自评。</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（12）承包商对于施工现场的外脚手架、塔吊、施工电梯、模板支撑系统、施工机具、临时用电等进行安全自检，并做好检查记录。</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（13）总承包商施工活动中各项施工程序、措施、方式均应严格遵守“方案先行”原则，施工前编制施工方案，经有关人员审批后报送监理审核、甲方备案。</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14）总承包商必须制定和落实建设工程重大危险源管理办法，严格按照国家《建设工程重大危险源管理办法》的要求，项目要制定危大工程施工盘站监督管理制度，涉及危大工程施工的，必须有项目管理人员全程盘站监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15）建设工程施工前，总承包商负责项目管理的各专业技术人员应当对本专业施工作业中有关安全的技术要求向施工班组的作业人员作出详细说明，并由双方签字确认，完成安全交底。交底过程中，专职安全管理人员须在场监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（16）总承包商应当在施工现场入口处、施工起重机械、临时用电设施、脚手架、出入通道口、基坑边沿、有害危险气体和液体存放处等危险部位，设置明显的安全警示标志，安全警示标志必须符合国家标准。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17）总承包商有责任对施工现场所有的临边、洞口等作业面进行必要的防护，防护措施应满足行业规范的要求。同时，应指派专人定期巡查，对已经破损或被移动的防护措施进行恢复。临边包括但不限于基坑临边、道路临边、围挡临边、基坑临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（18）总承包商施工活动中所使用的运输设备、机械设备及小型电动工具等必须为正规厂家生产的合格产品。现场使用必须严格按照省、市的相关规定执行。</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（19）建筑如涉及到外立面脚手架必须满挂安全网，且安全网保持干净整洁，无破损，架体下部结构的所有临边必须设置固定式防护栏杆并满挂安全网。</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20）总承包商在使用施工起重机械前，应当组织有关单位进行验收，也可以委托具有相应资质的检验检测机构进行验收；使用承租的机械设备和施工机具及配件的，由施工总承包商、出租单位和安装单位共同进行验收。验收合格的方可使用。《特种设备安全监察条例》规定的施工起重机械，在验收前应当经有相应资质的检验检测机构监督检验合格。</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（21）在施工现场安装、拆卸施工起重机械，必须由具有相应资质的单位承担。安装、拆卸施工起重机械和整体模板体系，应当编制拆装方案、制定安全施工措施，并由专业技术人员现场监督。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（22）施工起重机械安装完毕后，安装单位应当自检，出具自检合格证明，并向总承包商进行安全使用说明交底，办理验收手续并签字。</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23）总承包商土方及垃圾外运过程中，需和政府批准的专业公司签订合同。所有车辆需证照齐全，严禁超载运输，司机不得疲劳驾驶，严禁在规定区域外随意倾泻。总承包商负责维护和清理施工出入道路和人行通道道上的清洁，保证符合甲方及政府相关部门的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24）总承包商应当根据不同施工阶段和周围环境及季节、气候的变化，在施工现场采取相应的安全施工措施。施工现场暂时停止施工的，总承包商应当做好现场防护，所需费用由责任方承担，或者按照合同约定执行。</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25）开工前，总承包商向监理人提交安全生产(含消防安全)计划；落实安全、消防和保安措施，以及文明施工管理措施。总承包商有责任制定消防专项方案、消防安全管理措施、消防责任追究办法及消防事故应急处理办法。同时，建立项目义务消防队，以项目经理为第一责任人。义务消防队成员需通过政府授权部门所规定的培训，并取得相关证书。现场应严格执行动火审批程序，动火点必须有专人看守并配置消防器材。</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（26）总承包商应在施工现场及临建设施的规定位置设置灭火器，定期进行检查，确保灭火器数量充足、灭火器应标注检查日期和是否有效。</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（27）为了保证施工期间火灾发生时人员的及时疏散，通道并设置必要的标识和照明设施，通道要保持畅通，任何人员不得随意占用。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28）危险品仓库、油漆间、木工间，有专人管理，上述区域严禁吸烟及动用明火，设立明显的危险警告标志；焊、割作业应严格执行“十不烧”及压力容器使用规定；施工现场，非电工严禁擅自装接用电器具、拉设电线，禁止使用非生产性电加热器和煤油炉等明火器具。生活用火不得有隐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29）总承包商必须在防火等级不同的区域配置符合要求的消防器材，各类消防产品必须符合国家标准；没有国家标准的，必须符合行业标准。禁止使用不合格的消防产品以及国家明令淘汰的消防产品。项目部应定期组织消防检查，消除火灾事故隐患。消防器材应按规定布置齐全、合理，任何人不得挪作它用，周围不准堆物，并应保持道路畅通，灭火器按时调换药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30）总承包商需根据项目施工进度建立项目驻地的临时消防系统（如喷淋系统）。实施前应根据法规要求及本单位成熟经验编制专项方案，并经相关单位的审批后实施。施工过程中，定期对管道、阀门、加压设备进行检查，保证项目驻地使用过程中的消防需要，与固定消防器材配合形成整体消防系统。</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31）总承包商应将施工现场的办公区与作业区分开设置，并保持安全距离；生活区的选址应当符合安全性要求，员工的膳食、饮水、休息场所等应当符合卫生标准。总承包商不得在尚未竣工的建筑物内设置员工集体宿舍。</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（32）总承包商在施工现场临时搭建的建筑物应当符合安全使用要求。施工现场使用的装配式活动房屋应当具有产品合格证。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33）总承包商应编制项目应急演练总计划，编制专项应急演练方案并实施。根据项目施工的不同阶段预先安排有针对性的专项应急演练，演练项目应包含但不限于高坠、坍塌、触电、火灾、爆炸、中毒、中暑、灾害性天气等。总承包商须按照应急救援预案，建立应急救援组织或者配备应急救援人员，配备救援器材、设备，并定期组织演练。</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34）总承包商在施工过程中所使用的危险化学品和易燃易爆物体必须按照深圳市相关规定落实购买、储存、使用、回收等环节的管理工作，同时做好相关记录。由于总承包商未采取适当有效的防护措施而引致的一切损失均由总承包商负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（35）总承包商应当遵守有关环境保护法律、法规的规定，在施工现场采取措施，防止或者减少粉尘、废气、废水、固体废物、噪声、振动和施工照明对人和环境的危害和污染。</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（36）总承包商应根据本单位类似项目的成熟施工经验制定切实有效的基坑防坠落、防坍塌以及土方开挖过程中的施工方案，宜采取分层、分段的相结合开挖方式，并按要求设置项目周边道路的防护棚。</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（37）总承包商应对因建设工程施工可能造成损害的毗邻建筑物、构筑物和地下管线等，应当采取专项防护措施。</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（38）总承包商应充分考虑合同期内的现场交通组织，根据现场周边道路及场地情况制定专项方案，设置交通警示标志，确保不发生交通意外伤害事故。</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（39）总承包商必须无条件配合监理、甲方、政府相关部门组织的与项目有关的各类安全活动。包括但不限于样板工地展示、领导现场视察、工程影视拍摄等活动。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40）发生安全事故事件后，总承包商需第一时间将事故情况通报监理及甲方，不得隐瞒不报或推迟汇报，执行甲方的事故事件报送要求。应立即组织人员和设备进行紧急抢救和抢修，减少人员伤亡和财产损失，防止事故扩大，并保护事故现场。需要移动现场物品时，应做出标记和书面或视频影像记录，妥善保管有关证据。</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41）发生安全事故事件后，总承包商应当按照国家有关伤亡事故报告和调查处理的规定，及时、如实地向负责安全生产监督管理的部门、建设行政主管部门及其它有关部门报告，特种设备发生事故的，还应当同时向特种设备安全监督管理部门报告，并报告正在采取的紧急措施等，协助政府部门事故调查组进行事故调查。</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（42）发生安全事故事件后，按照事故处理权限组成调查组，查明事故原因，确定主要责任者、提出事故处理意见和防范措施的建议，编制事故调查报告并提交甲方备案。</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（43）因承包商的过错，造成甲方或他人财产或人身损害或甲方被处罚，乙方应负赔偿责任。</w:t>
      </w:r>
    </w:p>
    <w:p>
      <w:pPr>
        <w:keepNext/>
        <w:keepLines/>
        <w:widowControl w:val="0"/>
        <w:autoSpaceDE w:val="0"/>
        <w:autoSpaceDN w:val="0"/>
        <w:spacing w:line="360" w:lineRule="auto"/>
        <w:outlineLvl w:val="3"/>
        <w:rPr>
          <w:rFonts w:cs="FangSong_GB2312"/>
          <w:b/>
          <w:bCs/>
          <w:color w:val="auto"/>
          <w:kern w:val="2"/>
          <w:highlight w:val="none"/>
        </w:rPr>
      </w:pPr>
      <w:bookmarkStart w:id="829" w:name="_Toc26375"/>
      <w:bookmarkStart w:id="830" w:name="_Toc294"/>
      <w:bookmarkStart w:id="831" w:name="_Toc13110"/>
      <w:bookmarkStart w:id="832" w:name="_Toc8323"/>
      <w:bookmarkStart w:id="833" w:name="_Toc24714"/>
      <w:bookmarkStart w:id="834" w:name="_Toc32414"/>
      <w:bookmarkStart w:id="835" w:name="_Toc6235"/>
      <w:bookmarkStart w:id="836" w:name="_Toc803"/>
      <w:bookmarkStart w:id="837" w:name="_Toc14941"/>
      <w:bookmarkStart w:id="838" w:name="_Toc23957"/>
      <w:r>
        <w:rPr>
          <w:rFonts w:hint="eastAsia" w:cs="FangSong_GB2312"/>
          <w:b/>
          <w:bCs/>
          <w:color w:val="auto"/>
          <w:kern w:val="2"/>
          <w:highlight w:val="none"/>
        </w:rPr>
        <w:t>9.4 文明施工管理要求</w:t>
      </w:r>
      <w:bookmarkEnd w:id="829"/>
      <w:bookmarkEnd w:id="830"/>
      <w:bookmarkEnd w:id="831"/>
      <w:bookmarkEnd w:id="832"/>
      <w:bookmarkEnd w:id="833"/>
      <w:bookmarkEnd w:id="834"/>
      <w:bookmarkEnd w:id="835"/>
      <w:bookmarkEnd w:id="836"/>
      <w:bookmarkEnd w:id="837"/>
      <w:bookmarkEnd w:id="83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（1）总承包商必须严格执行深圳市及龙华区房屋建筑和市政基础设施工程施工现场文明施工管理要求，保证整个现场施工区域、临时办公和临时宿舍区域的文明施工符合国家级当地规范要求。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（2）在编制施工组织设计时，对文明施工必须进行设计，并上报监理、甲方审查。</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（3）总承包商应建立文明施工管理制度，包括但不限于场容场貌管理制度、门卫制度、工人宿舍管理制度、食堂管理制度、厕所、浴室卫生制度、治安管理制度等。明确现场文明施工管理组织机构及责任人。</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乙方应根据《深圳市建设工程扬尘污染防治专项方案》的要求，做到施工围挡及外架100%全封闭，出入口及车行道100%硬底化，出入口100%安装冲洗设施，易起尘作业面100%湿法施工，裸露土及易起尘物料100%覆盖，出入口100%安装TSP在线监测和视频监控系统。</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由于其它原因而未做到的硬地化部位，要定期压实地面和洒水，减少灰尘对周围环境的污染；禁止在施工现场焚烧有毒、有害和有恶臭气味的物质；装卸有粉尘的材料时，应洒水湿润和在仓库内进行；严禁向建筑物外抛掷垃圾；每天安排专人清洗施工设备及施工用具，保持施工现场的清洁，确保产生的灰尘等污染到最低限度。</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（6）乙方生活区应明确责任人。食堂应办理卫生许可证，炊事人员应办理健康证，食物留样。宿舍应干净整洁，严禁存放易燃易爆物品。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（7）乙方办公、生活区应绿化，并与施工区隔离，在塔吊回转半径内或外脚手架坠落半径内应搭设双层防护棚。</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工地周围要设置连续围挡，所用材料要坚固、稳定、整洁。防止在施工中可能产生的环境噪声和粉尘给周围居民带来影响；机械设备、材料堆放、场内道路、临时给排水、施工用电等根据现场条件进行合理布置，做到场容整洁，交通通畅。</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（9）总承包商在工地范围内设置的所有安全防护实体必须满足当地的规范要求。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10）总承包商必须在施工现场醒目位置应设置九牌一图。工程概况牌设置在工地围栅的醒目位置上，载明项目名称、规模、开竣工日期、施工许可证号、建设单位、设计单位、质量、安全监督单位、监理单位和联系电话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11）总承包商需分阶段编制现场安全警示标志汇总表（含平面配置图），经监理审批后实施并报送甲方备案。现场安全警示标志应严格按照平面布置图设置，并定期更新。大型机械应在醒目位置悬挂使用登记牌、定人定机责任牌、安全操作规程等标志。</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12）总承包商应当设置各项临时设施，达到下列要求：施工区域与非施工区域严格分隔；施工区域或者危险区域有醒目的警示标志，并采取安全保护措施；建筑材料在固定场地整齐堆放；施工现场道路畅通，场地平整，无大面积积水。</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13）总承包商应当在工地内设置醒目的环境卫生宣传标牌和责任区包干图，并按下列规定设置相应的设施：按照卫生标准和环境卫生作业要求设置相应的厕所和生活垃圾容器，并落实专人管理，按规定时间清除；按照卫生、通风和照明要求，设置茶亭、更衣室和其它必要的职工生活设施，并建立定期清扫制度；落实各项除四害措施，控制四害孳生；自行落实除四害措施有困难的，可委托有关服务机构代为处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（14）总承包商设置的临时建筑物、构筑物（办公用房、宿舍、食堂、仓库、卫生间、淋浴室及消防用的砂、水池等），要求稳固、安全、整洁，并满足消防要求，禁止使用竹棚、石棉瓦、油毡搭建。</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15）总承包商应严格按施工组织设计中的平面布置图划定的位置堆放成品、半成品和原材料，所有材料应堆放整齐，不得侵占市政道路及公用设施。确需临时占用的，应由建设单位提出申请，由建设行政主管部门签署意见，经有关部门批准，并将批准号的标志悬挂在现场，所需费用由总承包商承担。</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16）总承包商生产和生活污水排放应严格执行国家《污水综合排放标准》（GB8978-1996）和当地污水排放的规范、规定，加强对污水处理和排放的管理，并办理相关许可证件。场地内应设化粪池、沉淀池和冲洗池，并做到：所有的生活或其它污水必须分别处理后方能经排水渠排入市政排水管网或河流。严禁乱倒垃圾、脏水，严禁随地大小便。采用钻孔或其它施工产生的泥浆，未经沉淀不得排入市政排水管网或河流。处理后的泥浆水、污水、废水不得外流到人行道和车行道上，以免影响道路整洁。废浆和淤泥应使用封闭的专用车辆进行运输。</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17）总承包商应严格执行深圳市当地对动土作业管理办法的要求，严格落实地下管线、设施保护“6个100%”：100%签署地下管线保护协议,100%查明地下管线分布情况，100%制定地下管线保护方案，100%配备管线工程师，100%实施《动土令》制度，100%做好作业技术交底。</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18）总承包商必须严格执行国家规范标准和市政府部门的规定：运输车辆必须冲洗干净后方能离场上路行驶；在工地应设有铁制双开大门、洗车台、冲洗池、喷枪等设施，装运建筑材料、土石方、建筑垃圾及工程渣土的车辆，应采取有效措施，保证行驶途中不污染道路和环境，定期对场内和周边主要道路洒水降尘。</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19）总承包商应严格按照《建筑施工场界环境噪声排放标准》（GB12523-2011）和政府主管部门的要求严格控制施工噪音。施工阶段不得发生有效的噪声投诉。如采用低噪音的施工工艺、施工方法和施工机械；建筑施工作业的噪声可能超过建筑施工现场的噪声限值时，总承包商应在开工前向建设行政主管部门和环保部门申报，核准后方能开工；在城市建成区内，合理安排施工作业时间，减少或避免噪声、振动扰民，禁止中午和夜间进行产生噪音的建筑施工作业。由于施工不能中断的技术原因和其它特殊情况，确需中午或夜间连续施工作业的，应向建设行政主管部门和环保部门申请。</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（20）总承包商应加强对现场卫生的管理，明确施工现场各区域的卫生责任人，采取有效措施预防传染病，保证施工人员的健康，并定期对施工现场、施工人员生活基地和工程进行防疫和卫生的专业检查和处理, 施工现场应设置卫生间，并有水源供冲洗，同时设简易化粪池或集粪池，加盖并定期喷药，每日有专人负责清洁；设置足够的垃圾池和垃圾桶，定期搞好环境卫生、清理垃圾，施药除“四害”；生活垃圾及时清理后装入容器，由环卫部门装上垃圾车运走，并要有专人负责，严禁在围挡外倾倒垃圾；建筑垃圾必须集中堆放并及时清运。做到工完场清；工地应设茶水亭和茶水桶，做到有盖、加锁和有标志。夏季施工应有防暑降温措施。</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21）总承包商应加强对现场安全、保卫的管理：建立健全安全、保卫制度，落实治安、防火、计划生育管理责任人；施工现场的管理人员、作业人员必须配佩工作卡。工作卡由总承包商制作，工作卡有本人相片、姓名、所属单位、工种或职务，管理人员和作业人员的标卡应分颜色区别；建立来访登记制度，不准留宿闲杂人员；经常对工人进行法纪和文明教育， 严禁在施工现场打架斗殴及进行黄、赌、毒等非法活动。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（22）总承包商应保证夜间施工有足够的照明设施，除大型照明灯具外，通道处的照明必须采用安全电压供电，危险地段应设置明显的常亮警示灯具。</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（23）总承包商所承担的施工任务必须严格履行“工完场清”的要求，保持现场干净整洁。同时，总承包商有责任在现场合理设置建筑垃圾回收点，做好建筑垃圾清理及建筑材料堆放的相关工作。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24）总承包商应建立健全项目安保制度及执勤制度，组织成立安保团队或委托专业保安公司负责项目整体安全保卫工作。同时，对到现场参观的人员，总承包商有义务配备安全防护用品，做好参观记录及进行必要的安全教育和说明。</w:t>
      </w:r>
    </w:p>
    <w:p>
      <w:pPr>
        <w:keepNext/>
        <w:keepLines/>
        <w:widowControl w:val="0"/>
        <w:autoSpaceDE w:val="0"/>
        <w:autoSpaceDN w:val="0"/>
        <w:spacing w:line="360" w:lineRule="auto"/>
        <w:outlineLvl w:val="3"/>
        <w:rPr>
          <w:rFonts w:cs="FangSong_GB2312"/>
          <w:b/>
          <w:bCs/>
          <w:color w:val="auto"/>
          <w:kern w:val="2"/>
          <w:highlight w:val="none"/>
        </w:rPr>
      </w:pPr>
      <w:bookmarkStart w:id="839" w:name="_Toc23817"/>
      <w:bookmarkStart w:id="840" w:name="_Toc14713"/>
      <w:bookmarkStart w:id="841" w:name="_Toc19417"/>
      <w:bookmarkStart w:id="842" w:name="_Toc11822"/>
      <w:bookmarkStart w:id="843" w:name="_Toc29837"/>
      <w:bookmarkStart w:id="844" w:name="_Toc15867"/>
      <w:bookmarkStart w:id="845" w:name="_Toc7448"/>
      <w:bookmarkStart w:id="846" w:name="_Toc14887"/>
      <w:bookmarkStart w:id="847" w:name="_Toc9700"/>
      <w:bookmarkStart w:id="848" w:name="_Toc5710"/>
      <w:r>
        <w:rPr>
          <w:rFonts w:hint="eastAsia" w:cs="FangSong_GB2312"/>
          <w:b/>
          <w:bCs/>
          <w:color w:val="auto"/>
          <w:kern w:val="2"/>
          <w:highlight w:val="none"/>
        </w:rPr>
        <w:t>9.5 施工标准化管理要求</w:t>
      </w:r>
      <w:bookmarkEnd w:id="839"/>
      <w:bookmarkEnd w:id="840"/>
      <w:bookmarkEnd w:id="841"/>
      <w:bookmarkEnd w:id="842"/>
      <w:bookmarkEnd w:id="843"/>
      <w:bookmarkEnd w:id="844"/>
      <w:bookmarkEnd w:id="845"/>
      <w:bookmarkEnd w:id="846"/>
      <w:bookmarkEnd w:id="847"/>
      <w:bookmarkEnd w:id="84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为提升现场标准化管理，根据《龙华区住房和建设局关于印发《关于进一步加强建筑工地安全文明施工管理的规定（试行）》的通知》深龙华住建【2017】12号文件、《深圳市建设工程安全文明施工标准(SJG-46-2018)》等相关规定和深圳市龙华建设发展集团有限公司安全生产标准化图集（印发版）相关文件要求，开展现场标准化工作</w:t>
      </w:r>
      <w:bookmarkStart w:id="849" w:name="_Toc16621"/>
      <w:r>
        <w:rPr>
          <w:rFonts w:hint="eastAsia" w:cs="FangSong_GB2312"/>
          <w:color w:val="auto"/>
          <w:kern w:val="2"/>
          <w:highlight w:val="none"/>
        </w:rPr>
        <w:t>。</w:t>
      </w:r>
    </w:p>
    <w:bookmarkEnd w:id="849"/>
    <w:p>
      <w:pPr>
        <w:keepNext/>
        <w:keepLines/>
        <w:spacing w:line="360" w:lineRule="auto"/>
        <w:outlineLvl w:val="2"/>
        <w:rPr>
          <w:rFonts w:cs="FangSong_GB2312"/>
          <w:b/>
          <w:bCs/>
          <w:color w:val="auto"/>
          <w:kern w:val="2"/>
          <w:highlight w:val="none"/>
        </w:rPr>
      </w:pPr>
      <w:bookmarkStart w:id="850" w:name="_Toc18262"/>
      <w:bookmarkStart w:id="851" w:name="_Toc19509"/>
      <w:bookmarkStart w:id="852" w:name="_Toc2225"/>
      <w:bookmarkStart w:id="853" w:name="_Toc8407"/>
      <w:bookmarkStart w:id="854" w:name="_Toc13482"/>
      <w:bookmarkStart w:id="855" w:name="_Toc11138"/>
      <w:bookmarkStart w:id="856" w:name="_Toc12401"/>
      <w:bookmarkStart w:id="857" w:name="_Toc296"/>
      <w:bookmarkStart w:id="858" w:name="_Toc15214"/>
      <w:bookmarkStart w:id="859" w:name="_Toc2778"/>
      <w:bookmarkStart w:id="860" w:name="_Toc15970"/>
      <w:bookmarkStart w:id="861" w:name="_Toc18700"/>
      <w:bookmarkStart w:id="862" w:name="_Toc18923"/>
      <w:r>
        <w:rPr>
          <w:rFonts w:hint="eastAsia" w:cs="FangSong_GB2312"/>
          <w:b/>
          <w:bCs/>
          <w:color w:val="auto"/>
          <w:kern w:val="2"/>
          <w:highlight w:val="none"/>
        </w:rPr>
        <w:t>10. 工地管理要求</w:t>
      </w:r>
      <w:bookmarkEnd w:id="850"/>
      <w:bookmarkEnd w:id="851"/>
      <w:bookmarkEnd w:id="852"/>
      <w:bookmarkEnd w:id="853"/>
      <w:bookmarkEnd w:id="854"/>
      <w:bookmarkEnd w:id="855"/>
      <w:bookmarkEnd w:id="856"/>
      <w:bookmarkEnd w:id="857"/>
      <w:bookmarkEnd w:id="858"/>
      <w:bookmarkEnd w:id="859"/>
      <w:bookmarkEnd w:id="860"/>
      <w:bookmarkEnd w:id="861"/>
      <w:bookmarkEnd w:id="862"/>
    </w:p>
    <w:p>
      <w:pPr>
        <w:keepNext/>
        <w:keepLines/>
        <w:widowControl w:val="0"/>
        <w:autoSpaceDE w:val="0"/>
        <w:autoSpaceDN w:val="0"/>
        <w:spacing w:line="360" w:lineRule="auto"/>
        <w:outlineLvl w:val="3"/>
        <w:rPr>
          <w:rFonts w:cs="FangSong_GB2312"/>
          <w:b/>
          <w:bCs/>
          <w:color w:val="auto"/>
          <w:kern w:val="2"/>
          <w:highlight w:val="none"/>
        </w:rPr>
      </w:pPr>
      <w:bookmarkStart w:id="863" w:name="_Toc25400"/>
      <w:bookmarkStart w:id="864" w:name="_Toc2776"/>
      <w:bookmarkStart w:id="865" w:name="_Toc7302"/>
      <w:bookmarkStart w:id="866" w:name="_Toc11111"/>
      <w:bookmarkStart w:id="867" w:name="_Toc247"/>
      <w:bookmarkStart w:id="868" w:name="_Toc5117"/>
      <w:bookmarkStart w:id="869" w:name="_Toc18606"/>
      <w:bookmarkStart w:id="870" w:name="_Toc3679"/>
      <w:bookmarkStart w:id="871" w:name="_Toc26134"/>
      <w:bookmarkStart w:id="872" w:name="_Toc12367"/>
      <w:r>
        <w:rPr>
          <w:rFonts w:hint="eastAsia" w:cs="FangSong_GB2312"/>
          <w:b/>
          <w:bCs/>
          <w:color w:val="auto"/>
          <w:kern w:val="2"/>
          <w:highlight w:val="none"/>
        </w:rPr>
        <w:t>10.1 一般要求</w:t>
      </w:r>
      <w:bookmarkEnd w:id="863"/>
      <w:bookmarkEnd w:id="864"/>
      <w:bookmarkEnd w:id="865"/>
      <w:bookmarkEnd w:id="866"/>
      <w:bookmarkEnd w:id="867"/>
      <w:bookmarkEnd w:id="868"/>
      <w:bookmarkEnd w:id="869"/>
      <w:bookmarkEnd w:id="870"/>
      <w:bookmarkEnd w:id="871"/>
      <w:bookmarkEnd w:id="872"/>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（1）超过合同工期没有完工按照逾期竣工违约金进行处罚。</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（2）总承包商接管场地后应采取措施保障周边建筑物和地下管线的安全。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（3）总承包商应保障施工场地始终处于对外封闭状态，总承包商应建立人员进出工地专门通道，所有物料、人员进出大门需服从项目物业管理人员的安排。</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（4）总承包商应安排现场保安24小时巡逻检查工地，保安应保障工地避免受到人为恶意破坏、被盗窃、被抢劫等恶性事件发生。</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（5）工作面管理：总承包商负责组织工序转换各相关方的场地协调工作，总承包商负责管理工作面场地内一切设施物料、半成品及成品。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（6）完工清理：总承包商在向甲方及物业移交已完成工程和场地前，应负责打扫和清理场地内范围内的尘土、施工遗留垃圾、工具设备物品等，清理打扫费用视为含在总报价中。</w:t>
      </w:r>
    </w:p>
    <w:p>
      <w:pPr>
        <w:keepNext/>
        <w:keepLines/>
        <w:widowControl w:val="0"/>
        <w:autoSpaceDE w:val="0"/>
        <w:autoSpaceDN w:val="0"/>
        <w:spacing w:line="360" w:lineRule="auto"/>
        <w:outlineLvl w:val="3"/>
        <w:rPr>
          <w:rFonts w:cs="FangSong_GB2312"/>
          <w:b/>
          <w:bCs/>
          <w:color w:val="auto"/>
          <w:kern w:val="2"/>
          <w:highlight w:val="none"/>
        </w:rPr>
      </w:pPr>
      <w:bookmarkStart w:id="873" w:name="_Toc4533"/>
      <w:bookmarkStart w:id="874" w:name="_Toc29839"/>
      <w:bookmarkStart w:id="875" w:name="_Toc20685"/>
      <w:bookmarkStart w:id="876" w:name="_Toc23547"/>
      <w:bookmarkStart w:id="877" w:name="_Toc15385"/>
      <w:bookmarkStart w:id="878" w:name="_Toc5262"/>
      <w:bookmarkStart w:id="879" w:name="_Toc3842"/>
      <w:bookmarkStart w:id="880" w:name="_Toc12316"/>
      <w:bookmarkStart w:id="881" w:name="_Toc22252"/>
      <w:bookmarkStart w:id="882" w:name="_Toc32082"/>
      <w:r>
        <w:rPr>
          <w:rFonts w:hint="eastAsia" w:cs="FangSong_GB2312"/>
          <w:b/>
          <w:bCs/>
          <w:color w:val="auto"/>
          <w:kern w:val="2"/>
          <w:highlight w:val="none"/>
        </w:rPr>
        <w:t>10.2 临时办公区</w:t>
      </w:r>
      <w:bookmarkEnd w:id="873"/>
      <w:bookmarkEnd w:id="874"/>
      <w:bookmarkEnd w:id="875"/>
      <w:bookmarkEnd w:id="876"/>
      <w:bookmarkEnd w:id="877"/>
      <w:bookmarkEnd w:id="878"/>
      <w:bookmarkEnd w:id="879"/>
      <w:bookmarkEnd w:id="880"/>
      <w:bookmarkEnd w:id="881"/>
      <w:bookmarkEnd w:id="882"/>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（1）总承包商要自行解决项目的办公、生活等设施，甲方不提供临时用地，因此产生的一切费用均由总承包商自行承担。</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（2）工地区域内所有卫生间等公共生活设施，由总承包商搭建，免费提供给全体参建人员使用。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（3）总承包商负责各类场地的(包括生活区场地)清洁保洁及临建管理。</w:t>
      </w:r>
    </w:p>
    <w:p>
      <w:pPr>
        <w:keepNext/>
        <w:keepLines/>
        <w:widowControl w:val="0"/>
        <w:autoSpaceDE w:val="0"/>
        <w:autoSpaceDN w:val="0"/>
        <w:spacing w:line="360" w:lineRule="auto"/>
        <w:outlineLvl w:val="3"/>
        <w:rPr>
          <w:rFonts w:cs="FangSong_GB2312"/>
          <w:b/>
          <w:bCs/>
          <w:color w:val="auto"/>
          <w:kern w:val="2"/>
          <w:highlight w:val="none"/>
        </w:rPr>
      </w:pPr>
      <w:bookmarkStart w:id="883" w:name="_Toc10186"/>
      <w:bookmarkStart w:id="884" w:name="_Toc24591"/>
      <w:bookmarkStart w:id="885" w:name="_Toc28644"/>
      <w:bookmarkStart w:id="886" w:name="_Toc1314"/>
      <w:bookmarkStart w:id="887" w:name="_Toc21271"/>
      <w:bookmarkStart w:id="888" w:name="_Toc14208"/>
      <w:bookmarkStart w:id="889" w:name="_Toc20847"/>
      <w:bookmarkStart w:id="890" w:name="_Toc15093"/>
      <w:bookmarkStart w:id="891" w:name="_Toc10389"/>
      <w:bookmarkStart w:id="892" w:name="_Toc29441"/>
      <w:r>
        <w:rPr>
          <w:rFonts w:hint="eastAsia" w:cs="FangSong_GB2312"/>
          <w:b/>
          <w:bCs/>
          <w:color w:val="auto"/>
          <w:kern w:val="2"/>
          <w:highlight w:val="none"/>
        </w:rPr>
        <w:t>10.3 临时水电、临时照明</w:t>
      </w:r>
      <w:bookmarkEnd w:id="883"/>
      <w:bookmarkEnd w:id="884"/>
      <w:bookmarkEnd w:id="885"/>
      <w:bookmarkEnd w:id="886"/>
      <w:bookmarkEnd w:id="887"/>
      <w:bookmarkEnd w:id="888"/>
      <w:bookmarkEnd w:id="889"/>
      <w:bookmarkEnd w:id="890"/>
      <w:bookmarkEnd w:id="891"/>
      <w:bookmarkEnd w:id="892"/>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（1）总承包商应在现场配置柴油发电机，满足人员疏散和工地临时消防系统，临时照明、临时成品保护等应急需要。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（2）总承包商应全面了解和测算使用用水用电负荷及排水需求，提前规划好临时用水、用电、排水点布置，负责缴纳整个工地施工用水用电费用。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（3）总承包商负责项目范围内的地下室及地面排水。</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（4）总承包商负责根据工程安全施工需要安装现场临时照明系统，总承包商对工程进展引起的照明条件变化应有充分预计，应根据工程进度对临时用电和照明系统进行不少于三次的多次安拆改装。</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（5）总承包商负责工地范围内的消防系统建设维护。</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（6）从总承包商进场之日起，所有水电费用及设备管理均由总承包商负责，直至临时水电拆除。</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（7）总承包商水电费承担期限截止时间以“本工程招标范围内所有工作完成后及场地移交给甲方及物业后的施工收尾、发包人验收发现的问题整改完成”这两个时间的后到时间为准。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（8）总承包商负责办理土方、垃圾外运和排污等许可证，产生的相关费用视为包含在合同内。</w:t>
      </w:r>
    </w:p>
    <w:p>
      <w:pPr>
        <w:keepNext/>
        <w:keepLines/>
        <w:widowControl w:val="0"/>
        <w:autoSpaceDE w:val="0"/>
        <w:autoSpaceDN w:val="0"/>
        <w:spacing w:line="360" w:lineRule="auto"/>
        <w:outlineLvl w:val="3"/>
        <w:rPr>
          <w:rFonts w:cs="FangSong_GB2312"/>
          <w:b/>
          <w:bCs/>
          <w:color w:val="auto"/>
          <w:kern w:val="2"/>
          <w:highlight w:val="none"/>
        </w:rPr>
      </w:pPr>
      <w:bookmarkStart w:id="893" w:name="_Toc22250"/>
      <w:bookmarkStart w:id="894" w:name="_Toc30904"/>
      <w:bookmarkStart w:id="895" w:name="_Toc14796"/>
      <w:bookmarkStart w:id="896" w:name="_Toc16871"/>
      <w:bookmarkStart w:id="897" w:name="_Toc637"/>
      <w:bookmarkStart w:id="898" w:name="_Toc27514"/>
      <w:bookmarkStart w:id="899" w:name="_Toc32665"/>
      <w:bookmarkStart w:id="900" w:name="_Toc18896"/>
      <w:bookmarkStart w:id="901" w:name="_Toc29250"/>
      <w:bookmarkStart w:id="902" w:name="_Toc29602"/>
      <w:r>
        <w:rPr>
          <w:rFonts w:hint="eastAsia" w:cs="FangSong_GB2312"/>
          <w:b/>
          <w:bCs/>
          <w:color w:val="auto"/>
          <w:kern w:val="2"/>
          <w:highlight w:val="none"/>
        </w:rPr>
        <w:t>10.4 建筑垃圾清运</w:t>
      </w:r>
      <w:bookmarkEnd w:id="893"/>
      <w:bookmarkEnd w:id="894"/>
      <w:bookmarkEnd w:id="895"/>
      <w:bookmarkEnd w:id="896"/>
      <w:bookmarkEnd w:id="897"/>
      <w:bookmarkEnd w:id="898"/>
      <w:bookmarkEnd w:id="899"/>
      <w:bookmarkEnd w:id="900"/>
      <w:bookmarkEnd w:id="901"/>
      <w:bookmarkEnd w:id="902"/>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（1）总承包商负责工程全过程所有建筑垃圾（含材料设备外包装）由垃圾集中堆放点清理外运至合法建筑垃圾处理场。</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（2）总承包商应在总平面布置中规划和修建临时垃圾集中堆放点，并负责按施工要求迁移或恢复。</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（3）总承包商负责垃圾集中堆放点内垃圾清理外运；负责清理所有工作面、加工场、堆场内的建筑垃圾。</w:t>
      </w:r>
    </w:p>
    <w:p>
      <w:pPr>
        <w:widowControl w:val="0"/>
        <w:autoSpaceDE w:val="0"/>
        <w:autoSpaceDN w:val="0"/>
        <w:spacing w:line="360" w:lineRule="auto"/>
        <w:ind w:firstLine="480" w:firstLineChars="200"/>
        <w:jc w:val="both"/>
        <w:rPr>
          <w:rFonts w:cs="FangSong_GB2312"/>
          <w:b/>
          <w:bCs/>
          <w:color w:val="auto"/>
          <w:kern w:val="2"/>
          <w:highlight w:val="none"/>
        </w:rPr>
      </w:pPr>
      <w:r>
        <w:rPr>
          <w:rFonts w:hint="eastAsia" w:cs="FangSong_GB2312"/>
          <w:color w:val="auto"/>
          <w:kern w:val="2"/>
          <w:highlight w:val="none"/>
        </w:rPr>
        <w:t>（4）在施工现场及办公、生活区应同时配备足够的清理垃圾人员及轻型车辆设备，必须及时清除当天发生的建筑垃圾、生活垃圾等，始终保持周边场所整洁，保证现场不脏，相应清理费用由承包人自行考虑。</w:t>
      </w:r>
      <w:r>
        <w:rPr>
          <w:rFonts w:hint="eastAsia" w:cs="FangSong_GB2312"/>
          <w:b/>
          <w:bCs/>
          <w:color w:val="auto"/>
          <w:kern w:val="2"/>
          <w:highlight w:val="none"/>
        </w:rPr>
        <w:tab/>
      </w:r>
      <w:r>
        <w:rPr>
          <w:rFonts w:hint="eastAsia" w:cs="FangSong_GB2312"/>
          <w:b/>
          <w:bCs/>
          <w:color w:val="auto"/>
          <w:kern w:val="2"/>
          <w:highlight w:val="none"/>
        </w:rPr>
        <w:tab/>
      </w:r>
    </w:p>
    <w:p>
      <w:pPr>
        <w:keepNext/>
        <w:keepLines/>
        <w:spacing w:line="360" w:lineRule="auto"/>
        <w:outlineLvl w:val="2"/>
        <w:rPr>
          <w:rFonts w:cs="FangSong_GB2312"/>
          <w:b/>
          <w:bCs/>
          <w:color w:val="auto"/>
          <w:kern w:val="2"/>
          <w:highlight w:val="none"/>
        </w:rPr>
      </w:pPr>
      <w:bookmarkStart w:id="903" w:name="_Toc24125"/>
      <w:bookmarkStart w:id="904" w:name="_Toc31837"/>
      <w:bookmarkStart w:id="905" w:name="_Toc11536"/>
      <w:bookmarkStart w:id="906" w:name="_Toc24853"/>
      <w:bookmarkStart w:id="907" w:name="_Toc20577"/>
      <w:bookmarkStart w:id="908" w:name="_Toc3033"/>
      <w:bookmarkStart w:id="909" w:name="_Toc16919"/>
      <w:bookmarkStart w:id="910" w:name="_Toc28550"/>
      <w:bookmarkStart w:id="911" w:name="_Toc19085"/>
      <w:bookmarkStart w:id="912" w:name="_Toc8282"/>
      <w:bookmarkStart w:id="913" w:name="_Toc1007"/>
      <w:bookmarkStart w:id="914" w:name="_Toc29321"/>
      <w:bookmarkStart w:id="915" w:name="_Toc26446"/>
      <w:r>
        <w:rPr>
          <w:rFonts w:hint="eastAsia" w:cs="FangSong_GB2312"/>
          <w:b/>
          <w:bCs/>
          <w:color w:val="auto"/>
          <w:kern w:val="2"/>
          <w:highlight w:val="none"/>
        </w:rPr>
        <w:t>11. 施工技术管理</w:t>
      </w:r>
      <w:bookmarkEnd w:id="903"/>
      <w:bookmarkEnd w:id="904"/>
      <w:bookmarkEnd w:id="905"/>
      <w:bookmarkEnd w:id="906"/>
      <w:bookmarkEnd w:id="907"/>
      <w:bookmarkEnd w:id="908"/>
      <w:bookmarkEnd w:id="909"/>
      <w:bookmarkEnd w:id="910"/>
      <w:bookmarkEnd w:id="911"/>
      <w:bookmarkEnd w:id="912"/>
      <w:bookmarkEnd w:id="913"/>
      <w:bookmarkEnd w:id="914"/>
      <w:bookmarkEnd w:id="915"/>
    </w:p>
    <w:p>
      <w:pPr>
        <w:keepNext/>
        <w:keepLines/>
        <w:widowControl w:val="0"/>
        <w:autoSpaceDE w:val="0"/>
        <w:autoSpaceDN w:val="0"/>
        <w:spacing w:line="360" w:lineRule="auto"/>
        <w:outlineLvl w:val="3"/>
        <w:rPr>
          <w:rFonts w:cs="FangSong_GB2312"/>
          <w:b/>
          <w:bCs/>
          <w:color w:val="auto"/>
          <w:kern w:val="2"/>
          <w:highlight w:val="none"/>
        </w:rPr>
      </w:pPr>
      <w:bookmarkStart w:id="916" w:name="_Toc16945"/>
      <w:bookmarkStart w:id="917" w:name="_Toc9991"/>
      <w:bookmarkStart w:id="918" w:name="_Toc4942"/>
      <w:bookmarkStart w:id="919" w:name="_Toc30009"/>
      <w:bookmarkStart w:id="920" w:name="_Toc24743"/>
      <w:bookmarkStart w:id="921" w:name="_Toc8869"/>
      <w:bookmarkStart w:id="922" w:name="_Toc6340"/>
      <w:bookmarkStart w:id="923" w:name="_Toc27661"/>
      <w:bookmarkStart w:id="924" w:name="_Toc30970"/>
      <w:bookmarkStart w:id="925" w:name="_Toc13464"/>
      <w:r>
        <w:rPr>
          <w:rFonts w:hint="eastAsia" w:cs="FangSong_GB2312"/>
          <w:b/>
          <w:bCs/>
          <w:color w:val="auto"/>
          <w:kern w:val="2"/>
          <w:highlight w:val="none"/>
        </w:rPr>
        <w:t>11.1 基本要求</w:t>
      </w:r>
      <w:bookmarkEnd w:id="916"/>
      <w:bookmarkEnd w:id="917"/>
      <w:bookmarkEnd w:id="918"/>
      <w:bookmarkEnd w:id="919"/>
      <w:bookmarkEnd w:id="920"/>
      <w:bookmarkEnd w:id="921"/>
      <w:bookmarkEnd w:id="922"/>
      <w:bookmarkEnd w:id="923"/>
      <w:bookmarkEnd w:id="924"/>
      <w:bookmarkEnd w:id="925"/>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应遵照执行国家的规范、规程和标准，包括适用的地方性标准，都指它们的最新版本。施工组织设计、施工方案与工艺工法都应依照相关规范、规程和标准的最新版本编制，相关规范、规程和标准的最新版本与本招标文件有冲突时，以要求高的标准执行。</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（2）总承包商应在收到中标通知书后7天内提交一份符合工程实际的施工组织设计、项目质量保证计划和主要工序施工方案的报审计划给总监理工程师批准。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（3）总承包商施工组织设计、施工方案应经监理、甲方审批同意后方可执行，报审要求细则遵照监理工作规程。</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监理工程师、甲方有权要求总承包商随时提交其认为必要的关于施工方案的任何说明或文件，对此类指示，总承包商应遵照执行。总监理工程师、甲方对任何施工组织设计和施工方案的批准不应解除总承包商对其应负的责任。</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对于危险性较大的分项工程，总承包商应根据国家、广东省、深圳市要求的相关规定，按其所承包的范围负责编制危险性较大的工程专项安全施工方案，并按照相关规定组织专家组进行论证审查，总承包商应根据专家论证意见进行施工方案完善，并通过总监理工程师、甲方的批准后方能实施。</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（6）施工组织设计及施工方案中对于新技术、新材料、新工艺工法的应用应由国家权威部门认定，并由推荐的部门提出所执行的施工规范及质量检验评定标准，经总监理工程师、甲方同意后方可使用。</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总承包商编制整个工程施工项目管理实施规划书（施工组织总设计），内容应包含总体工程施工组织部署、项目管理团队组织架构、总承包商管理方案、总控进度计划、主要技术措施方案、安全技术措施等，其主要内容原则上不应违反投标文件提交的施工组织设计和施工方案，如特殊需要变更施工方案，应征得监理、甲方的书面同意。</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总承包商应在施工过程中编制专项施工方案，包括但不限于下列内容：工地消防方案；临时用水用电方案；测量及监测方案；施工难点（如垂直度控制）分析及应对措施；不间断施工方案措施（如遇断水断电或特殊情况）；成品保护方案；质量保证措施；文明施工及环保措施；工期计划保证措施；重要部位施工措施；周边建筑物及管线保护方案；火灾应急响应预案；雨季施工技术保证措施；夜间施工保证措施；紧急情况处理措施；预案及抵抗风险的措施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总承包商应当及时制定、修改或补充相关施工方案，并履行审核、审批程序。总承包商应依据施工组织总设计编制分项工程施工组织设计，包含但不限于：施工方案简介、分项工程施工进度计划、主要技术措施方案、质量保证措施、安全保证措施、材料设备进场计划、劳动力进场计划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（10）总承包商的各项施工方案在实施前需组织相关人员进行会签审批，在上报监理审核前要完成会签审批手续。总承包商在技术交底时应要求所有相关人员参加，技术交底要有文字资料。</w:t>
      </w:r>
    </w:p>
    <w:p>
      <w:pPr>
        <w:keepNext/>
        <w:keepLines/>
        <w:widowControl w:val="0"/>
        <w:autoSpaceDE w:val="0"/>
        <w:autoSpaceDN w:val="0"/>
        <w:spacing w:line="360" w:lineRule="auto"/>
        <w:outlineLvl w:val="3"/>
        <w:rPr>
          <w:rFonts w:cs="FangSong_GB2312"/>
          <w:b/>
          <w:bCs/>
          <w:color w:val="auto"/>
          <w:kern w:val="2"/>
          <w:highlight w:val="none"/>
        </w:rPr>
      </w:pPr>
      <w:bookmarkStart w:id="926" w:name="_Toc22172"/>
      <w:bookmarkStart w:id="927" w:name="_Toc27718"/>
      <w:bookmarkStart w:id="928" w:name="_Toc10857"/>
      <w:bookmarkStart w:id="929" w:name="_Toc29087"/>
      <w:bookmarkStart w:id="930" w:name="_Toc8061"/>
      <w:bookmarkStart w:id="931" w:name="_Toc24045"/>
      <w:bookmarkStart w:id="932" w:name="_Toc4497"/>
      <w:bookmarkStart w:id="933" w:name="_Toc26641"/>
      <w:bookmarkStart w:id="934" w:name="_Toc14727"/>
      <w:bookmarkStart w:id="935" w:name="_Toc20066"/>
      <w:r>
        <w:rPr>
          <w:rFonts w:hint="eastAsia" w:cs="FangSong_GB2312"/>
          <w:b/>
          <w:bCs/>
          <w:color w:val="auto"/>
          <w:kern w:val="2"/>
          <w:highlight w:val="none"/>
        </w:rPr>
        <w:t>11.2 施工方案审批管理</w:t>
      </w:r>
      <w:bookmarkEnd w:id="926"/>
      <w:bookmarkEnd w:id="927"/>
      <w:bookmarkEnd w:id="928"/>
      <w:bookmarkEnd w:id="929"/>
      <w:bookmarkEnd w:id="930"/>
      <w:bookmarkEnd w:id="931"/>
      <w:bookmarkEnd w:id="932"/>
      <w:bookmarkEnd w:id="933"/>
      <w:bookmarkEnd w:id="934"/>
      <w:bookmarkEnd w:id="935"/>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总承包商施工方案的审批流程为：施工方案编制→施工方案内部审核→施工方案内部审批（总承包商公司总工审批）→监理审核→甲方审批→施工方案交底→组织实施→资料归档。</w:t>
      </w:r>
    </w:p>
    <w:p>
      <w:pPr>
        <w:keepNext/>
        <w:keepLines/>
        <w:spacing w:line="360" w:lineRule="auto"/>
        <w:outlineLvl w:val="2"/>
        <w:rPr>
          <w:rFonts w:cs="FangSong_GB2312"/>
          <w:b/>
          <w:bCs/>
          <w:color w:val="auto"/>
          <w:kern w:val="2"/>
          <w:highlight w:val="none"/>
        </w:rPr>
      </w:pPr>
      <w:bookmarkStart w:id="936" w:name="_Toc25997"/>
      <w:bookmarkStart w:id="937" w:name="_Toc15493"/>
      <w:bookmarkStart w:id="938" w:name="_Toc16561"/>
      <w:bookmarkStart w:id="939" w:name="_Toc13132"/>
      <w:bookmarkStart w:id="940" w:name="_Toc31916"/>
      <w:bookmarkStart w:id="941" w:name="_Toc14846"/>
      <w:bookmarkStart w:id="942" w:name="_Toc17134"/>
      <w:bookmarkStart w:id="943" w:name="_Toc16658"/>
      <w:bookmarkStart w:id="944" w:name="_Toc3451"/>
      <w:bookmarkStart w:id="945" w:name="_Toc19241"/>
      <w:bookmarkStart w:id="946" w:name="_Toc21939"/>
      <w:bookmarkStart w:id="947" w:name="_Toc14076"/>
      <w:bookmarkStart w:id="948" w:name="_Toc8737"/>
      <w:r>
        <w:rPr>
          <w:rFonts w:hint="eastAsia" w:cs="FangSong_GB2312"/>
          <w:b/>
          <w:bCs/>
          <w:color w:val="auto"/>
          <w:kern w:val="2"/>
          <w:highlight w:val="none"/>
        </w:rPr>
        <w:t>12. 成品保护要求</w:t>
      </w:r>
      <w:bookmarkEnd w:id="936"/>
      <w:bookmarkEnd w:id="937"/>
      <w:bookmarkEnd w:id="938"/>
      <w:bookmarkEnd w:id="939"/>
      <w:bookmarkEnd w:id="940"/>
      <w:bookmarkEnd w:id="941"/>
      <w:bookmarkEnd w:id="942"/>
      <w:bookmarkEnd w:id="943"/>
      <w:bookmarkEnd w:id="944"/>
      <w:bookmarkEnd w:id="945"/>
      <w:bookmarkEnd w:id="946"/>
      <w:bookmarkEnd w:id="947"/>
      <w:bookmarkEnd w:id="948"/>
    </w:p>
    <w:p>
      <w:pPr>
        <w:keepNext/>
        <w:keepLines/>
        <w:widowControl w:val="0"/>
        <w:autoSpaceDE w:val="0"/>
        <w:autoSpaceDN w:val="0"/>
        <w:spacing w:line="360" w:lineRule="auto"/>
        <w:rPr>
          <w:rFonts w:cs="FangSong_GB2312"/>
          <w:b/>
          <w:bCs/>
          <w:color w:val="auto"/>
          <w:kern w:val="2"/>
          <w:highlight w:val="none"/>
        </w:rPr>
      </w:pPr>
      <w:bookmarkStart w:id="949" w:name="_Toc27410"/>
      <w:bookmarkStart w:id="950" w:name="_Toc29911"/>
      <w:bookmarkStart w:id="951" w:name="_Toc7437"/>
      <w:bookmarkStart w:id="952" w:name="_Toc24687"/>
      <w:bookmarkStart w:id="953" w:name="_Toc21153"/>
      <w:bookmarkStart w:id="954" w:name="_Toc18161"/>
      <w:bookmarkStart w:id="955" w:name="_Toc10599"/>
      <w:bookmarkStart w:id="956" w:name="_Toc24026"/>
      <w:bookmarkStart w:id="957" w:name="_Toc19364"/>
      <w:bookmarkStart w:id="958" w:name="_Toc12658"/>
      <w:r>
        <w:rPr>
          <w:rFonts w:hint="eastAsia" w:cs="FangSong_GB2312"/>
          <w:b/>
          <w:bCs/>
          <w:color w:val="auto"/>
          <w:kern w:val="2"/>
          <w:highlight w:val="none"/>
        </w:rPr>
        <w:t>12.1 基本要求</w:t>
      </w:r>
      <w:bookmarkEnd w:id="949"/>
      <w:bookmarkEnd w:id="950"/>
      <w:bookmarkEnd w:id="951"/>
      <w:bookmarkEnd w:id="952"/>
      <w:bookmarkEnd w:id="953"/>
      <w:bookmarkEnd w:id="954"/>
      <w:bookmarkEnd w:id="955"/>
      <w:bookmarkEnd w:id="956"/>
      <w:bookmarkEnd w:id="957"/>
      <w:bookmarkEnd w:id="95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明确成品保护责任，必须依照“谁施工谁保护”的原则落实成品保护工作。原龙馨家园EPC项目竣工验收后，各项设施均为验收合格且使用功能正常，后期总承包商合同管理范围内的施工界面外临近设施的成品保护由总承包商负责实施，如损坏由本项目总承包商负责维修和更换，</w:t>
      </w:r>
      <w:r>
        <w:rPr>
          <w:rFonts w:hint="eastAsia" w:cs="FangSong_GB2312"/>
          <w:b/>
          <w:bCs/>
          <w:color w:val="auto"/>
          <w:kern w:val="2"/>
          <w:highlight w:val="none"/>
        </w:rPr>
        <w:t>费用已在合同价中综合考虑，结算时不再另行计取</w:t>
      </w:r>
      <w:r>
        <w:rPr>
          <w:rFonts w:hint="eastAsia" w:cs="FangSong_GB2312"/>
          <w:color w:val="auto"/>
          <w:kern w:val="2"/>
          <w:highlight w:val="none"/>
        </w:rPr>
        <w:t>。</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应根据不同的施工阶段、工艺特点、现场条件及管理要求采取针对性成品保护措施，前一工序施工方应负责采取保护措施保障本工序产品移交后不受后一工序正常施工破坏，后一工序施工方接收后应负责采取措施保障施工时前一工序成品不受破坏。</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（3）制定成品保护的检查制度、交叉施工管理制度、交接制度、考核制度、奖罚责任制度等。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应做好施工工艺顺序协调工作，预见工艺顺序对工程成品保护影响，做好成品保护措施落实，防止因工艺顺序引起成品保护损坏，对因工艺顺序不可避免引起的成品损坏修复费用，应在报价中充分考虑，原则上甲方不予补偿，由损坏责任单位负责赔偿，被损坏方负责修复。</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（5）各工序间交接时，必须进行交接验收，交接验收应包括检查成品保护措施是否落实。工程成品施工方必须保证在交接和验收时，其产品移交时的质量和数量、防护措施符合设计、规范及合同的要求。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（6）采取“护、包、盖、封”的保护措施，对成品和半成品进行防护，形成工具化、制度化，并由专门负责人经常巡视检查。发现现有保护措施损坏的，要及时恢复。</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（7）成品保护措施须确保持续有效，不论工作面交接与否，均不免除各相关施工方成品保护的责任。</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（8）因没有采取成品保护措施，造成工程成品损坏，由损坏责任方承担所有损失赔偿。</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（9）对各类成品损坏，原工程成品施工方应对成品损坏及时返修，各承包商不得应因成品受损为由，延长工期。</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（10）总承包商应根据合同要求和施工管理技术条件、工程特点、合理损耗，在投标时制定明确的成品保护方案（措施），成品保护措施费视为包含在总报价中。</w:t>
      </w:r>
    </w:p>
    <w:p>
      <w:pPr>
        <w:keepNext/>
        <w:keepLines/>
        <w:widowControl w:val="0"/>
        <w:autoSpaceDE w:val="0"/>
        <w:autoSpaceDN w:val="0"/>
        <w:spacing w:line="360" w:lineRule="auto"/>
        <w:rPr>
          <w:rFonts w:cs="FangSong_GB2312"/>
          <w:b/>
          <w:bCs/>
          <w:color w:val="auto"/>
          <w:kern w:val="2"/>
          <w:highlight w:val="none"/>
        </w:rPr>
      </w:pPr>
      <w:bookmarkStart w:id="959" w:name="_Toc27563"/>
      <w:bookmarkStart w:id="960" w:name="_Toc12388"/>
      <w:bookmarkStart w:id="961" w:name="_Toc18569"/>
      <w:bookmarkStart w:id="962" w:name="_Toc20028"/>
      <w:bookmarkStart w:id="963" w:name="_Toc13432"/>
      <w:bookmarkStart w:id="964" w:name="_Toc24511"/>
      <w:bookmarkStart w:id="965" w:name="_Toc2750"/>
      <w:bookmarkStart w:id="966" w:name="_Toc17512"/>
      <w:bookmarkStart w:id="967" w:name="_Toc2288"/>
      <w:r>
        <w:rPr>
          <w:rFonts w:hint="eastAsia" w:cs="FangSong_GB2312"/>
          <w:b/>
          <w:bCs/>
          <w:color w:val="auto"/>
          <w:kern w:val="2"/>
          <w:highlight w:val="none"/>
        </w:rPr>
        <w:t>12.2 总承包商的成品保护要求</w:t>
      </w:r>
      <w:bookmarkEnd w:id="959"/>
      <w:bookmarkEnd w:id="960"/>
      <w:bookmarkEnd w:id="961"/>
      <w:bookmarkEnd w:id="962"/>
      <w:bookmarkEnd w:id="963"/>
      <w:bookmarkEnd w:id="964"/>
      <w:bookmarkEnd w:id="965"/>
      <w:bookmarkEnd w:id="966"/>
      <w:bookmarkEnd w:id="967"/>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（1）总承包商须建立成品保护领导小组，落实承担总承包商工程的成品保护的资源配备。</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（2）总承包商必须充分发挥总管理、总负责的作用，组织落实成品保护措施。</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（3）总承包商须编制“建筑工程成品保护方案”，此方案须包含但不限于各分部分项工程成品保护的主要内容。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（4）总承包商应在施工的全过程中做好成品保护的巡视检查工作，并在必要情况下采取二次保护措施。</w:t>
      </w:r>
    </w:p>
    <w:p>
      <w:pPr>
        <w:keepNext/>
        <w:keepLines/>
        <w:widowControl w:val="0"/>
        <w:autoSpaceDE w:val="0"/>
        <w:autoSpaceDN w:val="0"/>
        <w:spacing w:line="360" w:lineRule="auto"/>
        <w:rPr>
          <w:rFonts w:cs="FangSong_GB2312"/>
          <w:b/>
          <w:bCs/>
          <w:color w:val="auto"/>
          <w:kern w:val="2"/>
          <w:highlight w:val="none"/>
        </w:rPr>
      </w:pPr>
      <w:bookmarkStart w:id="968" w:name="_Toc5975"/>
      <w:bookmarkStart w:id="969" w:name="_Toc12778"/>
      <w:bookmarkStart w:id="970" w:name="_Toc16375"/>
      <w:bookmarkStart w:id="971" w:name="_Toc15432"/>
      <w:bookmarkStart w:id="972" w:name="_Toc26175"/>
      <w:bookmarkStart w:id="973" w:name="_Toc13848"/>
      <w:bookmarkStart w:id="974" w:name="_Toc5296"/>
      <w:bookmarkStart w:id="975" w:name="_Toc3646"/>
      <w:bookmarkStart w:id="976" w:name="_Toc4037"/>
      <w:bookmarkStart w:id="977" w:name="_Toc15145"/>
      <w:r>
        <w:rPr>
          <w:rFonts w:hint="eastAsia" w:cs="FangSong_GB2312"/>
          <w:b/>
          <w:bCs/>
          <w:color w:val="auto"/>
          <w:kern w:val="2"/>
          <w:highlight w:val="none"/>
        </w:rPr>
        <w:t>12.3 成品保护措施要求</w:t>
      </w:r>
      <w:bookmarkEnd w:id="968"/>
      <w:bookmarkEnd w:id="969"/>
      <w:bookmarkEnd w:id="970"/>
      <w:bookmarkEnd w:id="971"/>
      <w:bookmarkEnd w:id="972"/>
      <w:bookmarkEnd w:id="973"/>
      <w:bookmarkEnd w:id="974"/>
      <w:bookmarkEnd w:id="975"/>
      <w:bookmarkEnd w:id="976"/>
      <w:bookmarkEnd w:id="977"/>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15"/>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812" w:type="dxa"/>
            <w:vAlign w:val="center"/>
          </w:tcPr>
          <w:p>
            <w:pPr>
              <w:autoSpaceDE w:val="0"/>
              <w:autoSpaceDN w:val="0"/>
              <w:spacing w:line="240" w:lineRule="atLeast"/>
              <w:jc w:val="center"/>
              <w:rPr>
                <w:rFonts w:cs="FangSong_GB2312"/>
                <w:b/>
                <w:bCs/>
                <w:color w:val="auto"/>
                <w:kern w:val="2"/>
                <w:szCs w:val="20"/>
                <w:highlight w:val="none"/>
                <w:lang w:val="zh-CN"/>
              </w:rPr>
            </w:pPr>
            <w:bookmarkStart w:id="978" w:name="_Toc18882"/>
            <w:bookmarkStart w:id="979" w:name="_Toc32694"/>
            <w:bookmarkStart w:id="980" w:name="_Toc30480"/>
            <w:bookmarkStart w:id="981" w:name="_Toc23799"/>
            <w:bookmarkStart w:id="982" w:name="_Toc12297"/>
            <w:bookmarkStart w:id="983" w:name="_Toc8641"/>
            <w:bookmarkStart w:id="984" w:name="_Toc31892"/>
            <w:bookmarkStart w:id="985" w:name="_Toc25358"/>
            <w:bookmarkStart w:id="986" w:name="_Toc22593"/>
            <w:r>
              <w:rPr>
                <w:rFonts w:hint="eastAsia" w:cs="FangSong_GB2312"/>
                <w:b/>
                <w:bCs/>
                <w:color w:val="auto"/>
                <w:kern w:val="2"/>
                <w:szCs w:val="20"/>
                <w:highlight w:val="none"/>
                <w:lang w:val="zh-CN"/>
              </w:rPr>
              <w:t>序号</w:t>
            </w:r>
          </w:p>
        </w:tc>
        <w:tc>
          <w:tcPr>
            <w:tcW w:w="1215" w:type="dxa"/>
            <w:vAlign w:val="center"/>
          </w:tcPr>
          <w:p>
            <w:pPr>
              <w:autoSpaceDE w:val="0"/>
              <w:autoSpaceDN w:val="0"/>
              <w:spacing w:line="240" w:lineRule="atLeast"/>
              <w:jc w:val="center"/>
              <w:rPr>
                <w:rFonts w:cs="FangSong_GB2312"/>
                <w:b/>
                <w:bCs/>
                <w:color w:val="auto"/>
                <w:kern w:val="2"/>
                <w:szCs w:val="20"/>
                <w:highlight w:val="none"/>
                <w:lang w:val="zh-CN"/>
              </w:rPr>
            </w:pPr>
            <w:r>
              <w:rPr>
                <w:rFonts w:hint="eastAsia" w:cs="FangSong_GB2312"/>
                <w:b/>
                <w:bCs/>
                <w:color w:val="auto"/>
                <w:kern w:val="2"/>
                <w:szCs w:val="20"/>
                <w:highlight w:val="none"/>
                <w:lang w:val="zh-CN"/>
              </w:rPr>
              <w:t>措施</w:t>
            </w:r>
          </w:p>
        </w:tc>
        <w:tc>
          <w:tcPr>
            <w:tcW w:w="6690" w:type="dxa"/>
            <w:vAlign w:val="center"/>
          </w:tcPr>
          <w:p>
            <w:pPr>
              <w:autoSpaceDE w:val="0"/>
              <w:autoSpaceDN w:val="0"/>
              <w:spacing w:line="240" w:lineRule="atLeast"/>
              <w:jc w:val="center"/>
              <w:rPr>
                <w:rFonts w:cs="FangSong_GB2312"/>
                <w:b/>
                <w:bCs/>
                <w:color w:val="auto"/>
                <w:kern w:val="2"/>
                <w:szCs w:val="20"/>
                <w:highlight w:val="none"/>
                <w:lang w:val="zh-CN"/>
              </w:rPr>
            </w:pPr>
            <w:r>
              <w:rPr>
                <w:rFonts w:hint="eastAsia" w:cs="FangSong_GB2312"/>
                <w:b/>
                <w:bCs/>
                <w:color w:val="auto"/>
                <w:kern w:val="2"/>
                <w:szCs w:val="20"/>
                <w:highlight w:val="none"/>
                <w:lang w:val="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1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1</w:t>
            </w:r>
          </w:p>
        </w:tc>
        <w:tc>
          <w:tcPr>
            <w:tcW w:w="1215"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防 护</w:t>
            </w:r>
          </w:p>
        </w:tc>
        <w:tc>
          <w:tcPr>
            <w:tcW w:w="6690"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针对被保护对象的特点采取各种防护措施。例如在玻璃幕墙龙骨表面贴塑料薄膜；对于进出口台阶可垫砖或方木搭脚手板供人通过的方法来保护台阶；对于门口易碰部位，可以钉上防护条或槽型盖铁保护；门扇安装后可加楔固定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81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2</w:t>
            </w:r>
          </w:p>
        </w:tc>
        <w:tc>
          <w:tcPr>
            <w:tcW w:w="1215"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包裹</w:t>
            </w:r>
          </w:p>
        </w:tc>
        <w:tc>
          <w:tcPr>
            <w:tcW w:w="6690"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工程成品包裹保护，主要是防止成品被损伤或污染，例如楼梯扶手易污染变色，油漆前应裹纸保护；铝合金门窗应用塑料布包扎；电气开关、插座、灯具等设备也要包裹，防止施工过程中被污染；</w:t>
            </w:r>
          </w:p>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采购物资须包装保护，防止物资在搬运、贮存至交付过程中受碰撞等导致损伤；</w:t>
            </w:r>
          </w:p>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对在竣工交付时才能拆除的包装，在施工过程中必须对其包装予以保护。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1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3</w:t>
            </w:r>
          </w:p>
        </w:tc>
        <w:tc>
          <w:tcPr>
            <w:tcW w:w="1215"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覆盖</w:t>
            </w:r>
          </w:p>
        </w:tc>
        <w:tc>
          <w:tcPr>
            <w:tcW w:w="6690"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用表面覆盖的方法防止污染、堵塞或损伤。例如地面可用锯末、苫布等覆盖以防止喷浆等污染；对于地漏、落水口排水管等安装后可加以覆盖，以防止异物落入而被堵塞；其它需要防晒、防冻、保温养护等项目也应采取适当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1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4</w:t>
            </w:r>
          </w:p>
        </w:tc>
        <w:tc>
          <w:tcPr>
            <w:tcW w:w="1215"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封闭</w:t>
            </w:r>
          </w:p>
        </w:tc>
        <w:tc>
          <w:tcPr>
            <w:tcW w:w="6690"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采取局部封闭的方法进行保护。例如垃圾道完成后，可将其进口封闭起来，以防止建筑垃圾堵塞通道；对于楼梯地面工程，施工后可在周边或楼梯口暂时封闭，待达到可上人的强度时再开放。</w:t>
            </w:r>
          </w:p>
        </w:tc>
      </w:tr>
    </w:tbl>
    <w:p>
      <w:pPr>
        <w:keepNext/>
        <w:keepLines/>
        <w:spacing w:line="360" w:lineRule="auto"/>
        <w:outlineLvl w:val="2"/>
        <w:rPr>
          <w:rFonts w:cs="FangSong_GB2312"/>
          <w:b/>
          <w:bCs/>
          <w:color w:val="auto"/>
          <w:kern w:val="2"/>
          <w:highlight w:val="none"/>
        </w:rPr>
      </w:pPr>
      <w:bookmarkStart w:id="987" w:name="_Toc25955"/>
      <w:bookmarkStart w:id="988" w:name="_Toc28722"/>
      <w:bookmarkStart w:id="989" w:name="_Toc6817"/>
      <w:bookmarkStart w:id="990" w:name="_Toc16316"/>
      <w:r>
        <w:rPr>
          <w:rFonts w:hint="eastAsia" w:cs="FangSong_GB2312"/>
          <w:b/>
          <w:bCs/>
          <w:color w:val="auto"/>
          <w:kern w:val="2"/>
          <w:highlight w:val="none"/>
        </w:rPr>
        <w:t>13. 检验与验收</w:t>
      </w:r>
      <w:bookmarkEnd w:id="978"/>
      <w:bookmarkEnd w:id="979"/>
      <w:bookmarkEnd w:id="980"/>
      <w:bookmarkEnd w:id="981"/>
      <w:bookmarkEnd w:id="982"/>
      <w:bookmarkEnd w:id="983"/>
      <w:bookmarkEnd w:id="984"/>
      <w:bookmarkEnd w:id="985"/>
      <w:bookmarkEnd w:id="986"/>
      <w:bookmarkEnd w:id="987"/>
      <w:bookmarkEnd w:id="988"/>
      <w:bookmarkEnd w:id="989"/>
      <w:bookmarkEnd w:id="990"/>
    </w:p>
    <w:p>
      <w:pPr>
        <w:keepNext/>
        <w:keepLines/>
        <w:widowControl w:val="0"/>
        <w:autoSpaceDE w:val="0"/>
        <w:autoSpaceDN w:val="0"/>
        <w:spacing w:line="360" w:lineRule="auto"/>
        <w:outlineLvl w:val="3"/>
        <w:rPr>
          <w:rFonts w:cs="FangSong_GB2312"/>
          <w:b/>
          <w:bCs/>
          <w:color w:val="auto"/>
          <w:kern w:val="2"/>
          <w:highlight w:val="none"/>
        </w:rPr>
      </w:pPr>
      <w:bookmarkStart w:id="991" w:name="_Toc6553"/>
      <w:bookmarkStart w:id="992" w:name="_Toc3976"/>
      <w:bookmarkStart w:id="993" w:name="_Toc11168"/>
      <w:bookmarkStart w:id="994" w:name="_Toc21804"/>
      <w:bookmarkStart w:id="995" w:name="_Toc19794"/>
      <w:bookmarkStart w:id="996" w:name="_Toc30651"/>
      <w:bookmarkStart w:id="997" w:name="_Toc23267"/>
      <w:bookmarkStart w:id="998" w:name="_Toc2045"/>
      <w:bookmarkStart w:id="999" w:name="_Toc23271"/>
      <w:bookmarkStart w:id="1000" w:name="_Toc19508"/>
      <w:r>
        <w:rPr>
          <w:rFonts w:hint="eastAsia" w:cs="FangSong_GB2312"/>
          <w:b/>
          <w:bCs/>
          <w:color w:val="auto"/>
          <w:kern w:val="2"/>
          <w:highlight w:val="none"/>
        </w:rPr>
        <w:t>13.1 工程检验管理要求</w:t>
      </w:r>
      <w:bookmarkEnd w:id="991"/>
      <w:bookmarkEnd w:id="992"/>
      <w:bookmarkEnd w:id="993"/>
      <w:bookmarkEnd w:id="994"/>
      <w:bookmarkEnd w:id="995"/>
      <w:bookmarkEnd w:id="996"/>
      <w:bookmarkEnd w:id="997"/>
      <w:bookmarkEnd w:id="998"/>
      <w:bookmarkEnd w:id="999"/>
      <w:bookmarkEnd w:id="1000"/>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（1）施工过程中的现场检验、试验管理工作由总承包商统一进行组织，按施工区域和分部分项工程划分进行所有施工试验及进场原材料的复试。</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需进行所有的施工试验和原材料复试工作，及时收取、汇总、整理检验和试验记录和有见证试验报告，对验、证通过的，总承包商应在检验和试验记录上签名；验证未通过的，总承包商应重新进行检验和试验，必要时进行复验。对于需要有见证取样和送样规定要求的试验项目，在取样和制样的过程中，总承包商应请监理工程师到场共同见证取样、送样。</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（3）总承包商需根据工程进度计划制定整个工程的施工试验和原材料复试的有见证取样和送检计划并根据各施工阶段进行细化分解。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（4）检验应依照相关现行规范、规程和标准执行。</w:t>
      </w:r>
    </w:p>
    <w:p>
      <w:pPr>
        <w:keepNext/>
        <w:keepLines/>
        <w:widowControl w:val="0"/>
        <w:autoSpaceDE w:val="0"/>
        <w:autoSpaceDN w:val="0"/>
        <w:spacing w:line="360" w:lineRule="auto"/>
        <w:outlineLvl w:val="3"/>
        <w:rPr>
          <w:rFonts w:cs="FangSong_GB2312"/>
          <w:b/>
          <w:bCs/>
          <w:color w:val="auto"/>
          <w:kern w:val="2"/>
          <w:highlight w:val="none"/>
        </w:rPr>
      </w:pPr>
      <w:bookmarkStart w:id="1001" w:name="_Toc22113"/>
      <w:r>
        <w:rPr>
          <w:rFonts w:hint="eastAsia" w:cs="FangSong_GB2312"/>
          <w:b/>
          <w:bCs/>
          <w:color w:val="auto"/>
          <w:kern w:val="2"/>
          <w:highlight w:val="none"/>
        </w:rPr>
        <w:t>13.2 材料样板及进场材料验收管理要求</w:t>
      </w:r>
      <w:bookmarkEnd w:id="1001"/>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（1）需甲方定样的材料，由施工单位送样，经甲方确认后作为材料样板。材料样板清单以设计图纸中要求为准。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（2）所有进场材料均须报监理或甲方进行进场验收，验收通过后方可进场。若发现材料质量不合格、与材料样板不符或无出厂合格证的，一律不得进场。</w:t>
      </w:r>
    </w:p>
    <w:p>
      <w:pPr>
        <w:keepNext/>
        <w:keepLines/>
        <w:spacing w:line="360" w:lineRule="auto"/>
        <w:outlineLvl w:val="2"/>
        <w:rPr>
          <w:rFonts w:cs="FangSong_GB2312"/>
          <w:b/>
          <w:bCs/>
          <w:color w:val="auto"/>
          <w:kern w:val="2"/>
          <w:highlight w:val="none"/>
        </w:rPr>
      </w:pPr>
      <w:bookmarkStart w:id="1002" w:name="_Toc18644"/>
      <w:bookmarkStart w:id="1003" w:name="_Toc25036"/>
      <w:bookmarkStart w:id="1004" w:name="_Toc25055"/>
      <w:bookmarkStart w:id="1005" w:name="_Toc7067"/>
      <w:bookmarkStart w:id="1006" w:name="_Toc31060"/>
      <w:bookmarkStart w:id="1007" w:name="_Toc3182"/>
      <w:bookmarkStart w:id="1008" w:name="_Toc5095"/>
      <w:bookmarkStart w:id="1009" w:name="_Toc29584"/>
      <w:bookmarkStart w:id="1010" w:name="_Toc15091"/>
      <w:bookmarkStart w:id="1011" w:name="_Toc25054"/>
      <w:bookmarkStart w:id="1012" w:name="_Toc26068"/>
      <w:bookmarkStart w:id="1013" w:name="_Toc6050"/>
      <w:bookmarkStart w:id="1014" w:name="_Toc15952"/>
      <w:r>
        <w:rPr>
          <w:rFonts w:hint="eastAsia" w:cs="FangSong_GB2312"/>
          <w:b/>
          <w:bCs/>
          <w:color w:val="auto"/>
          <w:kern w:val="2"/>
          <w:highlight w:val="none"/>
        </w:rPr>
        <w:t>14. 材料设备管理</w:t>
      </w:r>
      <w:bookmarkEnd w:id="1002"/>
      <w:r>
        <w:rPr>
          <w:rFonts w:hint="eastAsia" w:cs="FangSong_GB2312"/>
          <w:b/>
          <w:bCs/>
          <w:color w:val="auto"/>
          <w:kern w:val="2"/>
          <w:highlight w:val="none"/>
        </w:rPr>
        <w:t>要求</w:t>
      </w:r>
      <w:bookmarkEnd w:id="1003"/>
      <w:bookmarkEnd w:id="1004"/>
      <w:bookmarkEnd w:id="1005"/>
      <w:bookmarkEnd w:id="1006"/>
      <w:bookmarkEnd w:id="1007"/>
      <w:bookmarkEnd w:id="1008"/>
      <w:bookmarkEnd w:id="1009"/>
      <w:bookmarkEnd w:id="1010"/>
      <w:bookmarkEnd w:id="1011"/>
      <w:bookmarkEnd w:id="1012"/>
      <w:bookmarkEnd w:id="1013"/>
      <w:bookmarkEnd w:id="1014"/>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（1）原则上使用附件2中推荐的品牌；总承包商更换甲方指定材料品牌，必须通过商务变更流程，经甲方审批同意后方可使用，否则按不合格品处理。</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（2）任何材料设备在订货前，总承包商制定计划并上报监理及甲方，总承包商须提交有关材料生产商的资料证明并通过甲方认可，甲方的认可并不能免除总承包商提供瑕疵材料而应承担的责任。</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（3）总承包商必须按规范要求组织监理进行材料进场验收，对于不符合要求的材料需立即退场，对于完成进场材料验收的需在完成后24小时内上报进场材料验收资料。</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（4）总承包商须对产品和原材料按照规范进行检测、检验或试验，并提供合格的检测报告，由此而产生的费用应被视作已包含在合同总价中。</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（5）任何作业凡使用了未经检验及检验不合格的材料，不论该作业正在进行或已完成，均应由总承包商承担责任，而且可按未检验或非批准的作业不予以支付费用。</w:t>
      </w:r>
    </w:p>
    <w:p>
      <w:pPr>
        <w:keepNext/>
        <w:keepLines/>
        <w:spacing w:line="360" w:lineRule="auto"/>
        <w:outlineLvl w:val="2"/>
        <w:rPr>
          <w:rFonts w:cs="FangSong_GB2312"/>
          <w:b/>
          <w:bCs/>
          <w:color w:val="auto"/>
          <w:kern w:val="2"/>
          <w:highlight w:val="none"/>
        </w:rPr>
      </w:pPr>
      <w:bookmarkStart w:id="1015" w:name="_Toc1513"/>
      <w:bookmarkStart w:id="1016" w:name="_Toc7266"/>
      <w:bookmarkStart w:id="1017" w:name="_Toc2785"/>
      <w:bookmarkStart w:id="1018" w:name="_Toc32494"/>
      <w:bookmarkStart w:id="1019" w:name="_Toc26974"/>
      <w:bookmarkStart w:id="1020" w:name="_Toc22731"/>
      <w:bookmarkStart w:id="1021" w:name="_Toc18778"/>
      <w:bookmarkStart w:id="1022" w:name="_Toc18055"/>
      <w:bookmarkStart w:id="1023" w:name="_Toc16676"/>
      <w:bookmarkStart w:id="1024" w:name="_Toc30447"/>
      <w:bookmarkStart w:id="1025" w:name="_Toc1226"/>
      <w:bookmarkStart w:id="1026" w:name="_Toc13999"/>
      <w:bookmarkStart w:id="1027" w:name="_Toc4854"/>
      <w:r>
        <w:rPr>
          <w:rFonts w:hint="eastAsia" w:cs="FangSong_GB2312"/>
          <w:b/>
          <w:bCs/>
          <w:color w:val="auto"/>
          <w:kern w:val="2"/>
          <w:highlight w:val="none"/>
        </w:rPr>
        <w:t>15.文档、资料、会议管理</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pPr>
        <w:keepNext/>
        <w:keepLines/>
        <w:widowControl w:val="0"/>
        <w:autoSpaceDE w:val="0"/>
        <w:autoSpaceDN w:val="0"/>
        <w:spacing w:line="360" w:lineRule="auto"/>
        <w:outlineLvl w:val="3"/>
        <w:rPr>
          <w:rFonts w:cs="FangSong_GB2312"/>
          <w:b/>
          <w:bCs/>
          <w:color w:val="auto"/>
          <w:kern w:val="2"/>
          <w:highlight w:val="none"/>
        </w:rPr>
      </w:pPr>
      <w:bookmarkStart w:id="1028" w:name="_Toc6766"/>
      <w:bookmarkStart w:id="1029" w:name="_Toc11399"/>
      <w:bookmarkStart w:id="1030" w:name="_Toc26781"/>
      <w:bookmarkStart w:id="1031" w:name="_Toc17060"/>
      <w:bookmarkStart w:id="1032" w:name="_Toc4335"/>
      <w:bookmarkStart w:id="1033" w:name="_Toc15628"/>
      <w:bookmarkStart w:id="1034" w:name="_Toc30446"/>
      <w:bookmarkStart w:id="1035" w:name="_Toc26810"/>
      <w:bookmarkStart w:id="1036" w:name="_Toc22722"/>
      <w:bookmarkStart w:id="1037" w:name="_Toc30113"/>
      <w:r>
        <w:rPr>
          <w:rFonts w:hint="eastAsia" w:cs="FangSong_GB2312"/>
          <w:b/>
          <w:bCs/>
          <w:color w:val="auto"/>
          <w:kern w:val="2"/>
          <w:highlight w:val="none"/>
        </w:rPr>
        <w:t>15.1 工程文件管理</w:t>
      </w:r>
      <w:bookmarkEnd w:id="1028"/>
      <w:bookmarkEnd w:id="1029"/>
      <w:bookmarkEnd w:id="1030"/>
      <w:bookmarkEnd w:id="1031"/>
      <w:bookmarkEnd w:id="1032"/>
      <w:bookmarkEnd w:id="1033"/>
      <w:bookmarkEnd w:id="1034"/>
      <w:bookmarkEnd w:id="1035"/>
      <w:bookmarkEnd w:id="1036"/>
      <w:bookmarkEnd w:id="1037"/>
    </w:p>
    <w:p>
      <w:pPr>
        <w:widowControl w:val="0"/>
        <w:autoSpaceDE w:val="0"/>
        <w:autoSpaceDN w:val="0"/>
        <w:spacing w:line="360" w:lineRule="auto"/>
        <w:ind w:firstLine="482" w:firstLineChars="200"/>
        <w:jc w:val="both"/>
        <w:rPr>
          <w:rFonts w:cs="FangSong_GB2312"/>
          <w:b/>
          <w:bCs/>
          <w:color w:val="auto"/>
          <w:kern w:val="2"/>
          <w:highlight w:val="none"/>
        </w:rPr>
      </w:pPr>
      <w:bookmarkStart w:id="1038" w:name="_Toc28741"/>
      <w:r>
        <w:rPr>
          <w:rFonts w:hint="eastAsia" w:cs="FangSong_GB2312"/>
          <w:b/>
          <w:bCs/>
          <w:color w:val="auto"/>
          <w:kern w:val="2"/>
          <w:highlight w:val="none"/>
        </w:rPr>
        <w:t>（1）收发文管理</w:t>
      </w:r>
      <w:bookmarkEnd w:id="1038"/>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①总承包商文件收发应设置唯一的收发文专职人员和工作专用电子邮箱，作为本项目正式文件的收发文接口。</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②总承包商提交给甲方的文件，除提交书面纸质文件外，同时应将纸质文件的电子文件提供给甲方。</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③甲方对总承包商的发文一般采用正式电子邮箱发出的邮件方式发出，如为重要文件将在发送电子文件的同时发纸质文件。</w:t>
      </w:r>
    </w:p>
    <w:p>
      <w:pPr>
        <w:widowControl w:val="0"/>
        <w:autoSpaceDE w:val="0"/>
        <w:autoSpaceDN w:val="0"/>
        <w:spacing w:line="360" w:lineRule="auto"/>
        <w:ind w:firstLine="482" w:firstLineChars="200"/>
        <w:jc w:val="both"/>
        <w:rPr>
          <w:rFonts w:cs="FangSong_GB2312"/>
          <w:b/>
          <w:bCs/>
          <w:color w:val="auto"/>
          <w:kern w:val="2"/>
          <w:highlight w:val="none"/>
        </w:rPr>
      </w:pPr>
      <w:bookmarkStart w:id="1039" w:name="_Toc8230"/>
      <w:r>
        <w:rPr>
          <w:rFonts w:hint="eastAsia" w:cs="FangSong_GB2312"/>
          <w:b/>
          <w:bCs/>
          <w:color w:val="auto"/>
          <w:kern w:val="2"/>
          <w:highlight w:val="none"/>
        </w:rPr>
        <w:t>（2）工程技术资料管理</w:t>
      </w:r>
      <w:bookmarkEnd w:id="1039"/>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总承包商须建立健全完备的资料文件签发接收、归类保管、查询使用制度和程序，以及原始记录资料的获取与保存制度，包括电子文档信息和现场各类信息的管理以及口头信息的事后书面确认等，使信息资料的传递、查询、使用及其管理等严密、方便、准确、快捷，从而使沟通协调工作既有据可依又高效快速。</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②总承包商应规范和建立文件编码系统，项目文件编码应按照甲方下发的文件编码规则或规定进行编码。</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③工程技术资料应随项目进度及时收集、整理，并按项目的统一规定进行标识。总承包商应按照有关档案管理标准和规定，将项目施工管理过程中形成的所有文件进行归档，应确保项目档案资料的真实、有效和完整，不得对项目档案资料进行伪造、篡改和随意抽撤。</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④总承包商制定信息安全与保密措施，防止和处理在信息传递与处理过程中的失误与失密，保证信息管理系统安全、可靠地为项目服务。</w:t>
      </w:r>
    </w:p>
    <w:p>
      <w:pPr>
        <w:widowControl w:val="0"/>
        <w:autoSpaceDE w:val="0"/>
        <w:autoSpaceDN w:val="0"/>
        <w:spacing w:line="360" w:lineRule="auto"/>
        <w:ind w:firstLine="482" w:firstLineChars="200"/>
        <w:jc w:val="both"/>
        <w:rPr>
          <w:rFonts w:cs="FangSong_GB2312"/>
          <w:b/>
          <w:bCs/>
          <w:color w:val="auto"/>
          <w:kern w:val="2"/>
          <w:highlight w:val="none"/>
        </w:rPr>
      </w:pPr>
      <w:bookmarkStart w:id="1040" w:name="_Toc25897"/>
      <w:r>
        <w:rPr>
          <w:rFonts w:hint="eastAsia" w:cs="FangSong_GB2312"/>
          <w:b/>
          <w:bCs/>
          <w:color w:val="auto"/>
          <w:kern w:val="2"/>
          <w:highlight w:val="none"/>
        </w:rPr>
        <w:t>（3）施工阶段的技术资料管理</w:t>
      </w:r>
      <w:bookmarkEnd w:id="1040"/>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总承包商应设置专门人员负责内业资料的整理以及文件和档案资料的管理，设置专门的资料室和档案室。在各工序质量验收前及时形成相关质量记录文件，并在完成文本格式的资料后，使用扫描形成电子文档，共同保存。</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②内业资料和档案的管理应分门别类，并编制相应的目录，便于查找；资料的整理尽量保存原始页，对隐蔽工程在隐蔽前必须留存全面的影像资料；对关键工序和重点部位的施工必须留有影像资料。</w:t>
      </w:r>
    </w:p>
    <w:p>
      <w:pPr>
        <w:widowControl w:val="0"/>
        <w:autoSpaceDE w:val="0"/>
        <w:autoSpaceDN w:val="0"/>
        <w:spacing w:line="360" w:lineRule="auto"/>
        <w:ind w:firstLine="482" w:firstLineChars="200"/>
        <w:jc w:val="both"/>
        <w:rPr>
          <w:rFonts w:cs="FangSong_GB2312"/>
          <w:b/>
          <w:bCs/>
          <w:color w:val="auto"/>
          <w:kern w:val="2"/>
          <w:highlight w:val="none"/>
        </w:rPr>
      </w:pPr>
      <w:bookmarkStart w:id="1041" w:name="_Toc23707"/>
      <w:r>
        <w:rPr>
          <w:rFonts w:hint="eastAsia" w:cs="FangSong_GB2312"/>
          <w:b/>
          <w:bCs/>
          <w:color w:val="auto"/>
          <w:kern w:val="2"/>
          <w:highlight w:val="none"/>
        </w:rPr>
        <w:t>（4）竣工阶段的技术资料管理</w:t>
      </w:r>
      <w:bookmarkEnd w:id="1041"/>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①工程竣工前总承包商将根据规范规程的要求，进行工程竣工资料的预检工作，预检通过后方可进行档案的验收。</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②竣工图由总承包商负责组织编制，竣工图纸跟随施工进度进行编制，总承包商应安排专人将所有工程变更反映到最新的竣工图纸内，整理好变更文件。</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③总承包商负责汇总、整理工程竣工资料，工程竣工资料必须满足当地建设行政主管部门和档案馆的要求。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④总承包商需负责编制4套竣工图（须设计院签字、盖章确认），同时提供电子文档。</w:t>
      </w:r>
    </w:p>
    <w:p>
      <w:pPr>
        <w:widowControl w:val="0"/>
        <w:autoSpaceDE w:val="0"/>
        <w:autoSpaceDN w:val="0"/>
        <w:spacing w:line="360" w:lineRule="auto"/>
        <w:ind w:firstLine="482" w:firstLineChars="200"/>
        <w:jc w:val="both"/>
        <w:rPr>
          <w:rFonts w:cs="FangSong_GB2312"/>
          <w:b/>
          <w:bCs/>
          <w:color w:val="auto"/>
          <w:kern w:val="2"/>
          <w:highlight w:val="none"/>
        </w:rPr>
      </w:pPr>
      <w:bookmarkStart w:id="1042" w:name="_Toc5503"/>
      <w:r>
        <w:rPr>
          <w:rFonts w:hint="eastAsia" w:cs="FangSong_GB2312"/>
          <w:b/>
          <w:bCs/>
          <w:color w:val="auto"/>
          <w:kern w:val="2"/>
          <w:highlight w:val="none"/>
        </w:rPr>
        <w:t>（5）竣工资料的移交</w:t>
      </w:r>
      <w:bookmarkEnd w:id="1042"/>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总承包商提供竣工资料的约定：工程具备竣工验收条件，承包人应按国家、深圳市工程验收有关规定，应在工程竣工验收前14天内，向发包人提供完整的工程竣工资料（包括竣工图纸）及竣工验收报告；工程验收合格后三个月内，承包人按深圳市城建档案馆有关竣工图及综合资料编制规定要求向发包人提交完整工程竣工资料（包括竣工图纸、声像资料、影像资料）、竣工验收报告（原件）和光盘4套，上述所含费用由承包人承担；如承包人提供的竣工资料不完整的，发包人有权不予办理工程竣工手续，工期不予顺延，由此导致的工期延误责任由承包人承担。</w:t>
      </w:r>
    </w:p>
    <w:p>
      <w:pPr>
        <w:widowControl w:val="0"/>
        <w:autoSpaceDE w:val="0"/>
        <w:autoSpaceDN w:val="0"/>
        <w:spacing w:line="360" w:lineRule="auto"/>
        <w:ind w:firstLine="482" w:firstLineChars="200"/>
        <w:jc w:val="both"/>
        <w:rPr>
          <w:rFonts w:cs="FangSong_GB2312"/>
          <w:b/>
          <w:bCs/>
          <w:color w:val="auto"/>
          <w:kern w:val="2"/>
          <w:highlight w:val="none"/>
        </w:rPr>
      </w:pPr>
      <w:bookmarkStart w:id="1043" w:name="_Toc29975"/>
      <w:r>
        <w:rPr>
          <w:rFonts w:hint="eastAsia" w:cs="FangSong_GB2312"/>
          <w:b/>
          <w:bCs/>
          <w:color w:val="auto"/>
          <w:kern w:val="2"/>
          <w:highlight w:val="none"/>
        </w:rPr>
        <w:t>（6）竣工及结算资料</w:t>
      </w:r>
      <w:bookmarkEnd w:id="1043"/>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①竣工资料及结算资料均与合同一一对应关系，涉及造价及造价变动的事项（但施工图、合同除外），必须以书面资料形式反映，并纳入结算资料。</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②涉及造价变动的资料，总承包商必须及时提供相应的预算书，经审定的资料及预算书可作为工程竣工结算依据。</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③结算资料的总体要求：事项内容真实有效、理由充足、依据详细、原因清楚、范围明确、资料内容完整系统、申报及时、程序规范符合预结算工作的深度要求、满足合同管理及会计成本归集要求。合同图纸以外的结算资料，应对照合同、施工图及相应的图纸修改设计变更、现场情况（施工条件等）、经济规定、技术规范等，认定事项的原因性质责任、过程及结果与影响，不得与合同、图纸的范围重复（时间范围、工程范围、费用范围等）。凡与合同精神、定额精神，有关规定相违背的内容、签证（含无效延期签证）等，一律不予结算。</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④所有结算资料管理的质量要求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内容：总承包商必须在结算资料上体现合同编号、工程栋号及详细的位置、专业等，同时写清事项的责任原因、过程及结果与影响（费用、进度、质量等）。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范围：与合同、施工图及相应的图纸修改设计变更、经济规定（如定额）等的关系（时间范围、工程范围、费用范围等方面）。</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深度：必须满足预算、结算的要求。</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凡图纸不明确的内容必须由设计单位书面确认，在竣工图上体现，并反映在结算之竣工工程范围、项目及工程量验收记录中。</w:t>
      </w:r>
    </w:p>
    <w:p>
      <w:pPr>
        <w:keepNext/>
        <w:keepLines/>
        <w:widowControl w:val="0"/>
        <w:autoSpaceDE w:val="0"/>
        <w:autoSpaceDN w:val="0"/>
        <w:spacing w:line="560" w:lineRule="exact"/>
        <w:outlineLvl w:val="3"/>
        <w:rPr>
          <w:rFonts w:cs="FangSong_GB2312"/>
          <w:b/>
          <w:bCs/>
          <w:color w:val="auto"/>
          <w:kern w:val="2"/>
          <w:highlight w:val="none"/>
        </w:rPr>
      </w:pPr>
      <w:bookmarkStart w:id="1044" w:name="_Toc26376"/>
      <w:bookmarkStart w:id="1045" w:name="_Toc15964"/>
      <w:bookmarkStart w:id="1046" w:name="_Toc16308"/>
      <w:bookmarkStart w:id="1047" w:name="_Toc4398"/>
      <w:bookmarkStart w:id="1048" w:name="_Toc24299"/>
      <w:bookmarkStart w:id="1049" w:name="_Toc18038"/>
      <w:bookmarkStart w:id="1050" w:name="_Toc31784"/>
      <w:bookmarkStart w:id="1051" w:name="_Toc28125"/>
      <w:bookmarkStart w:id="1052" w:name="_Toc30341"/>
      <w:bookmarkStart w:id="1053" w:name="_Toc18018"/>
      <w:r>
        <w:rPr>
          <w:rFonts w:hint="eastAsia" w:cs="FangSong_GB2312"/>
          <w:b/>
          <w:bCs/>
          <w:color w:val="auto"/>
          <w:kern w:val="2"/>
          <w:highlight w:val="none"/>
        </w:rPr>
        <w:t>15.2 例会制度</w:t>
      </w:r>
      <w:bookmarkEnd w:id="1044"/>
      <w:bookmarkEnd w:id="1045"/>
      <w:bookmarkEnd w:id="1046"/>
      <w:bookmarkEnd w:id="1047"/>
      <w:bookmarkEnd w:id="1048"/>
      <w:bookmarkEnd w:id="1049"/>
      <w:bookmarkEnd w:id="1050"/>
      <w:bookmarkEnd w:id="1051"/>
      <w:bookmarkEnd w:id="1052"/>
      <w:bookmarkEnd w:id="105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22"/>
        <w:gridCol w:w="1732"/>
        <w:gridCol w:w="818"/>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6" w:type="dxa"/>
            <w:gridSpan w:val="5"/>
            <w:vAlign w:val="center"/>
          </w:tcPr>
          <w:p>
            <w:pPr>
              <w:autoSpaceDE w:val="0"/>
              <w:autoSpaceDN w:val="0"/>
              <w:spacing w:line="240" w:lineRule="atLeast"/>
              <w:jc w:val="center"/>
              <w:rPr>
                <w:rFonts w:cs="FangSong_GB2312"/>
                <w:b/>
                <w:bCs/>
                <w:color w:val="auto"/>
                <w:kern w:val="2"/>
                <w:szCs w:val="20"/>
                <w:highlight w:val="none"/>
                <w:lang w:val="zh-CN"/>
              </w:rPr>
            </w:pPr>
            <w:r>
              <w:rPr>
                <w:rFonts w:hint="eastAsia" w:cs="FangSong_GB2312"/>
                <w:b/>
                <w:bCs/>
                <w:color w:val="auto"/>
                <w:kern w:val="2"/>
                <w:szCs w:val="20"/>
                <w:highlight w:val="none"/>
                <w:lang w:val="zh-CN"/>
              </w:rPr>
              <w:t>总承包商协调会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会议名称</w:t>
            </w:r>
          </w:p>
        </w:tc>
        <w:tc>
          <w:tcPr>
            <w:tcW w:w="122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会议主持</w:t>
            </w:r>
          </w:p>
        </w:tc>
        <w:tc>
          <w:tcPr>
            <w:tcW w:w="173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出席单位及</w:t>
            </w:r>
          </w:p>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人员</w:t>
            </w:r>
          </w:p>
        </w:tc>
        <w:tc>
          <w:tcPr>
            <w:tcW w:w="81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周期</w:t>
            </w:r>
          </w:p>
        </w:tc>
        <w:tc>
          <w:tcPr>
            <w:tcW w:w="3546"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会议内容及要求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工程协调会议</w:t>
            </w:r>
          </w:p>
        </w:tc>
        <w:tc>
          <w:tcPr>
            <w:tcW w:w="122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监理总监</w:t>
            </w:r>
          </w:p>
        </w:tc>
        <w:tc>
          <w:tcPr>
            <w:tcW w:w="173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甲方、监理、总承包商项目管理班子及相关负责人</w:t>
            </w:r>
          </w:p>
        </w:tc>
        <w:tc>
          <w:tcPr>
            <w:tcW w:w="81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每周</w:t>
            </w:r>
          </w:p>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一次</w:t>
            </w:r>
          </w:p>
        </w:tc>
        <w:tc>
          <w:tcPr>
            <w:tcW w:w="3546"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协调解决工程上的重大问题，落实上次会议提出问题的解决情况，明确新问题的解决措施及完成时间；由监理记录并向参会单位发放会议纪要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工程进度协调会议</w:t>
            </w:r>
          </w:p>
        </w:tc>
        <w:tc>
          <w:tcPr>
            <w:tcW w:w="122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总承包商</w:t>
            </w:r>
          </w:p>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项目经理</w:t>
            </w:r>
          </w:p>
        </w:tc>
        <w:tc>
          <w:tcPr>
            <w:tcW w:w="173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总承包商相关部门负责人、监理、</w:t>
            </w:r>
          </w:p>
        </w:tc>
        <w:tc>
          <w:tcPr>
            <w:tcW w:w="81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每周</w:t>
            </w:r>
          </w:p>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一次</w:t>
            </w:r>
          </w:p>
        </w:tc>
        <w:tc>
          <w:tcPr>
            <w:tcW w:w="3546"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讨论上周计划完成情况，并公布下周进度计划，协调解决影响进度的重大问题；由总承包商记录并向参会单位发放会议纪要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工程安全文明施工巡视会议</w:t>
            </w:r>
          </w:p>
        </w:tc>
        <w:tc>
          <w:tcPr>
            <w:tcW w:w="122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总承包商安全管理部门负责人</w:t>
            </w:r>
          </w:p>
        </w:tc>
        <w:tc>
          <w:tcPr>
            <w:tcW w:w="173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总承包商安全管理部门、监理</w:t>
            </w:r>
          </w:p>
        </w:tc>
        <w:tc>
          <w:tcPr>
            <w:tcW w:w="81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每周</w:t>
            </w:r>
          </w:p>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一次</w:t>
            </w:r>
          </w:p>
        </w:tc>
        <w:tc>
          <w:tcPr>
            <w:tcW w:w="3546"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落实上周安全文明施工问题的解决情况，并结合现场巡视，提出本周存在的问题及解决时间；由总承包商记录并向参会单位发放会议纪要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专业协调会</w:t>
            </w:r>
          </w:p>
        </w:tc>
        <w:tc>
          <w:tcPr>
            <w:tcW w:w="122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总承包商相关负责人</w:t>
            </w:r>
          </w:p>
        </w:tc>
        <w:tc>
          <w:tcPr>
            <w:tcW w:w="1732"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总承包商相关负责人</w:t>
            </w:r>
          </w:p>
        </w:tc>
        <w:tc>
          <w:tcPr>
            <w:tcW w:w="818" w:type="dxa"/>
            <w:vAlign w:val="center"/>
          </w:tcPr>
          <w:p>
            <w:pPr>
              <w:autoSpaceDE w:val="0"/>
              <w:autoSpaceDN w:val="0"/>
              <w:spacing w:line="240" w:lineRule="atLeast"/>
              <w:jc w:val="center"/>
              <w:rPr>
                <w:rFonts w:cs="FangSong_GB2312"/>
                <w:color w:val="auto"/>
                <w:kern w:val="2"/>
                <w:szCs w:val="20"/>
                <w:highlight w:val="none"/>
                <w:lang w:val="zh-CN"/>
              </w:rPr>
            </w:pPr>
            <w:r>
              <w:rPr>
                <w:rFonts w:hint="eastAsia" w:cs="FangSong_GB2312"/>
                <w:color w:val="auto"/>
                <w:kern w:val="2"/>
                <w:szCs w:val="20"/>
                <w:highlight w:val="none"/>
                <w:lang w:val="zh-CN"/>
              </w:rPr>
              <w:t>每周一次</w:t>
            </w:r>
          </w:p>
        </w:tc>
        <w:tc>
          <w:tcPr>
            <w:tcW w:w="3546" w:type="dxa"/>
            <w:vAlign w:val="center"/>
          </w:tcPr>
          <w:p>
            <w:pPr>
              <w:autoSpaceDE w:val="0"/>
              <w:autoSpaceDN w:val="0"/>
              <w:spacing w:line="240" w:lineRule="atLeast"/>
              <w:rPr>
                <w:rFonts w:cs="FangSong_GB2312"/>
                <w:color w:val="auto"/>
                <w:kern w:val="2"/>
                <w:szCs w:val="20"/>
                <w:highlight w:val="none"/>
                <w:lang w:val="zh-CN"/>
              </w:rPr>
            </w:pPr>
            <w:r>
              <w:rPr>
                <w:rFonts w:hint="eastAsia" w:cs="FangSong_GB2312"/>
                <w:color w:val="auto"/>
                <w:kern w:val="2"/>
                <w:szCs w:val="20"/>
                <w:highlight w:val="none"/>
                <w:lang w:val="zh-CN"/>
              </w:rPr>
              <w:t>协调基坑支护、土方开挖、桩基施工等方面的问题；由总承包商记录并向参会单位发放会议纪要</w:t>
            </w:r>
          </w:p>
        </w:tc>
      </w:tr>
    </w:tbl>
    <w:p>
      <w:pPr>
        <w:keepNext/>
        <w:keepLines/>
        <w:widowControl w:val="0"/>
        <w:autoSpaceDE w:val="0"/>
        <w:autoSpaceDN w:val="0"/>
        <w:spacing w:before="156" w:beforeLines="50" w:line="560" w:lineRule="exact"/>
        <w:outlineLvl w:val="3"/>
        <w:rPr>
          <w:rFonts w:cs="FangSong_GB2312"/>
          <w:b/>
          <w:bCs/>
          <w:color w:val="auto"/>
          <w:kern w:val="2"/>
          <w:highlight w:val="none"/>
        </w:rPr>
      </w:pPr>
      <w:bookmarkStart w:id="1054" w:name="_Toc6393"/>
      <w:bookmarkStart w:id="1055" w:name="_Toc31381"/>
      <w:bookmarkStart w:id="1056" w:name="_Toc940"/>
      <w:bookmarkStart w:id="1057" w:name="_Toc30403"/>
      <w:bookmarkStart w:id="1058" w:name="_Toc16829"/>
      <w:bookmarkStart w:id="1059" w:name="_Toc19236"/>
      <w:bookmarkStart w:id="1060" w:name="_Toc18801"/>
      <w:bookmarkStart w:id="1061" w:name="_Toc416"/>
      <w:bookmarkStart w:id="1062" w:name="_Toc25516"/>
      <w:bookmarkStart w:id="1063" w:name="_Toc102"/>
      <w:r>
        <w:rPr>
          <w:rFonts w:hint="eastAsia" w:cs="FangSong_GB2312"/>
          <w:b/>
          <w:bCs/>
          <w:color w:val="auto"/>
          <w:kern w:val="2"/>
          <w:highlight w:val="none"/>
        </w:rPr>
        <w:t>15.3 影像记录</w:t>
      </w:r>
      <w:bookmarkEnd w:id="1054"/>
      <w:bookmarkEnd w:id="1055"/>
      <w:bookmarkEnd w:id="1056"/>
      <w:bookmarkEnd w:id="1057"/>
      <w:bookmarkEnd w:id="1058"/>
      <w:bookmarkEnd w:id="1059"/>
      <w:bookmarkEnd w:id="1060"/>
      <w:bookmarkEnd w:id="1061"/>
      <w:bookmarkEnd w:id="1062"/>
      <w:bookmarkEnd w:id="1063"/>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1）总承包商应对施工全过程进行影像记录，影像记录成果应满足广东省深圳市竣工备案部门、深圳市优质工程奖、广东省优质工程奖等工程现场施工影像资料拍摄内容的要求，工程竣工后向发包方及广东省深圳市竣工备案部门移交全套影像资料。</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（2）总承包商需制定工程影像资料的拍摄计划和拍摄方案，由专人负责工程影像资料的摄制和管理工作。</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3）所拍摄的影像资料应能全面反映各子单位工程中主要检验批、分项、分部工程的质量验收与控制情况，记录整个施工全过程的正常质量状况。数量上要对规定的每个拍摄部位至少应有两张全面反映质量验收和控制状况的工程照片，其中开工竣工、重要部位和关键节点应包括过程录像片。</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4）所拍摄的影像资料应能全面反映新材料、新工艺在工程中的运用情况以及重要结构部位、重大节点控制状况，关键部位、关键工序和隐蔽项目的内容以及单位工程安全和功能检验的见证情况，主控项目和强制性标准条文的执行情况，并应反映该检验批中关键工序的施工质量状况。</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5）拍摄的影像资料必须图像清晰，数码照片拍摄满足竣工资料要求。拍摄的角度、方式应能全面反映所验收部位的质量状况，并具有代表性，当拍摄构件偏差、钢筋搭接和锚固长度等尺寸项目时，应立钢尺进行明确标识和记录，以供追溯；当拍摄梁柱节点钢筋设置等空间部位时，应从多个角度拍摄记录四个面的质量情况。</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6）总承包商按工程项目档案管理规定对工程影像资料集中统一管理，以子单位工程作为单元，按分部、分项工程以及专题内容、拍摄时间进行排序和归档。影像资料应有文字说明，具体内容包括影像编号、影像题名、拍摄内容简要描述、拍摄时间、地点等。</w:t>
      </w:r>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（7）总承包商每月定期对影像资料进行后期技术处理，系统地剪辑和编排，并按档案要求提供装订成册的工程照片或电子文件（数码照片）刻盘后，报送甲方，数量一式两份。</w:t>
      </w:r>
    </w:p>
    <w:p>
      <w:pPr>
        <w:keepNext/>
        <w:keepLines/>
        <w:widowControl w:val="0"/>
        <w:autoSpaceDE w:val="0"/>
        <w:autoSpaceDN w:val="0"/>
        <w:spacing w:line="360" w:lineRule="auto"/>
        <w:outlineLvl w:val="3"/>
        <w:rPr>
          <w:rFonts w:cs="FangSong_GB2312"/>
          <w:b/>
          <w:bCs/>
          <w:color w:val="auto"/>
          <w:kern w:val="2"/>
          <w:highlight w:val="none"/>
        </w:rPr>
      </w:pPr>
      <w:bookmarkStart w:id="1064" w:name="_Toc15613"/>
      <w:bookmarkStart w:id="1065" w:name="_Toc11791"/>
      <w:bookmarkStart w:id="1066" w:name="_Toc12464"/>
      <w:bookmarkStart w:id="1067" w:name="_Toc22846"/>
      <w:bookmarkStart w:id="1068" w:name="_Toc25862"/>
      <w:bookmarkStart w:id="1069" w:name="_Toc20854"/>
      <w:bookmarkStart w:id="1070" w:name="_Toc20303"/>
      <w:bookmarkStart w:id="1071" w:name="_Toc7879"/>
      <w:bookmarkStart w:id="1072" w:name="_Toc30751"/>
      <w:bookmarkStart w:id="1073" w:name="_Toc7329"/>
      <w:r>
        <w:rPr>
          <w:rFonts w:hint="eastAsia" w:cs="FangSong_GB2312"/>
          <w:b/>
          <w:bCs/>
          <w:color w:val="auto"/>
          <w:kern w:val="2"/>
          <w:highlight w:val="none"/>
        </w:rPr>
        <w:t>15.4 工程图纸100%数字化</w:t>
      </w:r>
      <w:bookmarkEnd w:id="1064"/>
      <w:bookmarkEnd w:id="1065"/>
      <w:bookmarkEnd w:id="1066"/>
      <w:bookmarkEnd w:id="1067"/>
      <w:bookmarkEnd w:id="1068"/>
      <w:bookmarkEnd w:id="1069"/>
      <w:bookmarkEnd w:id="1070"/>
      <w:bookmarkEnd w:id="1071"/>
      <w:bookmarkEnd w:id="1072"/>
      <w:bookmarkEnd w:id="1073"/>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总承包商应确保本项目深化设计图纸100%数字化，并同时提供 AutoCAD格式和PDF格式版本，与纸质图纸并行使用，并在工程竣工时向甲方提交完整的纸质、AutoCAD格式和PDF格式的竣工图。</w:t>
      </w:r>
    </w:p>
    <w:p>
      <w:pPr>
        <w:keepNext/>
        <w:keepLines/>
        <w:widowControl w:val="0"/>
        <w:autoSpaceDE w:val="0"/>
        <w:autoSpaceDN w:val="0"/>
        <w:spacing w:line="360" w:lineRule="auto"/>
        <w:outlineLvl w:val="3"/>
        <w:rPr>
          <w:rFonts w:cs="FangSong_GB2312"/>
          <w:b/>
          <w:bCs/>
          <w:color w:val="auto"/>
          <w:kern w:val="2"/>
          <w:highlight w:val="none"/>
        </w:rPr>
      </w:pPr>
      <w:bookmarkStart w:id="1074" w:name="_Toc12381"/>
      <w:bookmarkStart w:id="1075" w:name="_Toc7479"/>
      <w:bookmarkStart w:id="1076" w:name="_Toc12338"/>
      <w:bookmarkStart w:id="1077" w:name="_Toc4864"/>
      <w:bookmarkStart w:id="1078" w:name="_Toc32586"/>
      <w:bookmarkStart w:id="1079" w:name="_Toc29016"/>
      <w:bookmarkStart w:id="1080" w:name="_Toc4790"/>
      <w:bookmarkStart w:id="1081" w:name="_Toc29083"/>
      <w:bookmarkStart w:id="1082" w:name="_Toc8860"/>
      <w:bookmarkStart w:id="1083" w:name="_Toc17866"/>
      <w:r>
        <w:rPr>
          <w:rFonts w:hint="eastAsia" w:cs="FangSong_GB2312"/>
          <w:b/>
          <w:bCs/>
          <w:color w:val="auto"/>
          <w:kern w:val="2"/>
          <w:highlight w:val="none"/>
        </w:rPr>
        <w:t>15.5 信息发布的规定</w:t>
      </w:r>
      <w:bookmarkEnd w:id="1074"/>
      <w:bookmarkEnd w:id="1075"/>
      <w:bookmarkEnd w:id="1076"/>
      <w:bookmarkEnd w:id="1077"/>
      <w:bookmarkEnd w:id="1078"/>
      <w:bookmarkEnd w:id="1079"/>
      <w:bookmarkEnd w:id="1080"/>
      <w:bookmarkEnd w:id="1081"/>
      <w:bookmarkEnd w:id="1082"/>
      <w:bookmarkEnd w:id="1083"/>
    </w:p>
    <w:p>
      <w:pPr>
        <w:widowControl w:val="0"/>
        <w:autoSpaceDE w:val="0"/>
        <w:autoSpaceDN w:val="0"/>
        <w:spacing w:line="360" w:lineRule="auto"/>
        <w:ind w:firstLine="480" w:firstLineChars="200"/>
        <w:jc w:val="both"/>
        <w:rPr>
          <w:rFonts w:cs="FangSong_GB2312"/>
          <w:color w:val="auto"/>
          <w:kern w:val="2"/>
          <w:highlight w:val="none"/>
        </w:rPr>
      </w:pPr>
      <w:r>
        <w:rPr>
          <w:rFonts w:hint="eastAsia" w:cs="FangSong_GB2312"/>
          <w:color w:val="auto"/>
          <w:kern w:val="2"/>
          <w:highlight w:val="none"/>
        </w:rPr>
        <w:t>总承包商对外发布所有信息，均应获得甲方的同意。出版与本项目相关论著或发表相关论文，如涉及到甲方工程管理事宜的，应在征得甲方的同意后联合发表。</w:t>
      </w:r>
    </w:p>
    <w:p>
      <w:pPr>
        <w:keepNext/>
        <w:keepLines/>
        <w:numPr>
          <w:ilvl w:val="12"/>
          <w:numId w:val="0"/>
        </w:numPr>
        <w:spacing w:line="360" w:lineRule="auto"/>
        <w:outlineLvl w:val="2"/>
        <w:rPr>
          <w:rFonts w:cs="FangSong_GB2312"/>
          <w:b/>
          <w:bCs/>
          <w:color w:val="auto"/>
          <w:kern w:val="2"/>
          <w:highlight w:val="none"/>
        </w:rPr>
      </w:pPr>
      <w:bookmarkStart w:id="1084" w:name="_Toc8760"/>
      <w:bookmarkStart w:id="1085" w:name="_Toc30704"/>
      <w:bookmarkStart w:id="1086" w:name="_Toc7785"/>
      <w:bookmarkStart w:id="1087" w:name="_Toc30509"/>
      <w:r>
        <w:rPr>
          <w:rFonts w:hint="eastAsia" w:cs="FangSong_GB2312"/>
          <w:b/>
          <w:bCs/>
          <w:color w:val="auto"/>
          <w:kern w:val="2"/>
          <w:highlight w:val="none"/>
        </w:rPr>
        <w:t>16.违约处罚明细</w:t>
      </w:r>
      <w:bookmarkEnd w:id="1084"/>
      <w:bookmarkEnd w:id="1085"/>
      <w:bookmarkEnd w:id="1086"/>
      <w:bookmarkEnd w:id="1087"/>
    </w:p>
    <w:p>
      <w:pPr>
        <w:spacing w:line="360" w:lineRule="auto"/>
        <w:ind w:firstLine="482" w:firstLineChars="200"/>
        <w:jc w:val="both"/>
        <w:rPr>
          <w:rFonts w:cs="FangSong_GB2312"/>
          <w:b/>
          <w:bCs/>
          <w:color w:val="auto"/>
          <w:kern w:val="2"/>
          <w:highlight w:val="none"/>
        </w:rPr>
      </w:pPr>
      <w:r>
        <w:rPr>
          <w:rFonts w:hint="eastAsia" w:cs="FangSong_GB2312"/>
          <w:b/>
          <w:bCs/>
          <w:color w:val="auto"/>
          <w:kern w:val="2"/>
          <w:highlight w:val="none"/>
        </w:rPr>
        <w:t>承包方需严格遵守相关法律法规、合同、规范以及发包方项目管理相关要求，否则发包方有权向承包方作出相应处罚，所有违约金、罚款等发包方均有权在支付给承包人的工程款、进度款中直接扣除。</w:t>
      </w:r>
    </w:p>
    <w:p>
      <w:pPr>
        <w:spacing w:line="360" w:lineRule="auto"/>
        <w:ind w:firstLine="482" w:firstLineChars="200"/>
        <w:jc w:val="both"/>
        <w:rPr>
          <w:rFonts w:cs="FangSong_GB2312"/>
          <w:b/>
          <w:bCs/>
          <w:color w:val="auto"/>
          <w:kern w:val="2"/>
          <w:highlight w:val="none"/>
        </w:rPr>
      </w:pPr>
      <w:r>
        <w:rPr>
          <w:rFonts w:cs="FangSong_GB2312"/>
          <w:b/>
          <w:bCs/>
          <w:color w:val="auto"/>
          <w:kern w:val="2"/>
          <w:highlight w:val="none"/>
        </w:rPr>
        <w:t>本合同约定的违约责任，若适用时出现冲突的，按照合同优先解释顺序进行处理；若补充条款及附件约定的有关违约责任不一致的，按照更严格的原则适用。</w:t>
      </w:r>
    </w:p>
    <w:p>
      <w:pPr>
        <w:spacing w:line="360" w:lineRule="auto"/>
        <w:ind w:firstLine="482" w:firstLineChars="200"/>
        <w:jc w:val="both"/>
        <w:rPr>
          <w:rFonts w:cs="FangSong_GB2312"/>
          <w:b/>
          <w:bCs/>
          <w:color w:val="auto"/>
          <w:kern w:val="2"/>
          <w:highlight w:val="none"/>
        </w:rPr>
      </w:pPr>
      <w:r>
        <w:rPr>
          <w:rFonts w:hint="eastAsia" w:cs="FangSong_GB2312"/>
          <w:b/>
          <w:bCs/>
          <w:color w:val="auto"/>
          <w:kern w:val="2"/>
          <w:highlight w:val="none"/>
        </w:rPr>
        <w:t>具体要求和处罚明细如下：</w:t>
      </w:r>
    </w:p>
    <w:p>
      <w:pPr>
        <w:rPr>
          <w:b/>
          <w:bCs/>
          <w:color w:val="auto"/>
          <w:szCs w:val="21"/>
          <w:highlight w:val="none"/>
        </w:rPr>
      </w:pPr>
      <w:r>
        <w:rPr>
          <w:rFonts w:hint="eastAsia"/>
          <w:color w:val="auto"/>
          <w:szCs w:val="21"/>
          <w:highlight w:val="none"/>
        </w:rPr>
        <w:t xml:space="preserve">  </w:t>
      </w:r>
      <w:r>
        <w:rPr>
          <w:rFonts w:hint="eastAsia" w:cs="Times New Roman"/>
          <w:b/>
          <w:bCs/>
          <w:color w:val="auto"/>
          <w:kern w:val="2"/>
          <w:sz w:val="21"/>
          <w:szCs w:val="21"/>
          <w:highlight w:val="none"/>
        </w:rPr>
        <w:t xml:space="preserve"> 1、工程管理罚款细则</w:t>
      </w:r>
    </w:p>
    <w:tbl>
      <w:tblPr>
        <w:tblStyle w:val="1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jc w:val="center"/>
              <w:rPr>
                <w:color w:val="auto"/>
                <w:sz w:val="21"/>
                <w:szCs w:val="21"/>
                <w:highlight w:val="none"/>
              </w:rPr>
            </w:pPr>
            <w:r>
              <w:rPr>
                <w:rFonts w:hint="eastAsia"/>
                <w:color w:val="auto"/>
                <w:sz w:val="21"/>
                <w:szCs w:val="21"/>
                <w:highlight w:val="none"/>
              </w:rPr>
              <w:t>序号</w:t>
            </w:r>
          </w:p>
        </w:tc>
        <w:tc>
          <w:tcPr>
            <w:tcW w:w="5677" w:type="dxa"/>
            <w:vAlign w:val="center"/>
          </w:tcPr>
          <w:p>
            <w:pPr>
              <w:jc w:val="center"/>
              <w:rPr>
                <w:color w:val="auto"/>
                <w:sz w:val="21"/>
                <w:szCs w:val="21"/>
                <w:highlight w:val="none"/>
              </w:rPr>
            </w:pPr>
            <w:r>
              <w:rPr>
                <w:rFonts w:hint="eastAsia"/>
                <w:color w:val="auto"/>
                <w:sz w:val="21"/>
                <w:szCs w:val="21"/>
                <w:highlight w:val="none"/>
              </w:rPr>
              <w:t>罚款条款</w:t>
            </w:r>
          </w:p>
        </w:tc>
        <w:tc>
          <w:tcPr>
            <w:tcW w:w="2270" w:type="dxa"/>
            <w:vAlign w:val="center"/>
          </w:tcPr>
          <w:p>
            <w:pPr>
              <w:jc w:val="center"/>
              <w:rPr>
                <w:color w:val="auto"/>
                <w:sz w:val="21"/>
                <w:szCs w:val="21"/>
                <w:highlight w:val="none"/>
              </w:rPr>
            </w:pPr>
            <w:r>
              <w:rPr>
                <w:rFonts w:hint="eastAsia"/>
                <w:color w:val="auto"/>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承包人的项目经理与投标文件的承诺不一致，或项目经理未及时到位，或同时兼任承包人其它工程项目的项目经理的。</w:t>
            </w:r>
          </w:p>
        </w:tc>
        <w:tc>
          <w:tcPr>
            <w:tcW w:w="2270" w:type="dxa"/>
            <w:vAlign w:val="center"/>
          </w:tcPr>
          <w:p>
            <w:pPr>
              <w:rPr>
                <w:color w:val="auto"/>
                <w:sz w:val="21"/>
                <w:szCs w:val="21"/>
                <w:highlight w:val="none"/>
              </w:rPr>
            </w:pPr>
            <w:r>
              <w:rPr>
                <w:rFonts w:hint="eastAsia"/>
                <w:color w:val="auto"/>
                <w:sz w:val="21"/>
                <w:szCs w:val="21"/>
                <w:highlight w:val="none"/>
              </w:rPr>
              <w:t>2万元/次，延迟到岗按1万元/天。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施工期间的任何阶段，承包人任命的项目经理（项目负责人）经发包人认为不适合担任项目经理（项目负责人）岗位的，发包人向承包人提出更换的，承包人应在一周内更换发包人认为合格的项目经理（项目负责人）。</w:t>
            </w:r>
          </w:p>
        </w:tc>
        <w:tc>
          <w:tcPr>
            <w:tcW w:w="2270" w:type="dxa"/>
            <w:vAlign w:val="center"/>
          </w:tcPr>
          <w:p>
            <w:pPr>
              <w:rPr>
                <w:color w:val="auto"/>
                <w:sz w:val="21"/>
                <w:szCs w:val="21"/>
                <w:highlight w:val="none"/>
              </w:rPr>
            </w:pPr>
            <w:r>
              <w:rPr>
                <w:rFonts w:hint="eastAsia"/>
                <w:color w:val="auto"/>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承包人的主要施工管理人员（生产负责人、技术负责人、安全总监、质量总监）未及时到位或未经发包人同意更换的。</w:t>
            </w:r>
          </w:p>
        </w:tc>
        <w:tc>
          <w:tcPr>
            <w:tcW w:w="2270" w:type="dxa"/>
            <w:vAlign w:val="center"/>
          </w:tcPr>
          <w:p>
            <w:pPr>
              <w:rPr>
                <w:color w:val="auto"/>
                <w:sz w:val="21"/>
                <w:szCs w:val="21"/>
                <w:highlight w:val="none"/>
              </w:rPr>
            </w:pPr>
            <w:r>
              <w:rPr>
                <w:rFonts w:hint="eastAsia"/>
                <w:color w:val="auto"/>
                <w:sz w:val="21"/>
                <w:szCs w:val="21"/>
                <w:highlight w:val="none"/>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承包人的主要施工管理人员（生产负责人、技术负责人、安全主任、质量主任）同时兼任承包人其它工程项目的任何职务的。</w:t>
            </w:r>
          </w:p>
        </w:tc>
        <w:tc>
          <w:tcPr>
            <w:tcW w:w="2270" w:type="dxa"/>
            <w:vAlign w:val="center"/>
          </w:tcPr>
          <w:p>
            <w:pPr>
              <w:rPr>
                <w:color w:val="auto"/>
                <w:sz w:val="21"/>
                <w:szCs w:val="21"/>
                <w:highlight w:val="none"/>
              </w:rPr>
            </w:pPr>
            <w:r>
              <w:rPr>
                <w:rFonts w:hint="eastAsia"/>
                <w:color w:val="auto"/>
                <w:sz w:val="21"/>
                <w:szCs w:val="21"/>
                <w:highlight w:val="none"/>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承包人其他人员（项目经理及主要施工管理人员除外）未及时到位或未经发包人同意更换的。</w:t>
            </w:r>
          </w:p>
        </w:tc>
        <w:tc>
          <w:tcPr>
            <w:tcW w:w="2270" w:type="dxa"/>
            <w:vAlign w:val="center"/>
          </w:tcPr>
          <w:p>
            <w:pPr>
              <w:rPr>
                <w:color w:val="auto"/>
                <w:sz w:val="21"/>
                <w:szCs w:val="21"/>
                <w:highlight w:val="none"/>
              </w:rPr>
            </w:pPr>
            <w:r>
              <w:rPr>
                <w:rFonts w:hint="eastAsia"/>
                <w:color w:val="auto"/>
                <w:sz w:val="21"/>
                <w:szCs w:val="21"/>
                <w:highlight w:val="none"/>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承包人无正当理由拒绝撤换的。</w:t>
            </w:r>
          </w:p>
        </w:tc>
        <w:tc>
          <w:tcPr>
            <w:tcW w:w="2270" w:type="dxa"/>
            <w:vAlign w:val="center"/>
          </w:tcPr>
          <w:p>
            <w:pPr>
              <w:rPr>
                <w:color w:val="auto"/>
                <w:sz w:val="21"/>
                <w:szCs w:val="21"/>
                <w:highlight w:val="none"/>
              </w:rPr>
            </w:pPr>
            <w:r>
              <w:rPr>
                <w:rFonts w:hint="eastAsia"/>
                <w:color w:val="auto"/>
                <w:sz w:val="21"/>
                <w:szCs w:val="21"/>
                <w:highlight w:val="none"/>
              </w:rPr>
              <w:t>1万元/人次（项目经理除外）。延迟到岗按5000元/天。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人员设备不能满足经批准的施工方案要求。</w:t>
            </w:r>
          </w:p>
        </w:tc>
        <w:tc>
          <w:tcPr>
            <w:tcW w:w="2270" w:type="dxa"/>
            <w:vAlign w:val="center"/>
          </w:tcPr>
          <w:p>
            <w:pPr>
              <w:rPr>
                <w:color w:val="auto"/>
                <w:sz w:val="21"/>
                <w:szCs w:val="21"/>
                <w:highlight w:val="none"/>
              </w:rPr>
            </w:pPr>
            <w:r>
              <w:rPr>
                <w:rFonts w:hint="eastAsia"/>
                <w:color w:val="auto"/>
                <w:sz w:val="21"/>
                <w:szCs w:val="21"/>
                <w:highlight w:val="none"/>
              </w:rPr>
              <w:t>1000元/人（台）·天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关键岗位（项目经理、技术总工、安全总监、质量总监），未履行正式的请假手续，且未经发包方批准无故不参加工程例会；未经同意，擅自更换指定会议出席者。</w:t>
            </w:r>
          </w:p>
        </w:tc>
        <w:tc>
          <w:tcPr>
            <w:tcW w:w="2270" w:type="dxa"/>
            <w:vAlign w:val="center"/>
          </w:tcPr>
          <w:p>
            <w:pPr>
              <w:rPr>
                <w:color w:val="auto"/>
                <w:sz w:val="21"/>
                <w:szCs w:val="21"/>
                <w:highlight w:val="none"/>
              </w:rPr>
            </w:pPr>
            <w:r>
              <w:rPr>
                <w:rFonts w:hint="eastAsia"/>
                <w:color w:val="auto"/>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无故不参加进度、质量、安全、协调、各项交底、技术讨论、方案评审等会议。</w:t>
            </w:r>
          </w:p>
        </w:tc>
        <w:tc>
          <w:tcPr>
            <w:tcW w:w="2270" w:type="dxa"/>
            <w:vAlign w:val="center"/>
          </w:tcPr>
          <w:p>
            <w:pPr>
              <w:rPr>
                <w:color w:val="auto"/>
                <w:sz w:val="21"/>
                <w:szCs w:val="21"/>
                <w:highlight w:val="none"/>
              </w:rPr>
            </w:pPr>
            <w:r>
              <w:rPr>
                <w:rFonts w:hint="eastAsia"/>
                <w:color w:val="auto"/>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未按要求组织全体工人参加定期的安全交底。</w:t>
            </w:r>
          </w:p>
        </w:tc>
        <w:tc>
          <w:tcPr>
            <w:tcW w:w="2270" w:type="dxa"/>
            <w:vAlign w:val="center"/>
          </w:tcPr>
          <w:p>
            <w:pPr>
              <w:rPr>
                <w:color w:val="auto"/>
                <w:sz w:val="21"/>
                <w:szCs w:val="21"/>
                <w:highlight w:val="none"/>
              </w:rPr>
            </w:pPr>
            <w:r>
              <w:rPr>
                <w:rFonts w:hint="eastAsia"/>
                <w:color w:val="auto"/>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未按要求及时提交施工管理和技术资料。</w:t>
            </w:r>
          </w:p>
        </w:tc>
        <w:tc>
          <w:tcPr>
            <w:tcW w:w="2270" w:type="dxa"/>
            <w:vAlign w:val="center"/>
          </w:tcPr>
          <w:p>
            <w:pPr>
              <w:rPr>
                <w:color w:val="auto"/>
                <w:sz w:val="21"/>
                <w:szCs w:val="21"/>
                <w:highlight w:val="none"/>
              </w:rPr>
            </w:pPr>
            <w:r>
              <w:rPr>
                <w:rFonts w:hint="eastAsia"/>
                <w:color w:val="auto"/>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拒收发包方文件（信函、指示、会议纪要、质量/安全/进度整改通知及罚款单）。</w:t>
            </w:r>
          </w:p>
        </w:tc>
        <w:tc>
          <w:tcPr>
            <w:tcW w:w="2270" w:type="dxa"/>
            <w:vAlign w:val="center"/>
          </w:tcPr>
          <w:p>
            <w:pPr>
              <w:rPr>
                <w:color w:val="auto"/>
                <w:sz w:val="21"/>
                <w:szCs w:val="21"/>
                <w:highlight w:val="none"/>
              </w:rPr>
            </w:pPr>
            <w:r>
              <w:rPr>
                <w:rFonts w:hint="eastAsia"/>
                <w:color w:val="auto"/>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消极态度对待发包人的正确指挥、指示、通知。</w:t>
            </w:r>
          </w:p>
        </w:tc>
        <w:tc>
          <w:tcPr>
            <w:tcW w:w="2270" w:type="dxa"/>
            <w:vAlign w:val="center"/>
          </w:tcPr>
          <w:p>
            <w:pPr>
              <w:rPr>
                <w:color w:val="auto"/>
                <w:sz w:val="21"/>
                <w:szCs w:val="21"/>
                <w:highlight w:val="none"/>
              </w:rPr>
            </w:pPr>
            <w:r>
              <w:rPr>
                <w:rFonts w:hint="eastAsia"/>
                <w:color w:val="auto"/>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拒收发包人文件（信函、指示、会议纪要、质量/安全/进度整改通知及罚款单）。</w:t>
            </w:r>
          </w:p>
        </w:tc>
        <w:tc>
          <w:tcPr>
            <w:tcW w:w="2270" w:type="dxa"/>
            <w:vAlign w:val="center"/>
          </w:tcPr>
          <w:p>
            <w:pPr>
              <w:rPr>
                <w:color w:val="auto"/>
                <w:sz w:val="21"/>
                <w:szCs w:val="21"/>
                <w:highlight w:val="none"/>
              </w:rPr>
            </w:pPr>
            <w:r>
              <w:rPr>
                <w:rFonts w:hint="eastAsia"/>
                <w:color w:val="auto"/>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拒绝提交或者回复发包人文件（信函、指示、会议纪要、质量/安全/进度整改通知及罚款单）。</w:t>
            </w:r>
          </w:p>
        </w:tc>
        <w:tc>
          <w:tcPr>
            <w:tcW w:w="2270" w:type="dxa"/>
            <w:vAlign w:val="center"/>
          </w:tcPr>
          <w:p>
            <w:pPr>
              <w:rPr>
                <w:color w:val="auto"/>
                <w:sz w:val="21"/>
                <w:szCs w:val="21"/>
                <w:highlight w:val="none"/>
              </w:rPr>
            </w:pPr>
            <w:r>
              <w:rPr>
                <w:rFonts w:hint="eastAsia"/>
                <w:color w:val="auto"/>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无故不接受发包人或监理人的正确指挥、指示、通知。</w:t>
            </w:r>
          </w:p>
        </w:tc>
        <w:tc>
          <w:tcPr>
            <w:tcW w:w="2270" w:type="dxa"/>
            <w:vAlign w:val="center"/>
          </w:tcPr>
          <w:p>
            <w:pPr>
              <w:rPr>
                <w:color w:val="auto"/>
                <w:sz w:val="21"/>
                <w:szCs w:val="21"/>
                <w:highlight w:val="none"/>
              </w:rPr>
            </w:pPr>
            <w:r>
              <w:rPr>
                <w:rFonts w:hint="eastAsia"/>
                <w:color w:val="auto"/>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对发包人或监理人发出的正确指挥、指示、通知不执行，不处理。</w:t>
            </w:r>
          </w:p>
        </w:tc>
        <w:tc>
          <w:tcPr>
            <w:tcW w:w="2270" w:type="dxa"/>
            <w:vAlign w:val="center"/>
          </w:tcPr>
          <w:p>
            <w:pPr>
              <w:rPr>
                <w:color w:val="auto"/>
                <w:sz w:val="21"/>
                <w:szCs w:val="21"/>
                <w:highlight w:val="none"/>
              </w:rPr>
            </w:pPr>
            <w:r>
              <w:rPr>
                <w:rFonts w:hint="eastAsia"/>
                <w:color w:val="auto"/>
                <w:sz w:val="21"/>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无故辱骂发包人、监理人、或其他与本项目相关单位。</w:t>
            </w:r>
          </w:p>
        </w:tc>
        <w:tc>
          <w:tcPr>
            <w:tcW w:w="2270" w:type="dxa"/>
            <w:vAlign w:val="center"/>
          </w:tcPr>
          <w:p>
            <w:pPr>
              <w:rPr>
                <w:color w:val="auto"/>
                <w:sz w:val="21"/>
                <w:szCs w:val="21"/>
                <w:highlight w:val="none"/>
              </w:rPr>
            </w:pPr>
            <w:r>
              <w:rPr>
                <w:rFonts w:hint="eastAsia"/>
                <w:color w:val="auto"/>
                <w:sz w:val="21"/>
                <w:szCs w:val="21"/>
                <w:highlight w:val="none"/>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无故殴打发包人、监理人、或其他与本项目相关单位。</w:t>
            </w:r>
          </w:p>
        </w:tc>
        <w:tc>
          <w:tcPr>
            <w:tcW w:w="2270" w:type="dxa"/>
            <w:vAlign w:val="center"/>
          </w:tcPr>
          <w:p>
            <w:pPr>
              <w:rPr>
                <w:color w:val="auto"/>
                <w:sz w:val="21"/>
                <w:szCs w:val="21"/>
                <w:highlight w:val="none"/>
              </w:rPr>
            </w:pPr>
            <w:r>
              <w:rPr>
                <w:rFonts w:hint="eastAsia"/>
                <w:color w:val="auto"/>
                <w:sz w:val="21"/>
                <w:szCs w:val="21"/>
                <w:highlight w:val="none"/>
              </w:rPr>
              <w:t>3万元/次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承包人未履行总承包管理的义务与分包人配合好各工序交叉施工。</w:t>
            </w:r>
          </w:p>
        </w:tc>
        <w:tc>
          <w:tcPr>
            <w:tcW w:w="2270" w:type="dxa"/>
            <w:vAlign w:val="center"/>
          </w:tcPr>
          <w:p>
            <w:pPr>
              <w:rPr>
                <w:color w:val="auto"/>
                <w:sz w:val="21"/>
                <w:szCs w:val="21"/>
                <w:highlight w:val="none"/>
              </w:rPr>
            </w:pPr>
            <w:r>
              <w:rPr>
                <w:rFonts w:hint="eastAsia"/>
                <w:color w:val="auto"/>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承包人违反法律、法规及发包人规定进行分包、转包，即构成承包人违约。如未对实际工程的施工产生负面影响的，且承包人进行了整改。</w:t>
            </w:r>
          </w:p>
        </w:tc>
        <w:tc>
          <w:tcPr>
            <w:tcW w:w="2270" w:type="dxa"/>
            <w:vAlign w:val="center"/>
          </w:tcPr>
          <w:p>
            <w:pPr>
              <w:rPr>
                <w:color w:val="auto"/>
                <w:sz w:val="21"/>
                <w:szCs w:val="21"/>
                <w:highlight w:val="none"/>
              </w:rPr>
            </w:pPr>
            <w:r>
              <w:rPr>
                <w:rFonts w:hint="eastAsia"/>
                <w:color w:val="auto"/>
                <w:sz w:val="21"/>
                <w:szCs w:val="21"/>
                <w:highlight w:val="none"/>
              </w:rPr>
              <w:t>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承包人违反法律、法规及发包人规定进行分包、转包，即构成承包人违约。如不进行整改，发包人有权收回发包人的全部项目另行发包第三方。</w:t>
            </w:r>
          </w:p>
        </w:tc>
        <w:tc>
          <w:tcPr>
            <w:tcW w:w="2270" w:type="dxa"/>
            <w:vAlign w:val="center"/>
          </w:tcPr>
          <w:p>
            <w:pPr>
              <w:rPr>
                <w:color w:val="auto"/>
                <w:sz w:val="21"/>
                <w:szCs w:val="21"/>
                <w:highlight w:val="none"/>
              </w:rPr>
            </w:pPr>
            <w:r>
              <w:rPr>
                <w:rFonts w:hint="eastAsia"/>
                <w:color w:val="auto"/>
                <w:sz w:val="21"/>
                <w:szCs w:val="21"/>
                <w:highlight w:val="none"/>
              </w:rPr>
              <w:t>分包期间产生的差价及由此造成的损失均由承包人承担。同时发包人按照实际分包金额的20%予以罚款。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发包人有权要求承包人更换发包人认为不称职施工班组，承包人应无条件执行，新的管理人员或施工班组未在48小时内到位。</w:t>
            </w:r>
          </w:p>
        </w:tc>
        <w:tc>
          <w:tcPr>
            <w:tcW w:w="2270" w:type="dxa"/>
            <w:vAlign w:val="center"/>
          </w:tcPr>
          <w:p>
            <w:pPr>
              <w:rPr>
                <w:color w:val="auto"/>
                <w:sz w:val="21"/>
                <w:szCs w:val="21"/>
                <w:highlight w:val="none"/>
              </w:rPr>
            </w:pPr>
            <w:r>
              <w:rPr>
                <w:rFonts w:hint="eastAsia"/>
                <w:color w:val="auto"/>
                <w:sz w:val="21"/>
                <w:szCs w:val="21"/>
                <w:highlight w:val="none"/>
              </w:rPr>
              <w:t>支付5000元/次/天违约金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如出现承包人有转让行为，发包人有权解除合同，并保留索赔权力。</w:t>
            </w:r>
          </w:p>
        </w:tc>
        <w:tc>
          <w:tcPr>
            <w:tcW w:w="2270" w:type="dxa"/>
            <w:vAlign w:val="center"/>
          </w:tcPr>
          <w:p>
            <w:pPr>
              <w:rPr>
                <w:color w:val="auto"/>
                <w:sz w:val="21"/>
                <w:szCs w:val="21"/>
                <w:highlight w:val="none"/>
              </w:rPr>
            </w:pPr>
            <w:r>
              <w:rPr>
                <w:rFonts w:hint="eastAsia"/>
                <w:color w:val="auto"/>
                <w:sz w:val="21"/>
                <w:szCs w:val="21"/>
                <w:highlight w:val="none"/>
              </w:rPr>
              <w:t>支付违约金签约合同价的15%/次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如出现承包人未经监理人审查和发包人同意的分包行为，视为违约并处罚，承包人应在3天内纠正违约行为，否则视为再次违约。</w:t>
            </w:r>
          </w:p>
        </w:tc>
        <w:tc>
          <w:tcPr>
            <w:tcW w:w="2270" w:type="dxa"/>
            <w:vAlign w:val="center"/>
          </w:tcPr>
          <w:p>
            <w:pPr>
              <w:rPr>
                <w:color w:val="auto"/>
                <w:sz w:val="21"/>
                <w:szCs w:val="21"/>
                <w:highlight w:val="none"/>
              </w:rPr>
            </w:pPr>
            <w:r>
              <w:rPr>
                <w:rFonts w:hint="eastAsia"/>
                <w:color w:val="auto"/>
                <w:sz w:val="21"/>
                <w:szCs w:val="21"/>
                <w:highlight w:val="none"/>
              </w:rPr>
              <w:t>支付违约金1万元/次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如出现分包人将分包工程的任何部分再分包的行为，视为违约并处罚，承包人应在3天内纠正违约行为，否则视为再次违约。</w:t>
            </w:r>
          </w:p>
        </w:tc>
        <w:tc>
          <w:tcPr>
            <w:tcW w:w="2270" w:type="dxa"/>
            <w:vAlign w:val="center"/>
          </w:tcPr>
          <w:p>
            <w:pPr>
              <w:rPr>
                <w:color w:val="auto"/>
                <w:sz w:val="21"/>
                <w:szCs w:val="21"/>
                <w:highlight w:val="none"/>
              </w:rPr>
            </w:pPr>
            <w:r>
              <w:rPr>
                <w:rFonts w:hint="eastAsia"/>
                <w:color w:val="auto"/>
                <w:sz w:val="21"/>
                <w:szCs w:val="21"/>
                <w:highlight w:val="none"/>
              </w:rPr>
              <w:t>支付违约金1万元/次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如承包人有将其承包范围内全部工程肢解分包的行为，视为违约并处罚，承包人应在3天内纠正违约行为，否则视为再次违约。</w:t>
            </w:r>
          </w:p>
        </w:tc>
        <w:tc>
          <w:tcPr>
            <w:tcW w:w="2270" w:type="dxa"/>
            <w:vAlign w:val="center"/>
          </w:tcPr>
          <w:p>
            <w:pPr>
              <w:rPr>
                <w:color w:val="auto"/>
                <w:sz w:val="21"/>
                <w:szCs w:val="21"/>
                <w:highlight w:val="none"/>
              </w:rPr>
            </w:pPr>
            <w:r>
              <w:rPr>
                <w:rFonts w:hint="eastAsia"/>
                <w:color w:val="auto"/>
                <w:sz w:val="21"/>
                <w:szCs w:val="21"/>
                <w:highlight w:val="none"/>
              </w:rPr>
              <w:t>支付违约金签约合同价的15%/次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承包人应在合同签订后10天内将分包计划报发包人审批。</w:t>
            </w:r>
          </w:p>
        </w:tc>
        <w:tc>
          <w:tcPr>
            <w:tcW w:w="2270" w:type="dxa"/>
            <w:vAlign w:val="center"/>
          </w:tcPr>
          <w:p>
            <w:pPr>
              <w:rPr>
                <w:color w:val="auto"/>
                <w:sz w:val="21"/>
                <w:szCs w:val="21"/>
                <w:highlight w:val="none"/>
              </w:rPr>
            </w:pPr>
            <w:r>
              <w:rPr>
                <w:rFonts w:hint="eastAsia"/>
                <w:color w:val="auto"/>
                <w:sz w:val="21"/>
                <w:szCs w:val="21"/>
                <w:highlight w:val="none"/>
              </w:rPr>
              <w:t>支付违约金5000元/天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由于承包人未能及时对工程接口问题进行协调或未及时实施监理人接口指令而造成损失的。</w:t>
            </w:r>
          </w:p>
        </w:tc>
        <w:tc>
          <w:tcPr>
            <w:tcW w:w="2270" w:type="dxa"/>
            <w:vAlign w:val="center"/>
          </w:tcPr>
          <w:p>
            <w:pPr>
              <w:rPr>
                <w:color w:val="auto"/>
                <w:sz w:val="21"/>
                <w:szCs w:val="21"/>
                <w:highlight w:val="none"/>
              </w:rPr>
            </w:pPr>
            <w:r>
              <w:rPr>
                <w:rFonts w:hint="eastAsia"/>
                <w:color w:val="auto"/>
                <w:sz w:val="21"/>
                <w:szCs w:val="21"/>
                <w:highlight w:val="none"/>
              </w:rPr>
              <w:t>支付全部损失的100% 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若发包人或监理人发现有未签订劳动合同的劳动者在现场施工。</w:t>
            </w:r>
          </w:p>
        </w:tc>
        <w:tc>
          <w:tcPr>
            <w:tcW w:w="2270" w:type="dxa"/>
            <w:vAlign w:val="center"/>
          </w:tcPr>
          <w:p>
            <w:pPr>
              <w:rPr>
                <w:color w:val="auto"/>
                <w:sz w:val="21"/>
                <w:szCs w:val="21"/>
                <w:highlight w:val="none"/>
              </w:rPr>
            </w:pPr>
            <w:r>
              <w:rPr>
                <w:rFonts w:hint="eastAsia"/>
                <w:color w:val="auto"/>
                <w:sz w:val="21"/>
                <w:szCs w:val="21"/>
                <w:highlight w:val="none"/>
              </w:rPr>
              <w:t>1万元/人次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若发包人或监理人发现工地上有未签订劳务分包合同或劳务分包合同未进行备案的劳务企业人员在现场施工的。</w:t>
            </w:r>
          </w:p>
        </w:tc>
        <w:tc>
          <w:tcPr>
            <w:tcW w:w="2270" w:type="dxa"/>
            <w:vAlign w:val="center"/>
          </w:tcPr>
          <w:p>
            <w:pPr>
              <w:rPr>
                <w:color w:val="auto"/>
                <w:sz w:val="21"/>
                <w:szCs w:val="21"/>
                <w:highlight w:val="none"/>
              </w:rPr>
            </w:pPr>
            <w:r>
              <w:rPr>
                <w:rFonts w:hint="eastAsia"/>
                <w:color w:val="auto"/>
                <w:sz w:val="21"/>
                <w:szCs w:val="21"/>
                <w:highlight w:val="none"/>
              </w:rPr>
              <w:t>1万元/人次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竣工移交后，因质量问题造成在网上、报纸、电视等媒体曝光事件，对发包人社会形象造成不良影响的。</w:t>
            </w:r>
          </w:p>
        </w:tc>
        <w:tc>
          <w:tcPr>
            <w:tcW w:w="2270" w:type="dxa"/>
            <w:vAlign w:val="center"/>
          </w:tcPr>
          <w:p>
            <w:pPr>
              <w:rPr>
                <w:color w:val="auto"/>
                <w:sz w:val="21"/>
                <w:szCs w:val="21"/>
                <w:highlight w:val="none"/>
              </w:rPr>
            </w:pPr>
            <w:r>
              <w:rPr>
                <w:rFonts w:hint="eastAsia"/>
                <w:color w:val="auto"/>
                <w:sz w:val="21"/>
                <w:szCs w:val="21"/>
                <w:highlight w:val="none"/>
              </w:rPr>
              <w:t>结算总价5%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承包人原因造成发包人、监理人或其他分包人经济损失、信誉受损、或受到行政主管部门不良行为记录、扣分等行政处罚的。</w:t>
            </w:r>
          </w:p>
        </w:tc>
        <w:tc>
          <w:tcPr>
            <w:tcW w:w="2270" w:type="dxa"/>
            <w:vAlign w:val="center"/>
          </w:tcPr>
          <w:p>
            <w:pPr>
              <w:rPr>
                <w:color w:val="auto"/>
                <w:sz w:val="21"/>
                <w:szCs w:val="21"/>
                <w:highlight w:val="none"/>
              </w:rPr>
            </w:pPr>
            <w:r>
              <w:rPr>
                <w:rFonts w:hint="eastAsia"/>
                <w:color w:val="auto"/>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未实现施工承包合同文件中已经明确的本工程质量施工目标。</w:t>
            </w:r>
          </w:p>
        </w:tc>
        <w:tc>
          <w:tcPr>
            <w:tcW w:w="2270" w:type="dxa"/>
            <w:vAlign w:val="center"/>
          </w:tcPr>
          <w:p>
            <w:pPr>
              <w:rPr>
                <w:color w:val="auto"/>
                <w:sz w:val="21"/>
                <w:szCs w:val="21"/>
                <w:highlight w:val="none"/>
              </w:rPr>
            </w:pPr>
            <w:r>
              <w:rPr>
                <w:rFonts w:hint="eastAsia"/>
                <w:color w:val="auto"/>
                <w:sz w:val="21"/>
                <w:szCs w:val="21"/>
                <w:highlight w:val="none"/>
              </w:rPr>
              <w:t>按合同价的2%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如抽查发现一例工人未接受交底（或交底造假），处罚承包人，并要求工人三天内交底完成。</w:t>
            </w:r>
          </w:p>
        </w:tc>
        <w:tc>
          <w:tcPr>
            <w:tcW w:w="2270" w:type="dxa"/>
            <w:vAlign w:val="center"/>
          </w:tcPr>
          <w:p>
            <w:pPr>
              <w:rPr>
                <w:color w:val="auto"/>
                <w:sz w:val="21"/>
                <w:szCs w:val="21"/>
                <w:highlight w:val="none"/>
              </w:rPr>
            </w:pPr>
            <w:r>
              <w:rPr>
                <w:rFonts w:hint="eastAsia"/>
                <w:color w:val="auto"/>
                <w:sz w:val="21"/>
                <w:szCs w:val="21"/>
                <w:highlight w:val="none"/>
              </w:rPr>
              <w:t>2000元/人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color w:val="auto"/>
                <w:sz w:val="21"/>
                <w:szCs w:val="21"/>
                <w:highlight w:val="none"/>
              </w:rPr>
            </w:pPr>
          </w:p>
        </w:tc>
        <w:tc>
          <w:tcPr>
            <w:tcW w:w="5677" w:type="dxa"/>
            <w:vAlign w:val="center"/>
          </w:tcPr>
          <w:p>
            <w:pPr>
              <w:rPr>
                <w:color w:val="auto"/>
                <w:sz w:val="21"/>
                <w:szCs w:val="21"/>
                <w:highlight w:val="none"/>
              </w:rPr>
            </w:pPr>
            <w:r>
              <w:rPr>
                <w:rFonts w:hint="eastAsia"/>
                <w:color w:val="auto"/>
                <w:sz w:val="21"/>
                <w:szCs w:val="21"/>
                <w:highlight w:val="none"/>
              </w:rPr>
              <w:t>因承包人原因出现违反建设工程项目廉政协议的渎职行为。</w:t>
            </w:r>
          </w:p>
        </w:tc>
        <w:tc>
          <w:tcPr>
            <w:tcW w:w="2270" w:type="dxa"/>
            <w:vAlign w:val="center"/>
          </w:tcPr>
          <w:p>
            <w:pPr>
              <w:rPr>
                <w:color w:val="auto"/>
                <w:sz w:val="21"/>
                <w:szCs w:val="21"/>
                <w:highlight w:val="none"/>
              </w:rPr>
            </w:pPr>
            <w:r>
              <w:rPr>
                <w:rFonts w:hint="eastAsia"/>
                <w:color w:val="auto"/>
                <w:sz w:val="21"/>
                <w:szCs w:val="21"/>
                <w:highlight w:val="none"/>
              </w:rPr>
              <w:t>（1）出现一次，扣除违约金5000元，要求警告相关渎职人员；</w:t>
            </w:r>
          </w:p>
          <w:p>
            <w:pPr>
              <w:rPr>
                <w:color w:val="auto"/>
                <w:sz w:val="21"/>
                <w:szCs w:val="21"/>
                <w:highlight w:val="none"/>
              </w:rPr>
            </w:pPr>
            <w:r>
              <w:rPr>
                <w:rFonts w:hint="eastAsia"/>
                <w:color w:val="auto"/>
                <w:sz w:val="21"/>
                <w:szCs w:val="21"/>
                <w:highlight w:val="none"/>
              </w:rPr>
              <w:t>（2）出现第二次，罚款10000元，要求更换相关渎职人员并追究承包人的项目总负责人的相应责任；</w:t>
            </w:r>
          </w:p>
          <w:p>
            <w:pPr>
              <w:rPr>
                <w:color w:val="auto"/>
                <w:sz w:val="21"/>
                <w:szCs w:val="21"/>
                <w:highlight w:val="none"/>
              </w:rPr>
            </w:pPr>
            <w:r>
              <w:rPr>
                <w:rFonts w:hint="eastAsia"/>
                <w:color w:val="auto"/>
                <w:sz w:val="21"/>
                <w:szCs w:val="21"/>
                <w:highlight w:val="none"/>
              </w:rPr>
              <w:t>（3）出现三次以上，视为承包人重大违约，发包人有权解除本项目施工总承包合同，并按合同约定追究承包人违约责任。</w:t>
            </w:r>
          </w:p>
        </w:tc>
      </w:tr>
    </w:tbl>
    <w:p>
      <w:pPr>
        <w:rPr>
          <w:rFonts w:cs="Times New Roman"/>
          <w:b/>
          <w:bCs/>
          <w:color w:val="auto"/>
          <w:kern w:val="2"/>
          <w:sz w:val="21"/>
          <w:szCs w:val="21"/>
          <w:highlight w:val="none"/>
        </w:rPr>
      </w:pPr>
      <w:r>
        <w:rPr>
          <w:rFonts w:hint="eastAsia" w:cs="Times New Roman"/>
          <w:b/>
          <w:bCs/>
          <w:color w:val="auto"/>
          <w:kern w:val="2"/>
          <w:sz w:val="21"/>
          <w:szCs w:val="21"/>
          <w:highlight w:val="none"/>
        </w:rPr>
        <w:t>2、质量管理罚款细则</w:t>
      </w:r>
    </w:p>
    <w:tbl>
      <w:tblPr>
        <w:tblStyle w:val="18"/>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8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jc w:val="center"/>
              <w:rPr>
                <w:color w:val="auto"/>
                <w:sz w:val="21"/>
                <w:szCs w:val="21"/>
                <w:highlight w:val="none"/>
              </w:rPr>
            </w:pPr>
            <w:r>
              <w:rPr>
                <w:rFonts w:hint="eastAsia"/>
                <w:color w:val="auto"/>
                <w:sz w:val="21"/>
                <w:szCs w:val="21"/>
                <w:highlight w:val="none"/>
              </w:rPr>
              <w:t>序号</w:t>
            </w:r>
          </w:p>
        </w:tc>
        <w:tc>
          <w:tcPr>
            <w:tcW w:w="5680" w:type="dxa"/>
            <w:vAlign w:val="center"/>
          </w:tcPr>
          <w:p>
            <w:pPr>
              <w:jc w:val="center"/>
              <w:rPr>
                <w:color w:val="auto"/>
                <w:sz w:val="21"/>
                <w:szCs w:val="21"/>
                <w:highlight w:val="none"/>
              </w:rPr>
            </w:pPr>
            <w:r>
              <w:rPr>
                <w:rFonts w:hint="eastAsia"/>
                <w:color w:val="auto"/>
                <w:sz w:val="21"/>
                <w:szCs w:val="21"/>
                <w:highlight w:val="none"/>
              </w:rPr>
              <w:t>罚款条款</w:t>
            </w:r>
          </w:p>
        </w:tc>
        <w:tc>
          <w:tcPr>
            <w:tcW w:w="2272" w:type="dxa"/>
            <w:vAlign w:val="center"/>
          </w:tcPr>
          <w:p>
            <w:pPr>
              <w:jc w:val="center"/>
              <w:rPr>
                <w:color w:val="auto"/>
                <w:sz w:val="21"/>
                <w:szCs w:val="21"/>
                <w:highlight w:val="none"/>
              </w:rPr>
            </w:pPr>
            <w:r>
              <w:rPr>
                <w:rFonts w:hint="eastAsia"/>
                <w:color w:val="auto"/>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如出现施工组织设计或专项施工方案未经审批进行施工；未按时按要求上报施工方案，方案内未体现质量管理内容。</w:t>
            </w:r>
          </w:p>
        </w:tc>
        <w:tc>
          <w:tcPr>
            <w:tcW w:w="2272" w:type="dxa"/>
            <w:vAlign w:val="center"/>
          </w:tcPr>
          <w:p>
            <w:pPr>
              <w:rPr>
                <w:color w:val="auto"/>
                <w:sz w:val="21"/>
                <w:szCs w:val="21"/>
                <w:highlight w:val="none"/>
              </w:rPr>
            </w:pPr>
            <w:r>
              <w:rPr>
                <w:rFonts w:hint="eastAsia"/>
                <w:color w:val="auto"/>
                <w:sz w:val="21"/>
                <w:szCs w:val="21"/>
                <w:highlight w:val="none"/>
              </w:rPr>
              <w:t>2000/次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验收过程中同一工序发现二处或二次未进行自检。</w:t>
            </w:r>
          </w:p>
        </w:tc>
        <w:tc>
          <w:tcPr>
            <w:tcW w:w="2272" w:type="dxa"/>
            <w:vAlign w:val="center"/>
          </w:tcPr>
          <w:p>
            <w:pPr>
              <w:rPr>
                <w:color w:val="auto"/>
                <w:sz w:val="21"/>
                <w:szCs w:val="21"/>
                <w:highlight w:val="none"/>
              </w:rPr>
            </w:pPr>
            <w:r>
              <w:rPr>
                <w:rFonts w:hint="eastAsia"/>
                <w:color w:val="auto"/>
                <w:sz w:val="21"/>
                <w:szCs w:val="21"/>
                <w:highlight w:val="none"/>
              </w:rPr>
              <w:t>每次处罚款500元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对现场其他单位的产成品、半成品损坏。</w:t>
            </w:r>
          </w:p>
        </w:tc>
        <w:tc>
          <w:tcPr>
            <w:tcW w:w="2272" w:type="dxa"/>
            <w:vAlign w:val="center"/>
          </w:tcPr>
          <w:p>
            <w:pPr>
              <w:rPr>
                <w:color w:val="auto"/>
                <w:sz w:val="21"/>
                <w:szCs w:val="21"/>
                <w:highlight w:val="none"/>
              </w:rPr>
            </w:pPr>
            <w:r>
              <w:rPr>
                <w:rFonts w:hint="eastAsia"/>
                <w:color w:val="auto"/>
                <w:sz w:val="21"/>
                <w:szCs w:val="21"/>
                <w:highlight w:val="none"/>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施工过程中，上道工序未经过验收就进行下道工序施工。</w:t>
            </w:r>
          </w:p>
        </w:tc>
        <w:tc>
          <w:tcPr>
            <w:tcW w:w="2272" w:type="dxa"/>
            <w:vAlign w:val="center"/>
          </w:tcPr>
          <w:p>
            <w:pPr>
              <w:rPr>
                <w:color w:val="auto"/>
                <w:sz w:val="21"/>
                <w:szCs w:val="21"/>
                <w:highlight w:val="none"/>
              </w:rPr>
            </w:pPr>
            <w:r>
              <w:rPr>
                <w:rFonts w:hint="eastAsia"/>
                <w:color w:val="auto"/>
                <w:sz w:val="21"/>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关键工序的质量存在问题，故意隐瞒不报。</w:t>
            </w:r>
          </w:p>
        </w:tc>
        <w:tc>
          <w:tcPr>
            <w:tcW w:w="2272" w:type="dxa"/>
            <w:vAlign w:val="center"/>
          </w:tcPr>
          <w:p>
            <w:pPr>
              <w:rPr>
                <w:color w:val="auto"/>
                <w:sz w:val="21"/>
                <w:szCs w:val="21"/>
                <w:highlight w:val="none"/>
              </w:rPr>
            </w:pPr>
            <w:r>
              <w:rPr>
                <w:rFonts w:hint="eastAsia"/>
                <w:color w:val="auto"/>
                <w:sz w:val="21"/>
                <w:szCs w:val="21"/>
                <w:highlight w:val="none"/>
              </w:rPr>
              <w:t>5000元/处，同时承担受损单位相关损失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不按要求施工，造成质量事故或缺陷。</w:t>
            </w:r>
          </w:p>
        </w:tc>
        <w:tc>
          <w:tcPr>
            <w:tcW w:w="2272" w:type="dxa"/>
            <w:vAlign w:val="center"/>
          </w:tcPr>
          <w:p>
            <w:pPr>
              <w:rPr>
                <w:color w:val="auto"/>
                <w:sz w:val="21"/>
                <w:szCs w:val="21"/>
                <w:highlight w:val="none"/>
              </w:rPr>
            </w:pPr>
            <w:r>
              <w:rPr>
                <w:rFonts w:hint="eastAsia"/>
                <w:color w:val="auto"/>
                <w:sz w:val="21"/>
                <w:szCs w:val="21"/>
                <w:highlight w:val="none"/>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因质量问题造成安全隐患。</w:t>
            </w:r>
          </w:p>
        </w:tc>
        <w:tc>
          <w:tcPr>
            <w:tcW w:w="2272" w:type="dxa"/>
            <w:vAlign w:val="center"/>
          </w:tcPr>
          <w:p>
            <w:pPr>
              <w:rPr>
                <w:color w:val="auto"/>
                <w:sz w:val="21"/>
                <w:szCs w:val="21"/>
                <w:highlight w:val="none"/>
              </w:rPr>
            </w:pPr>
            <w:r>
              <w:rPr>
                <w:rFonts w:hint="eastAsia"/>
                <w:color w:val="auto"/>
                <w:sz w:val="21"/>
                <w:szCs w:val="21"/>
                <w:highlight w:val="none"/>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对监理下发的整改通知单未及时整改或整改不力且未回复。</w:t>
            </w:r>
          </w:p>
        </w:tc>
        <w:tc>
          <w:tcPr>
            <w:tcW w:w="2272" w:type="dxa"/>
            <w:vAlign w:val="center"/>
          </w:tcPr>
          <w:p>
            <w:pPr>
              <w:rPr>
                <w:color w:val="auto"/>
                <w:sz w:val="21"/>
                <w:szCs w:val="21"/>
                <w:highlight w:val="none"/>
              </w:rPr>
            </w:pPr>
            <w:r>
              <w:rPr>
                <w:rFonts w:hint="eastAsia"/>
                <w:color w:val="auto"/>
                <w:sz w:val="21"/>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上报归档的技术质保资料不真实，不准确。</w:t>
            </w:r>
          </w:p>
        </w:tc>
        <w:tc>
          <w:tcPr>
            <w:tcW w:w="2272" w:type="dxa"/>
            <w:vAlign w:val="center"/>
          </w:tcPr>
          <w:p>
            <w:pPr>
              <w:rPr>
                <w:color w:val="auto"/>
                <w:sz w:val="21"/>
                <w:szCs w:val="21"/>
                <w:highlight w:val="none"/>
              </w:rPr>
            </w:pPr>
            <w:r>
              <w:rPr>
                <w:rFonts w:hint="eastAsia"/>
                <w:color w:val="auto"/>
                <w:sz w:val="21"/>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材料未经报审擅自使用。</w:t>
            </w:r>
          </w:p>
        </w:tc>
        <w:tc>
          <w:tcPr>
            <w:tcW w:w="2272" w:type="dxa"/>
            <w:vAlign w:val="center"/>
          </w:tcPr>
          <w:p>
            <w:pPr>
              <w:rPr>
                <w:color w:val="auto"/>
                <w:sz w:val="21"/>
                <w:szCs w:val="21"/>
                <w:highlight w:val="none"/>
              </w:rPr>
            </w:pPr>
            <w:r>
              <w:rPr>
                <w:rFonts w:hint="eastAsia"/>
                <w:color w:val="auto"/>
                <w:sz w:val="21"/>
                <w:szCs w:val="21"/>
                <w:highlight w:val="none"/>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在项目实施过程中应选择合同材料品牌库内的品牌，在使用前报建设单位确认批准。承包人偷工减料、擅自更换合同约定的材料设备或提供的材料设备的产地、品牌、型号不符合合同约定的，应向发包方支付该部分材料设备价款3倍的违约金，如对发包方造成损失的，还应赔偿实际损失；承包人发生前述违约情形超过2次（含2次）的，发包方有权单方解除本合同，承包人已完成且验收合格的工程量按80%结算，同时承包人向发包方支付合同（暂定）总价20%的违约金。</w:t>
            </w:r>
          </w:p>
          <w:p>
            <w:pPr>
              <w:rPr>
                <w:color w:val="auto"/>
                <w:sz w:val="21"/>
                <w:szCs w:val="21"/>
                <w:highlight w:val="none"/>
              </w:rPr>
            </w:pPr>
            <w:r>
              <w:rPr>
                <w:rFonts w:hint="eastAsia"/>
                <w:color w:val="auto"/>
                <w:sz w:val="21"/>
                <w:szCs w:val="21"/>
                <w:highlight w:val="none"/>
              </w:rPr>
              <w:t>如选择材料品牌库范围外的品牌，其品牌品质应不低于参考品牌，并在使用前报建设单位确认批准。</w:t>
            </w:r>
          </w:p>
          <w:p>
            <w:pPr>
              <w:rPr>
                <w:color w:val="auto"/>
                <w:sz w:val="21"/>
                <w:szCs w:val="21"/>
                <w:highlight w:val="none"/>
              </w:rPr>
            </w:pPr>
            <w:r>
              <w:rPr>
                <w:rFonts w:hint="eastAsia"/>
                <w:color w:val="auto"/>
                <w:sz w:val="21"/>
                <w:szCs w:val="21"/>
                <w:highlight w:val="none"/>
              </w:rPr>
              <w:t>发包人有权根据实际情况调整材料设备厂家品牌，承包人拒绝执行的，则发包人有权选择自行供应此部分材料或设备，由此产生的费用及工期延误由承包人承担，发包人可另外向承包人进行材料设备价款3倍的处罚。</w:t>
            </w:r>
          </w:p>
        </w:tc>
        <w:tc>
          <w:tcPr>
            <w:tcW w:w="2272" w:type="dxa"/>
            <w:vAlign w:val="center"/>
          </w:tcPr>
          <w:p>
            <w:pPr>
              <w:rPr>
                <w:color w:val="auto"/>
                <w:sz w:val="21"/>
                <w:szCs w:val="21"/>
                <w:highlight w:val="none"/>
              </w:rPr>
            </w:pPr>
            <w:r>
              <w:rPr>
                <w:rFonts w:hint="eastAsia"/>
                <w:color w:val="auto"/>
                <w:sz w:val="21"/>
                <w:szCs w:val="21"/>
                <w:highlight w:val="none"/>
              </w:rPr>
              <w:t>处罚相应部分材料设备价款3倍违约金；承包人发生前述违约情形超过2次（含2次）的，违约金为合同（暂定）总价20%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未按招标/设计文件、技术标准施工。</w:t>
            </w:r>
          </w:p>
        </w:tc>
        <w:tc>
          <w:tcPr>
            <w:tcW w:w="2272" w:type="dxa"/>
            <w:vAlign w:val="center"/>
          </w:tcPr>
          <w:p>
            <w:pPr>
              <w:rPr>
                <w:color w:val="auto"/>
                <w:sz w:val="21"/>
                <w:szCs w:val="21"/>
                <w:highlight w:val="none"/>
              </w:rPr>
            </w:pPr>
            <w:r>
              <w:rPr>
                <w:rFonts w:hint="eastAsia"/>
                <w:color w:val="auto"/>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所有的分项工程必须事先进行样板施工，对不进行样板施工的，或样板施工验收不合格而擅自进行施工的，且工程质量达不到要求的；伪造或擅自涂改现场隐蔽验收记录。</w:t>
            </w:r>
          </w:p>
          <w:p>
            <w:pPr>
              <w:rPr>
                <w:color w:val="auto"/>
                <w:sz w:val="21"/>
                <w:szCs w:val="21"/>
                <w:highlight w:val="none"/>
              </w:rPr>
            </w:pPr>
            <w:r>
              <w:rPr>
                <w:rFonts w:hint="eastAsia"/>
                <w:color w:val="auto"/>
                <w:sz w:val="21"/>
                <w:szCs w:val="21"/>
                <w:highlight w:val="none"/>
              </w:rPr>
              <w:t>伪造材质检验单或提供不合格材质检验单。</w:t>
            </w:r>
          </w:p>
        </w:tc>
        <w:tc>
          <w:tcPr>
            <w:tcW w:w="2272" w:type="dxa"/>
            <w:vAlign w:val="center"/>
          </w:tcPr>
          <w:p>
            <w:pPr>
              <w:rPr>
                <w:color w:val="auto"/>
                <w:sz w:val="21"/>
                <w:szCs w:val="21"/>
                <w:highlight w:val="none"/>
              </w:rPr>
            </w:pPr>
            <w:r>
              <w:rPr>
                <w:rFonts w:hint="eastAsia"/>
                <w:color w:val="auto"/>
                <w:sz w:val="21"/>
                <w:szCs w:val="21"/>
                <w:highlight w:val="none"/>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建筑材料、配件及设备的进场检验不合格，采用列入禁止目录的技术、工艺、设备、材料和产品或者未按照建筑节能设计要求和建筑节能施工规范进行施工。</w:t>
            </w:r>
          </w:p>
        </w:tc>
        <w:tc>
          <w:tcPr>
            <w:tcW w:w="2272" w:type="dxa"/>
            <w:vAlign w:val="center"/>
          </w:tcPr>
          <w:p>
            <w:pPr>
              <w:rPr>
                <w:color w:val="auto"/>
                <w:sz w:val="21"/>
                <w:szCs w:val="21"/>
                <w:highlight w:val="none"/>
              </w:rPr>
            </w:pPr>
            <w:r>
              <w:rPr>
                <w:rFonts w:hint="eastAsia"/>
                <w:color w:val="auto"/>
                <w:sz w:val="21"/>
                <w:szCs w:val="21"/>
                <w:highlight w:val="none"/>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工程出现质量缺陷，且承包人3日内未处理或5日内未处理完毕。</w:t>
            </w:r>
          </w:p>
        </w:tc>
        <w:tc>
          <w:tcPr>
            <w:tcW w:w="2272" w:type="dxa"/>
            <w:vAlign w:val="center"/>
          </w:tcPr>
          <w:p>
            <w:pPr>
              <w:rPr>
                <w:color w:val="auto"/>
                <w:sz w:val="21"/>
                <w:szCs w:val="21"/>
                <w:highlight w:val="none"/>
              </w:rPr>
            </w:pPr>
            <w:r>
              <w:rPr>
                <w:rFonts w:hint="eastAsia"/>
                <w:color w:val="auto"/>
                <w:sz w:val="21"/>
                <w:szCs w:val="21"/>
                <w:highlight w:val="none"/>
              </w:rPr>
              <w:t>2000元/天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发生质量事故，造成经济损失10万元以上或工期延误7天以上。</w:t>
            </w:r>
          </w:p>
        </w:tc>
        <w:tc>
          <w:tcPr>
            <w:tcW w:w="2272" w:type="dxa"/>
            <w:vAlign w:val="center"/>
          </w:tcPr>
          <w:p>
            <w:pPr>
              <w:rPr>
                <w:color w:val="auto"/>
                <w:sz w:val="21"/>
                <w:szCs w:val="21"/>
                <w:highlight w:val="none"/>
              </w:rPr>
            </w:pPr>
            <w:r>
              <w:rPr>
                <w:rFonts w:hint="eastAsia"/>
                <w:color w:val="auto"/>
                <w:sz w:val="21"/>
                <w:szCs w:val="21"/>
                <w:highlight w:val="none"/>
              </w:rPr>
              <w:t>5万元/7天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发现重大质量隐患。</w:t>
            </w:r>
          </w:p>
        </w:tc>
        <w:tc>
          <w:tcPr>
            <w:tcW w:w="2272" w:type="dxa"/>
            <w:vAlign w:val="center"/>
          </w:tcPr>
          <w:p>
            <w:pPr>
              <w:rPr>
                <w:color w:val="auto"/>
                <w:sz w:val="21"/>
                <w:szCs w:val="21"/>
                <w:highlight w:val="none"/>
              </w:rPr>
            </w:pPr>
            <w:r>
              <w:rPr>
                <w:rFonts w:hint="eastAsia"/>
                <w:color w:val="auto"/>
                <w:sz w:val="21"/>
                <w:szCs w:val="21"/>
                <w:highlight w:val="none"/>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擅自修改设计并施工。</w:t>
            </w:r>
          </w:p>
        </w:tc>
        <w:tc>
          <w:tcPr>
            <w:tcW w:w="2272" w:type="dxa"/>
            <w:vAlign w:val="center"/>
          </w:tcPr>
          <w:p>
            <w:pPr>
              <w:rPr>
                <w:color w:val="auto"/>
                <w:sz w:val="21"/>
                <w:szCs w:val="21"/>
                <w:highlight w:val="none"/>
              </w:rPr>
            </w:pPr>
            <w:r>
              <w:rPr>
                <w:rFonts w:hint="eastAsia"/>
                <w:color w:val="auto"/>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弄虚作假，使用不合格的材料或设备。</w:t>
            </w:r>
          </w:p>
        </w:tc>
        <w:tc>
          <w:tcPr>
            <w:tcW w:w="2272" w:type="dxa"/>
            <w:vAlign w:val="center"/>
          </w:tcPr>
          <w:p>
            <w:pPr>
              <w:rPr>
                <w:color w:val="auto"/>
                <w:sz w:val="21"/>
                <w:szCs w:val="21"/>
                <w:highlight w:val="none"/>
              </w:rPr>
            </w:pPr>
            <w:r>
              <w:rPr>
                <w:rFonts w:hint="eastAsia"/>
                <w:color w:val="auto"/>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被责令停工后仍继续施工或被责令整改，拒不整改或整改后仍不合格。</w:t>
            </w:r>
          </w:p>
        </w:tc>
        <w:tc>
          <w:tcPr>
            <w:tcW w:w="2272" w:type="dxa"/>
            <w:vAlign w:val="center"/>
          </w:tcPr>
          <w:p>
            <w:pPr>
              <w:rPr>
                <w:color w:val="auto"/>
                <w:sz w:val="21"/>
                <w:szCs w:val="21"/>
                <w:highlight w:val="none"/>
              </w:rPr>
            </w:pPr>
            <w:r>
              <w:rPr>
                <w:rFonts w:hint="eastAsia"/>
                <w:color w:val="auto"/>
                <w:sz w:val="21"/>
                <w:szCs w:val="21"/>
                <w:highlight w:val="none"/>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发生重大质量问题未及时返工。</w:t>
            </w:r>
          </w:p>
        </w:tc>
        <w:tc>
          <w:tcPr>
            <w:tcW w:w="2272" w:type="dxa"/>
            <w:vAlign w:val="center"/>
          </w:tcPr>
          <w:p>
            <w:pPr>
              <w:rPr>
                <w:color w:val="auto"/>
                <w:sz w:val="21"/>
                <w:szCs w:val="21"/>
                <w:highlight w:val="none"/>
              </w:rPr>
            </w:pPr>
            <w:r>
              <w:rPr>
                <w:rFonts w:hint="eastAsia"/>
                <w:color w:val="auto"/>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承包人违章施工或施工质量不符合规范要求，而造成总工程或单项工程的质量事故，承包人须按发包方要求进行整改，费用由承包人承担，工期不予顺延；同时发包方有权单方解除本合同，承包人按以下标准向发包方支付违约金：一般质量安全事故违约金10万元/次，重大质量安全事故违约金50万元/次。</w:t>
            </w:r>
          </w:p>
        </w:tc>
        <w:tc>
          <w:tcPr>
            <w:tcW w:w="2272" w:type="dxa"/>
            <w:vAlign w:val="center"/>
          </w:tcPr>
          <w:p>
            <w:pPr>
              <w:rPr>
                <w:color w:val="auto"/>
                <w:sz w:val="21"/>
                <w:szCs w:val="21"/>
                <w:highlight w:val="none"/>
              </w:rPr>
            </w:pPr>
            <w:r>
              <w:rPr>
                <w:rFonts w:hint="eastAsia"/>
                <w:color w:val="auto"/>
                <w:sz w:val="21"/>
                <w:szCs w:val="21"/>
                <w:highlight w:val="none"/>
              </w:rPr>
              <w:t>一般质量安全事故：10万元/次；重大质量安全事故：50万元/次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kern w:val="2"/>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质量管理制度不健全或落实不到位，质量管理混乱。</w:t>
            </w:r>
          </w:p>
        </w:tc>
        <w:tc>
          <w:tcPr>
            <w:tcW w:w="2272" w:type="dxa"/>
            <w:vAlign w:val="center"/>
          </w:tcPr>
          <w:p>
            <w:pPr>
              <w:rPr>
                <w:color w:val="auto"/>
                <w:sz w:val="21"/>
                <w:szCs w:val="21"/>
                <w:highlight w:val="none"/>
              </w:rPr>
            </w:pPr>
            <w:r>
              <w:rPr>
                <w:rFonts w:hint="eastAsia"/>
                <w:color w:val="auto"/>
                <w:sz w:val="21"/>
                <w:szCs w:val="21"/>
                <w:highlight w:val="none"/>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5680" w:type="dxa"/>
            <w:vAlign w:val="center"/>
          </w:tcPr>
          <w:p>
            <w:pPr>
              <w:rPr>
                <w:color w:val="auto"/>
                <w:sz w:val="21"/>
                <w:szCs w:val="21"/>
                <w:highlight w:val="none"/>
              </w:rPr>
            </w:pPr>
            <w:r>
              <w:rPr>
                <w:rFonts w:hint="eastAsia"/>
                <w:color w:val="auto"/>
                <w:sz w:val="21"/>
                <w:szCs w:val="21"/>
                <w:highlight w:val="none"/>
              </w:rPr>
              <w:t>工程施工过程中出现工程质量问题的，承包人须按发包方要求进行整改，费用由承包人承担，工期不予顺延；质量问题每出现一次，承包人应向发包方支付人民币1万元的违约金，出现三次以上（含三次）的，发包方有权单方解除本合同，合同解除后，对承包人已完成且验收合格的工程量按80%结算，同时承包人向发包方支付合同（暂定）总价20%的违约金。</w:t>
            </w:r>
          </w:p>
        </w:tc>
        <w:tc>
          <w:tcPr>
            <w:tcW w:w="2272" w:type="dxa"/>
            <w:vAlign w:val="center"/>
          </w:tcPr>
          <w:p>
            <w:pPr>
              <w:rPr>
                <w:color w:val="auto"/>
                <w:sz w:val="21"/>
                <w:szCs w:val="21"/>
                <w:highlight w:val="none"/>
              </w:rPr>
            </w:pPr>
            <w:r>
              <w:rPr>
                <w:rFonts w:hint="eastAsia"/>
                <w:color w:val="auto"/>
                <w:sz w:val="21"/>
                <w:szCs w:val="21"/>
                <w:highlight w:val="none"/>
              </w:rPr>
              <w:t>1万元/次，出现三次以上（含三次）的，支付合同（暂定）总价20%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color w:val="auto"/>
                <w:sz w:val="21"/>
                <w:szCs w:val="21"/>
                <w:highlight w:val="none"/>
              </w:rPr>
            </w:pPr>
          </w:p>
        </w:tc>
        <w:tc>
          <w:tcPr>
            <w:tcW w:w="7952" w:type="dxa"/>
            <w:gridSpan w:val="2"/>
            <w:vAlign w:val="center"/>
          </w:tcPr>
          <w:p>
            <w:pPr>
              <w:rPr>
                <w:color w:val="auto"/>
                <w:sz w:val="21"/>
                <w:szCs w:val="21"/>
                <w:highlight w:val="none"/>
              </w:rPr>
            </w:pPr>
            <w:r>
              <w:rPr>
                <w:rFonts w:hint="eastAsia"/>
                <w:color w:val="auto"/>
                <w:sz w:val="21"/>
                <w:szCs w:val="21"/>
                <w:highlight w:val="none"/>
              </w:rPr>
              <w:t>工程竣工验收通过后，承包人不得因经济纠纷而拒绝交付工程，否则视为承包人违约，承包人应按本合同规定的竣工验收日期延误责任向发包人支付违约金，并承担未向发包人移交工程而造成发包人向使用单位交楼时间延误引起的索赔费用和一切责任。发包人有权采取相应措施维护自身的合法权益。</w:t>
            </w:r>
          </w:p>
        </w:tc>
      </w:tr>
    </w:tbl>
    <w:p>
      <w:pPr>
        <w:rPr>
          <w:color w:val="auto"/>
          <w:szCs w:val="21"/>
          <w:highlight w:val="none"/>
        </w:rPr>
      </w:pPr>
    </w:p>
    <w:p>
      <w:pPr>
        <w:rPr>
          <w:rFonts w:cs="Times New Roman"/>
          <w:b/>
          <w:bCs/>
          <w:color w:val="auto"/>
          <w:kern w:val="2"/>
          <w:sz w:val="21"/>
          <w:szCs w:val="21"/>
          <w:highlight w:val="none"/>
        </w:rPr>
      </w:pPr>
      <w:r>
        <w:rPr>
          <w:rFonts w:hint="eastAsia" w:cs="Times New Roman"/>
          <w:b/>
          <w:bCs/>
          <w:color w:val="auto"/>
          <w:kern w:val="2"/>
          <w:sz w:val="21"/>
          <w:szCs w:val="21"/>
          <w:highlight w:val="none"/>
        </w:rPr>
        <w:t>3、现场质量状态罚款细则</w:t>
      </w:r>
    </w:p>
    <w:tbl>
      <w:tblPr>
        <w:tblStyle w:val="18"/>
        <w:tblW w:w="8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683"/>
        <w:gridCol w:w="954"/>
        <w:gridCol w:w="4999"/>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Align w:val="center"/>
          </w:tcPr>
          <w:p>
            <w:pPr>
              <w:jc w:val="center"/>
              <w:rPr>
                <w:color w:val="auto"/>
                <w:sz w:val="21"/>
                <w:szCs w:val="21"/>
                <w:highlight w:val="none"/>
              </w:rPr>
            </w:pPr>
            <w:r>
              <w:rPr>
                <w:rFonts w:hint="eastAsia"/>
                <w:color w:val="auto"/>
                <w:sz w:val="21"/>
                <w:szCs w:val="21"/>
                <w:highlight w:val="none"/>
              </w:rPr>
              <w:t>序号</w:t>
            </w:r>
          </w:p>
        </w:tc>
        <w:tc>
          <w:tcPr>
            <w:tcW w:w="1637" w:type="dxa"/>
            <w:gridSpan w:val="2"/>
            <w:vAlign w:val="center"/>
          </w:tcPr>
          <w:p>
            <w:pPr>
              <w:jc w:val="center"/>
              <w:rPr>
                <w:color w:val="auto"/>
                <w:sz w:val="21"/>
                <w:szCs w:val="21"/>
                <w:highlight w:val="none"/>
              </w:rPr>
            </w:pPr>
            <w:r>
              <w:rPr>
                <w:rFonts w:hint="eastAsia"/>
                <w:color w:val="auto"/>
                <w:sz w:val="21"/>
                <w:szCs w:val="21"/>
                <w:highlight w:val="none"/>
              </w:rPr>
              <w:t>检查项目</w:t>
            </w:r>
          </w:p>
        </w:tc>
        <w:tc>
          <w:tcPr>
            <w:tcW w:w="4999" w:type="dxa"/>
            <w:vAlign w:val="center"/>
          </w:tcPr>
          <w:p>
            <w:pPr>
              <w:jc w:val="center"/>
              <w:rPr>
                <w:color w:val="auto"/>
                <w:sz w:val="21"/>
                <w:szCs w:val="21"/>
                <w:highlight w:val="none"/>
              </w:rPr>
            </w:pPr>
            <w:r>
              <w:rPr>
                <w:rFonts w:hint="eastAsia"/>
                <w:color w:val="auto"/>
                <w:sz w:val="21"/>
                <w:szCs w:val="21"/>
                <w:highlight w:val="none"/>
              </w:rPr>
              <w:t>质量状态违规行为</w:t>
            </w:r>
          </w:p>
        </w:tc>
        <w:tc>
          <w:tcPr>
            <w:tcW w:w="1337" w:type="dxa"/>
            <w:vAlign w:val="center"/>
          </w:tcPr>
          <w:p>
            <w:pPr>
              <w:jc w:val="center"/>
              <w:rPr>
                <w:color w:val="auto"/>
                <w:sz w:val="21"/>
                <w:szCs w:val="21"/>
                <w:highlight w:val="none"/>
              </w:rPr>
            </w:pPr>
            <w:r>
              <w:rPr>
                <w:rFonts w:hint="eastAsia"/>
                <w:color w:val="auto"/>
                <w:sz w:val="21"/>
                <w:szCs w:val="21"/>
                <w:highlight w:val="none"/>
              </w:rPr>
              <w:t>违约金</w:t>
            </w:r>
          </w:p>
          <w:p>
            <w:pPr>
              <w:jc w:val="center"/>
              <w:rPr>
                <w:color w:val="auto"/>
                <w:sz w:val="21"/>
                <w:szCs w:val="21"/>
                <w:highlight w:val="none"/>
              </w:rPr>
            </w:pPr>
            <w:r>
              <w:rPr>
                <w:rFonts w:hint="eastAsia"/>
                <w:color w:val="auto"/>
                <w:sz w:val="21"/>
                <w:szCs w:val="21"/>
                <w:highlight w:val="none"/>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jc w:val="center"/>
              <w:rPr>
                <w:rFonts w:eastAsiaTheme="minorEastAsia"/>
                <w:color w:val="auto"/>
                <w:szCs w:val="21"/>
                <w:highlight w:val="none"/>
              </w:rPr>
            </w:pPr>
            <w:r>
              <w:rPr>
                <w:rFonts w:hint="eastAsia"/>
                <w:color w:val="auto"/>
                <w:szCs w:val="21"/>
                <w:highlight w:val="none"/>
              </w:rPr>
              <w:t>1</w:t>
            </w:r>
          </w:p>
        </w:tc>
        <w:tc>
          <w:tcPr>
            <w:tcW w:w="683" w:type="dxa"/>
            <w:vMerge w:val="restart"/>
            <w:vAlign w:val="center"/>
          </w:tcPr>
          <w:p>
            <w:pPr>
              <w:rPr>
                <w:color w:val="auto"/>
                <w:sz w:val="21"/>
                <w:szCs w:val="21"/>
                <w:highlight w:val="none"/>
              </w:rPr>
            </w:pPr>
            <w:r>
              <w:rPr>
                <w:rFonts w:hint="eastAsia"/>
                <w:color w:val="auto"/>
                <w:sz w:val="21"/>
                <w:szCs w:val="21"/>
                <w:highlight w:val="none"/>
              </w:rPr>
              <w:t>建筑装饰</w:t>
            </w:r>
          </w:p>
          <w:p>
            <w:pPr>
              <w:rPr>
                <w:color w:val="auto"/>
                <w:sz w:val="21"/>
                <w:szCs w:val="21"/>
                <w:highlight w:val="none"/>
              </w:rPr>
            </w:pPr>
            <w:r>
              <w:rPr>
                <w:rFonts w:hint="eastAsia"/>
                <w:color w:val="auto"/>
                <w:sz w:val="21"/>
                <w:szCs w:val="21"/>
                <w:highlight w:val="none"/>
              </w:rPr>
              <w:t>装修</w:t>
            </w:r>
          </w:p>
        </w:tc>
        <w:tc>
          <w:tcPr>
            <w:tcW w:w="954" w:type="dxa"/>
            <w:vMerge w:val="restart"/>
            <w:vAlign w:val="center"/>
          </w:tcPr>
          <w:p>
            <w:pPr>
              <w:rPr>
                <w:color w:val="auto"/>
                <w:sz w:val="21"/>
                <w:szCs w:val="21"/>
                <w:highlight w:val="none"/>
              </w:rPr>
            </w:pPr>
            <w:r>
              <w:rPr>
                <w:rFonts w:hint="eastAsia"/>
                <w:color w:val="auto"/>
                <w:sz w:val="21"/>
                <w:szCs w:val="21"/>
                <w:highlight w:val="none"/>
              </w:rPr>
              <w:t>地面、墙面</w:t>
            </w:r>
          </w:p>
        </w:tc>
        <w:tc>
          <w:tcPr>
            <w:tcW w:w="4999" w:type="dxa"/>
            <w:vAlign w:val="center"/>
          </w:tcPr>
          <w:p>
            <w:pPr>
              <w:rPr>
                <w:color w:val="auto"/>
                <w:sz w:val="21"/>
                <w:szCs w:val="21"/>
                <w:highlight w:val="none"/>
              </w:rPr>
            </w:pPr>
            <w:r>
              <w:rPr>
                <w:rFonts w:hint="eastAsia"/>
                <w:color w:val="auto"/>
                <w:sz w:val="21"/>
                <w:szCs w:val="21"/>
                <w:highlight w:val="none"/>
              </w:rPr>
              <w:t>地面、墙面面层与基层粘结不牢固，存在空鼓面积超过规范要求的现象</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地面、墙面存在开裂、渗水、起砂等现象</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restart"/>
            <w:vAlign w:val="center"/>
          </w:tcPr>
          <w:p>
            <w:pPr>
              <w:rPr>
                <w:color w:val="auto"/>
                <w:sz w:val="21"/>
                <w:szCs w:val="21"/>
                <w:highlight w:val="none"/>
              </w:rPr>
            </w:pPr>
            <w:r>
              <w:rPr>
                <w:rFonts w:hint="eastAsia"/>
                <w:color w:val="auto"/>
                <w:sz w:val="21"/>
                <w:szCs w:val="21"/>
                <w:highlight w:val="none"/>
              </w:rPr>
              <w:t>抹灰</w:t>
            </w:r>
          </w:p>
        </w:tc>
        <w:tc>
          <w:tcPr>
            <w:tcW w:w="4999" w:type="dxa"/>
            <w:vAlign w:val="center"/>
          </w:tcPr>
          <w:p>
            <w:pPr>
              <w:rPr>
                <w:color w:val="auto"/>
                <w:sz w:val="21"/>
                <w:szCs w:val="21"/>
                <w:highlight w:val="none"/>
              </w:rPr>
            </w:pPr>
            <w:r>
              <w:rPr>
                <w:rFonts w:hint="eastAsia"/>
                <w:color w:val="auto"/>
                <w:sz w:val="21"/>
                <w:szCs w:val="21"/>
                <w:highlight w:val="none"/>
              </w:rPr>
              <w:t>不同材料交界面抹灰时未张贴加强网，加强网搭接及宽度不符合规范要求</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抹灰表面允许偏差超出规范要求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分格缝设置不符合规范要求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有排水要求的部位未按规范及设计要求设置滴水（槽）</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各抹灰层之间及抹灰层与基底之间存在脱层、空鼓、裂缝、色差等现象</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restart"/>
            <w:vAlign w:val="center"/>
          </w:tcPr>
          <w:p>
            <w:pPr>
              <w:rPr>
                <w:color w:val="auto"/>
                <w:sz w:val="21"/>
                <w:szCs w:val="21"/>
                <w:highlight w:val="none"/>
              </w:rPr>
            </w:pPr>
            <w:r>
              <w:rPr>
                <w:rFonts w:hint="eastAsia"/>
                <w:color w:val="auto"/>
                <w:sz w:val="21"/>
                <w:szCs w:val="21"/>
                <w:highlight w:val="none"/>
              </w:rPr>
              <w:t>门窗</w:t>
            </w:r>
          </w:p>
        </w:tc>
        <w:tc>
          <w:tcPr>
            <w:tcW w:w="4999" w:type="dxa"/>
            <w:vAlign w:val="center"/>
          </w:tcPr>
          <w:p>
            <w:pPr>
              <w:rPr>
                <w:color w:val="auto"/>
                <w:sz w:val="21"/>
                <w:szCs w:val="21"/>
                <w:highlight w:val="none"/>
              </w:rPr>
            </w:pPr>
            <w:r>
              <w:rPr>
                <w:rFonts w:hint="eastAsia"/>
                <w:color w:val="auto"/>
                <w:sz w:val="21"/>
                <w:szCs w:val="21"/>
                <w:highlight w:val="none"/>
              </w:rPr>
              <w:t>门窗洞口预留尺寸不符合图纸设计及规范要求</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门窗安装施工顺序及安装方法不符合规范要求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门窗与墙体间隙之间未填嵌密实，塑料门窗填缝未采用密闭胶封闭</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玻璃安装方法不符合设计及规范要求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门窗淋水试验不满足规范要求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特种门的安装方法不符合规范及设计要求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restart"/>
            <w:vAlign w:val="center"/>
          </w:tcPr>
          <w:p>
            <w:pPr>
              <w:rPr>
                <w:color w:val="auto"/>
                <w:sz w:val="21"/>
                <w:szCs w:val="21"/>
                <w:highlight w:val="none"/>
              </w:rPr>
            </w:pPr>
            <w:r>
              <w:rPr>
                <w:rFonts w:hint="eastAsia"/>
                <w:color w:val="auto"/>
                <w:sz w:val="21"/>
                <w:szCs w:val="21"/>
                <w:highlight w:val="none"/>
              </w:rPr>
              <w:t>吊顶</w:t>
            </w:r>
          </w:p>
        </w:tc>
        <w:tc>
          <w:tcPr>
            <w:tcW w:w="4999" w:type="dxa"/>
            <w:vAlign w:val="center"/>
          </w:tcPr>
          <w:p>
            <w:pPr>
              <w:rPr>
                <w:color w:val="auto"/>
                <w:sz w:val="21"/>
                <w:szCs w:val="21"/>
                <w:highlight w:val="none"/>
              </w:rPr>
            </w:pPr>
            <w:r>
              <w:rPr>
                <w:rFonts w:hint="eastAsia"/>
                <w:color w:val="auto"/>
                <w:sz w:val="21"/>
                <w:szCs w:val="21"/>
                <w:highlight w:val="none"/>
              </w:rPr>
              <w:t>吊顶及相关构配件不符合规范及设计要求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吊杆、龙骨的材质、规格、安装间距及连接方式不符合相关规范及设计要求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吊顶工程中相关构配件未按照规范及设计要求进行防火、防腐、防锈处理</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restart"/>
            <w:vAlign w:val="center"/>
          </w:tcPr>
          <w:p>
            <w:pPr>
              <w:rPr>
                <w:color w:val="auto"/>
                <w:sz w:val="21"/>
                <w:szCs w:val="21"/>
                <w:highlight w:val="none"/>
              </w:rPr>
            </w:pPr>
            <w:r>
              <w:rPr>
                <w:rFonts w:hint="eastAsia"/>
                <w:color w:val="auto"/>
                <w:sz w:val="21"/>
                <w:szCs w:val="21"/>
                <w:highlight w:val="none"/>
              </w:rPr>
              <w:t>饰面板（砖）</w:t>
            </w:r>
          </w:p>
        </w:tc>
        <w:tc>
          <w:tcPr>
            <w:tcW w:w="4999" w:type="dxa"/>
            <w:vAlign w:val="center"/>
          </w:tcPr>
          <w:p>
            <w:pPr>
              <w:rPr>
                <w:color w:val="auto"/>
                <w:sz w:val="21"/>
                <w:szCs w:val="21"/>
                <w:highlight w:val="none"/>
              </w:rPr>
            </w:pPr>
            <w:r>
              <w:rPr>
                <w:rFonts w:hint="eastAsia"/>
                <w:color w:val="auto"/>
                <w:sz w:val="21"/>
                <w:szCs w:val="21"/>
                <w:highlight w:val="none"/>
              </w:rPr>
              <w:t>饰面板（砖）的规格、颜色和性能不符合规范及设计要求</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饰面板安装工程的预埋件、连接件的数量、规格、位置、连接方法、防腐处理不符合设计及规范要求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饰面板（砖）安装不牢固、存在空鼓面积超出规范要求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饰面板（砖）表面存在色差、裂缝</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有排水要求的部位未设置滴水线（槽），泛水坡度不符合设计要求</w:t>
            </w:r>
          </w:p>
        </w:tc>
        <w:tc>
          <w:tcPr>
            <w:tcW w:w="1337" w:type="dxa"/>
            <w:vAlign w:val="center"/>
          </w:tcPr>
          <w:p>
            <w:pPr>
              <w:rPr>
                <w:color w:val="auto"/>
                <w:sz w:val="21"/>
                <w:szCs w:val="21"/>
                <w:highlight w:val="none"/>
              </w:rPr>
            </w:pPr>
            <w:r>
              <w:rPr>
                <w:rFonts w:hint="eastAsia"/>
                <w:color w:val="auto"/>
                <w:sz w:val="21"/>
                <w:szCs w:val="21"/>
                <w:highlight w:val="none"/>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jc w:val="center"/>
              <w:rPr>
                <w:rFonts w:eastAsiaTheme="minorEastAsia"/>
                <w:color w:val="auto"/>
                <w:szCs w:val="21"/>
                <w:highlight w:val="none"/>
              </w:rPr>
            </w:pPr>
            <w:r>
              <w:rPr>
                <w:rFonts w:hint="eastAsia"/>
                <w:color w:val="auto"/>
                <w:szCs w:val="21"/>
                <w:highlight w:val="none"/>
              </w:rPr>
              <w:t>2</w:t>
            </w:r>
          </w:p>
        </w:tc>
        <w:tc>
          <w:tcPr>
            <w:tcW w:w="683" w:type="dxa"/>
            <w:vMerge w:val="restart"/>
            <w:vAlign w:val="center"/>
          </w:tcPr>
          <w:p>
            <w:pPr>
              <w:rPr>
                <w:color w:val="auto"/>
                <w:sz w:val="21"/>
                <w:szCs w:val="21"/>
                <w:highlight w:val="none"/>
              </w:rPr>
            </w:pPr>
            <w:r>
              <w:rPr>
                <w:rFonts w:hint="eastAsia"/>
                <w:color w:val="auto"/>
                <w:sz w:val="21"/>
                <w:szCs w:val="21"/>
                <w:highlight w:val="none"/>
              </w:rPr>
              <w:t>安装工程</w:t>
            </w:r>
          </w:p>
        </w:tc>
        <w:tc>
          <w:tcPr>
            <w:tcW w:w="954" w:type="dxa"/>
            <w:vMerge w:val="restart"/>
            <w:vAlign w:val="center"/>
          </w:tcPr>
          <w:p>
            <w:pPr>
              <w:rPr>
                <w:color w:val="auto"/>
                <w:sz w:val="21"/>
                <w:szCs w:val="21"/>
                <w:highlight w:val="none"/>
              </w:rPr>
            </w:pPr>
            <w:r>
              <w:rPr>
                <w:rFonts w:hint="eastAsia"/>
                <w:color w:val="auto"/>
                <w:sz w:val="21"/>
                <w:szCs w:val="21"/>
                <w:highlight w:val="none"/>
              </w:rPr>
              <w:t>建筑给水、排水</w:t>
            </w:r>
          </w:p>
        </w:tc>
        <w:tc>
          <w:tcPr>
            <w:tcW w:w="4999" w:type="dxa"/>
            <w:vAlign w:val="center"/>
          </w:tcPr>
          <w:p>
            <w:pPr>
              <w:rPr>
                <w:color w:val="auto"/>
                <w:sz w:val="21"/>
                <w:szCs w:val="21"/>
                <w:highlight w:val="none"/>
              </w:rPr>
            </w:pPr>
            <w:r>
              <w:rPr>
                <w:rFonts w:hint="eastAsia"/>
                <w:color w:val="auto"/>
                <w:sz w:val="21"/>
                <w:szCs w:val="21"/>
                <w:highlight w:val="none"/>
              </w:rPr>
              <w:t>排水管道原材及配件与招标文件及设计要求不相符</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排水管道安装与连接不符合规范及设计要求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隐蔽或埋地排水管道未在隐蔽前做灌水试验</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排水塑料管道在楼板下未设防火圈或防火套管</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消防水管保温施工不符合规范及设计要求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自动喷水灭火系统安装不符合规范及设计要求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restart"/>
            <w:vAlign w:val="center"/>
          </w:tcPr>
          <w:p>
            <w:pPr>
              <w:rPr>
                <w:color w:val="auto"/>
                <w:sz w:val="21"/>
                <w:szCs w:val="21"/>
                <w:highlight w:val="none"/>
              </w:rPr>
            </w:pPr>
            <w:r>
              <w:rPr>
                <w:rFonts w:hint="eastAsia"/>
                <w:color w:val="auto"/>
                <w:sz w:val="21"/>
                <w:szCs w:val="21"/>
                <w:highlight w:val="none"/>
              </w:rPr>
              <w:t>通风与空调</w:t>
            </w:r>
          </w:p>
        </w:tc>
        <w:tc>
          <w:tcPr>
            <w:tcW w:w="4999" w:type="dxa"/>
            <w:vAlign w:val="center"/>
          </w:tcPr>
          <w:p>
            <w:pPr>
              <w:rPr>
                <w:color w:val="auto"/>
                <w:sz w:val="21"/>
                <w:szCs w:val="21"/>
                <w:highlight w:val="none"/>
              </w:rPr>
            </w:pPr>
            <w:r>
              <w:rPr>
                <w:rFonts w:hint="eastAsia"/>
                <w:color w:val="auto"/>
                <w:sz w:val="21"/>
                <w:szCs w:val="21"/>
                <w:highlight w:val="none"/>
              </w:rPr>
              <w:t>风管原材及配件不满足规范及设计要求</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防火风管的本体、框架与固定材料、密封垫料不是不燃材料</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风管制作、安装不符合设计及规范要求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镀锌钢板及各类有保护层的钢板、法兰连接方法不符合规范要求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通风设备安装不符合规范及设计要求，通风系统试验不符合规范及设计要求</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restart"/>
            <w:vAlign w:val="center"/>
          </w:tcPr>
          <w:p>
            <w:pPr>
              <w:rPr>
                <w:color w:val="auto"/>
                <w:sz w:val="21"/>
                <w:szCs w:val="21"/>
                <w:highlight w:val="none"/>
              </w:rPr>
            </w:pPr>
            <w:r>
              <w:rPr>
                <w:rFonts w:hint="eastAsia"/>
                <w:color w:val="auto"/>
                <w:sz w:val="21"/>
                <w:szCs w:val="21"/>
                <w:highlight w:val="none"/>
              </w:rPr>
              <w:t>建筑电气</w:t>
            </w:r>
          </w:p>
        </w:tc>
        <w:tc>
          <w:tcPr>
            <w:tcW w:w="4999" w:type="dxa"/>
            <w:vAlign w:val="center"/>
          </w:tcPr>
          <w:p>
            <w:pPr>
              <w:rPr>
                <w:color w:val="auto"/>
                <w:sz w:val="21"/>
                <w:szCs w:val="21"/>
                <w:highlight w:val="none"/>
              </w:rPr>
            </w:pPr>
            <w:r>
              <w:rPr>
                <w:rFonts w:hint="eastAsia"/>
                <w:color w:val="auto"/>
                <w:sz w:val="21"/>
                <w:szCs w:val="21"/>
                <w:highlight w:val="none"/>
              </w:rPr>
              <w:t>主要设备、材料、成品及半成品与招标文件和设计要求不相符</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电缆、电线穿管的安装不符合规范及设计要求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电气设备安装不符合规范及设计要求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接地线互相连接方式不符合规范及设计要求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金属电缆桥架、线槽等部位未进行接地连接</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电缆桥架安装、铺设不符合要求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穿越不同防火分区的桥架未进行防火分隔</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室外埋地电缆导管埋深不符合规范及设计要求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插座接线、安装高度不符合要求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插座、开关不符合规范及设计要求、盖板固定不牢固</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电线未按规范要求进行复试合格</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火灾自动报警系统及相关配件安装不符合规范及设计要求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人防工程中所涉及的密闭穿墙短管的制作及安装不符合规范及设计要求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电气系统试验不符合规范及设计要求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jc w:val="center"/>
              <w:rPr>
                <w:rFonts w:eastAsiaTheme="minorEastAsia"/>
                <w:color w:val="auto"/>
                <w:szCs w:val="21"/>
                <w:highlight w:val="none"/>
              </w:rPr>
            </w:pPr>
            <w:r>
              <w:rPr>
                <w:rFonts w:hint="eastAsia"/>
                <w:color w:val="auto"/>
                <w:szCs w:val="21"/>
                <w:highlight w:val="none"/>
              </w:rPr>
              <w:t>3</w:t>
            </w:r>
          </w:p>
        </w:tc>
        <w:tc>
          <w:tcPr>
            <w:tcW w:w="683" w:type="dxa"/>
            <w:vMerge w:val="restart"/>
            <w:vAlign w:val="center"/>
          </w:tcPr>
          <w:p>
            <w:pPr>
              <w:rPr>
                <w:color w:val="auto"/>
                <w:sz w:val="21"/>
                <w:szCs w:val="21"/>
                <w:highlight w:val="none"/>
              </w:rPr>
            </w:pPr>
            <w:r>
              <w:rPr>
                <w:rFonts w:hint="eastAsia"/>
                <w:color w:val="auto"/>
                <w:sz w:val="21"/>
                <w:szCs w:val="21"/>
                <w:highlight w:val="none"/>
              </w:rPr>
              <w:t>建筑节能</w:t>
            </w:r>
          </w:p>
        </w:tc>
        <w:tc>
          <w:tcPr>
            <w:tcW w:w="954" w:type="dxa"/>
            <w:vMerge w:val="restart"/>
            <w:vAlign w:val="center"/>
          </w:tcPr>
          <w:p>
            <w:pPr>
              <w:rPr>
                <w:color w:val="auto"/>
                <w:sz w:val="21"/>
                <w:szCs w:val="21"/>
                <w:highlight w:val="none"/>
              </w:rPr>
            </w:pPr>
            <w:r>
              <w:rPr>
                <w:rFonts w:hint="eastAsia"/>
                <w:color w:val="auto"/>
                <w:sz w:val="21"/>
                <w:szCs w:val="21"/>
                <w:highlight w:val="none"/>
              </w:rPr>
              <w:t>墙体、屋面、门窗、地面节能工程</w:t>
            </w:r>
          </w:p>
        </w:tc>
        <w:tc>
          <w:tcPr>
            <w:tcW w:w="4999" w:type="dxa"/>
            <w:vAlign w:val="center"/>
          </w:tcPr>
          <w:p>
            <w:pPr>
              <w:rPr>
                <w:color w:val="auto"/>
                <w:sz w:val="21"/>
                <w:szCs w:val="21"/>
                <w:highlight w:val="none"/>
              </w:rPr>
            </w:pPr>
            <w:r>
              <w:rPr>
                <w:rFonts w:hint="eastAsia"/>
                <w:color w:val="auto"/>
                <w:sz w:val="21"/>
                <w:szCs w:val="21"/>
                <w:highlight w:val="none"/>
              </w:rPr>
              <w:t>建筑节能工程施工前未进行样板制作、样板未验收</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建筑节能材料不符合规范及设计要求</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保温材料的厚度不符合设计要求</w:t>
            </w:r>
          </w:p>
        </w:tc>
        <w:tc>
          <w:tcPr>
            <w:tcW w:w="1337" w:type="dxa"/>
            <w:vAlign w:val="center"/>
          </w:tcPr>
          <w:p>
            <w:pPr>
              <w:rPr>
                <w:color w:val="auto"/>
                <w:sz w:val="21"/>
                <w:szCs w:val="21"/>
                <w:highlight w:val="none"/>
              </w:rPr>
            </w:pPr>
            <w:r>
              <w:rPr>
                <w:rFonts w:hint="eastAsia"/>
                <w:color w:val="auto"/>
                <w:sz w:val="21"/>
                <w:szCs w:val="21"/>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建筑节能施工方法不满足规范就设计要求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建筑节能材料采用预埋或后置锚固件固定时，不符合规范及设计要求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建筑节能的板缝处理、构造节点及嵌缝做法等细部构造不符合设计及规范要求</w:t>
            </w:r>
          </w:p>
        </w:tc>
        <w:tc>
          <w:tcPr>
            <w:tcW w:w="1337" w:type="dxa"/>
            <w:vAlign w:val="center"/>
          </w:tcPr>
          <w:p>
            <w:pPr>
              <w:rPr>
                <w:color w:val="auto"/>
                <w:sz w:val="21"/>
                <w:szCs w:val="21"/>
                <w:highlight w:val="none"/>
              </w:rPr>
            </w:pPr>
            <w:r>
              <w:rPr>
                <w:rFonts w:hint="eastAsia"/>
                <w:color w:val="auto"/>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热桥部位未按设计要求采取隔断热桥措施</w:t>
            </w:r>
          </w:p>
        </w:tc>
        <w:tc>
          <w:tcPr>
            <w:tcW w:w="1337" w:type="dxa"/>
            <w:vAlign w:val="center"/>
          </w:tcPr>
          <w:p>
            <w:pPr>
              <w:rPr>
                <w:color w:val="auto"/>
                <w:sz w:val="21"/>
                <w:szCs w:val="21"/>
                <w:highlight w:val="none"/>
              </w:rPr>
            </w:pPr>
            <w:r>
              <w:rPr>
                <w:rFonts w:hint="eastAsia"/>
                <w:color w:val="auto"/>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color w:val="auto"/>
                <w:szCs w:val="21"/>
                <w:highlight w:val="none"/>
              </w:rPr>
            </w:pPr>
          </w:p>
        </w:tc>
        <w:tc>
          <w:tcPr>
            <w:tcW w:w="683" w:type="dxa"/>
            <w:vMerge w:val="continue"/>
            <w:vAlign w:val="center"/>
          </w:tcPr>
          <w:p>
            <w:pPr>
              <w:rPr>
                <w:color w:val="auto"/>
                <w:sz w:val="21"/>
                <w:szCs w:val="21"/>
                <w:highlight w:val="none"/>
              </w:rPr>
            </w:pPr>
          </w:p>
        </w:tc>
        <w:tc>
          <w:tcPr>
            <w:tcW w:w="954" w:type="dxa"/>
            <w:vMerge w:val="continue"/>
            <w:vAlign w:val="center"/>
          </w:tcPr>
          <w:p>
            <w:pPr>
              <w:rPr>
                <w:color w:val="auto"/>
                <w:sz w:val="21"/>
                <w:szCs w:val="21"/>
                <w:highlight w:val="none"/>
              </w:rPr>
            </w:pPr>
          </w:p>
        </w:tc>
        <w:tc>
          <w:tcPr>
            <w:tcW w:w="4999" w:type="dxa"/>
            <w:vAlign w:val="center"/>
          </w:tcPr>
          <w:p>
            <w:pPr>
              <w:rPr>
                <w:color w:val="auto"/>
                <w:sz w:val="21"/>
                <w:szCs w:val="21"/>
                <w:highlight w:val="none"/>
              </w:rPr>
            </w:pPr>
            <w:r>
              <w:rPr>
                <w:rFonts w:hint="eastAsia"/>
                <w:color w:val="auto"/>
                <w:sz w:val="21"/>
                <w:szCs w:val="21"/>
                <w:highlight w:val="none"/>
              </w:rPr>
              <w:t>表层砂浆抹压不密实</w:t>
            </w:r>
          </w:p>
        </w:tc>
        <w:tc>
          <w:tcPr>
            <w:tcW w:w="1337" w:type="dxa"/>
            <w:vAlign w:val="center"/>
          </w:tcPr>
          <w:p>
            <w:pPr>
              <w:rPr>
                <w:color w:val="auto"/>
                <w:sz w:val="21"/>
                <w:szCs w:val="21"/>
                <w:highlight w:val="none"/>
              </w:rPr>
            </w:pPr>
            <w:r>
              <w:rPr>
                <w:rFonts w:hint="eastAsia"/>
                <w:color w:val="auto"/>
                <w:sz w:val="21"/>
                <w:szCs w:val="21"/>
                <w:highlight w:val="none"/>
              </w:rPr>
              <w:t>2000</w:t>
            </w:r>
          </w:p>
        </w:tc>
      </w:tr>
    </w:tbl>
    <w:p>
      <w:pPr>
        <w:rPr>
          <w:color w:val="auto"/>
          <w:szCs w:val="21"/>
          <w:highlight w:val="none"/>
        </w:rPr>
      </w:pPr>
    </w:p>
    <w:p>
      <w:pPr>
        <w:rPr>
          <w:b/>
          <w:bCs/>
          <w:color w:val="auto"/>
          <w:szCs w:val="21"/>
          <w:highlight w:val="none"/>
        </w:rPr>
      </w:pPr>
      <w:bookmarkStart w:id="1088" w:name="_Toc21925"/>
      <w:bookmarkStart w:id="1089" w:name="_Hlk128750319"/>
      <w:r>
        <w:rPr>
          <w:rFonts w:hint="eastAsia" w:cs="Times New Roman"/>
          <w:b/>
          <w:bCs/>
          <w:color w:val="auto"/>
          <w:kern w:val="2"/>
          <w:sz w:val="21"/>
          <w:szCs w:val="21"/>
          <w:highlight w:val="none"/>
        </w:rPr>
        <w:t>4、进度管理处罚细则</w:t>
      </w:r>
      <w:bookmarkEnd w:id="1088"/>
    </w:p>
    <w:tbl>
      <w:tblPr>
        <w:tblStyle w:val="18"/>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6159"/>
        <w:gridCol w:w="1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序号</w:t>
            </w:r>
          </w:p>
        </w:tc>
        <w:tc>
          <w:tcPr>
            <w:tcW w:w="6159" w:type="dxa"/>
            <w:vAlign w:val="center"/>
          </w:tcPr>
          <w:p>
            <w:pPr>
              <w:jc w:val="center"/>
              <w:rPr>
                <w:color w:val="auto"/>
                <w:sz w:val="21"/>
                <w:szCs w:val="21"/>
                <w:highlight w:val="none"/>
              </w:rPr>
            </w:pPr>
            <w:r>
              <w:rPr>
                <w:rFonts w:hint="eastAsia"/>
                <w:color w:val="auto"/>
                <w:sz w:val="21"/>
                <w:szCs w:val="21"/>
                <w:highlight w:val="none"/>
              </w:rPr>
              <w:t>进度管理违规行为</w:t>
            </w:r>
          </w:p>
        </w:tc>
        <w:tc>
          <w:tcPr>
            <w:tcW w:w="1812" w:type="dxa"/>
            <w:vAlign w:val="center"/>
          </w:tcPr>
          <w:p>
            <w:pPr>
              <w:jc w:val="center"/>
              <w:rPr>
                <w:color w:val="auto"/>
                <w:sz w:val="21"/>
                <w:szCs w:val="21"/>
                <w:highlight w:val="none"/>
              </w:rPr>
            </w:pPr>
            <w:r>
              <w:rPr>
                <w:rFonts w:hint="eastAsia"/>
                <w:color w:val="auto"/>
                <w:sz w:val="21"/>
                <w:szCs w:val="21"/>
                <w:highlight w:val="none"/>
              </w:rPr>
              <w:t>违约金</w:t>
            </w:r>
          </w:p>
          <w:p>
            <w:pPr>
              <w:jc w:val="center"/>
              <w:rPr>
                <w:color w:val="auto"/>
                <w:sz w:val="21"/>
                <w:szCs w:val="21"/>
                <w:highlight w:val="none"/>
              </w:rPr>
            </w:pPr>
            <w:r>
              <w:rPr>
                <w:rFonts w:hint="eastAsia"/>
                <w:color w:val="auto"/>
                <w:sz w:val="21"/>
                <w:szCs w:val="21"/>
                <w:highlight w:val="none"/>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1</w:t>
            </w:r>
          </w:p>
        </w:tc>
        <w:tc>
          <w:tcPr>
            <w:tcW w:w="6159" w:type="dxa"/>
            <w:vAlign w:val="center"/>
          </w:tcPr>
          <w:p>
            <w:pPr>
              <w:rPr>
                <w:color w:val="auto"/>
                <w:sz w:val="21"/>
                <w:szCs w:val="21"/>
                <w:highlight w:val="none"/>
              </w:rPr>
            </w:pPr>
            <w:r>
              <w:rPr>
                <w:rFonts w:hint="eastAsia"/>
                <w:color w:val="auto"/>
                <w:sz w:val="21"/>
                <w:szCs w:val="21"/>
                <w:highlight w:val="none"/>
              </w:rPr>
              <w:t>承包人在进场后15天内未能完成施工总进度计划编制，并提交监理及发包人审查。</w:t>
            </w:r>
          </w:p>
        </w:tc>
        <w:tc>
          <w:tcPr>
            <w:tcW w:w="1812" w:type="dxa"/>
            <w:vAlign w:val="center"/>
          </w:tcPr>
          <w:p>
            <w:pPr>
              <w:rPr>
                <w:color w:val="auto"/>
                <w:sz w:val="21"/>
                <w:szCs w:val="21"/>
                <w:highlight w:val="none"/>
              </w:rPr>
            </w:pPr>
            <w:r>
              <w:rPr>
                <w:rFonts w:hint="eastAsia"/>
                <w:color w:val="auto"/>
                <w:sz w:val="21"/>
                <w:szCs w:val="21"/>
                <w:highlight w:val="none"/>
              </w:rPr>
              <w:t>2000元/天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2</w:t>
            </w:r>
          </w:p>
        </w:tc>
        <w:tc>
          <w:tcPr>
            <w:tcW w:w="6159" w:type="dxa"/>
            <w:vAlign w:val="center"/>
          </w:tcPr>
          <w:p>
            <w:pPr>
              <w:rPr>
                <w:color w:val="auto"/>
                <w:sz w:val="21"/>
                <w:szCs w:val="21"/>
                <w:highlight w:val="none"/>
              </w:rPr>
            </w:pPr>
            <w:r>
              <w:rPr>
                <w:rFonts w:hint="eastAsia"/>
                <w:color w:val="auto"/>
                <w:sz w:val="21"/>
                <w:szCs w:val="21"/>
                <w:highlight w:val="none"/>
              </w:rPr>
              <w:t>周例会召开前一天17：00前未按要求提交周报告和下周施工计划；每月24日上午10：00前未提交本月月报及下月月施工计划。</w:t>
            </w:r>
          </w:p>
        </w:tc>
        <w:tc>
          <w:tcPr>
            <w:tcW w:w="1812" w:type="dxa"/>
            <w:vAlign w:val="center"/>
          </w:tcPr>
          <w:p>
            <w:pPr>
              <w:rPr>
                <w:color w:val="auto"/>
                <w:sz w:val="21"/>
                <w:szCs w:val="21"/>
                <w:highlight w:val="none"/>
              </w:rPr>
            </w:pPr>
            <w:r>
              <w:rPr>
                <w:rFonts w:hint="eastAsia"/>
                <w:color w:val="auto"/>
                <w:sz w:val="21"/>
                <w:szCs w:val="21"/>
                <w:highlight w:val="none"/>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3</w:t>
            </w:r>
          </w:p>
        </w:tc>
        <w:tc>
          <w:tcPr>
            <w:tcW w:w="6159" w:type="dxa"/>
            <w:vAlign w:val="center"/>
          </w:tcPr>
          <w:p>
            <w:pPr>
              <w:rPr>
                <w:color w:val="auto"/>
                <w:sz w:val="21"/>
                <w:szCs w:val="21"/>
                <w:highlight w:val="none"/>
              </w:rPr>
            </w:pPr>
            <w:r>
              <w:rPr>
                <w:rFonts w:hint="eastAsia"/>
                <w:color w:val="auto"/>
                <w:sz w:val="21"/>
                <w:szCs w:val="21"/>
                <w:highlight w:val="none"/>
              </w:rPr>
              <w:t>周施工计划与月计划不符；月计划与阶段计划不符，对总工期及关键线路有影响，经提醒未在限期内整改。</w:t>
            </w:r>
          </w:p>
        </w:tc>
        <w:tc>
          <w:tcPr>
            <w:tcW w:w="1812" w:type="dxa"/>
            <w:vAlign w:val="center"/>
          </w:tcPr>
          <w:p>
            <w:pPr>
              <w:rPr>
                <w:color w:val="auto"/>
                <w:sz w:val="21"/>
                <w:szCs w:val="21"/>
                <w:highlight w:val="none"/>
              </w:rPr>
            </w:pPr>
            <w:r>
              <w:rPr>
                <w:rFonts w:hint="eastAsia"/>
                <w:color w:val="auto"/>
                <w:sz w:val="21"/>
                <w:szCs w:val="21"/>
                <w:highlight w:val="none"/>
              </w:rPr>
              <w:t>2000元/次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4</w:t>
            </w:r>
          </w:p>
        </w:tc>
        <w:tc>
          <w:tcPr>
            <w:tcW w:w="6159" w:type="dxa"/>
            <w:vAlign w:val="center"/>
          </w:tcPr>
          <w:p>
            <w:pPr>
              <w:rPr>
                <w:color w:val="auto"/>
                <w:sz w:val="21"/>
                <w:szCs w:val="21"/>
                <w:highlight w:val="none"/>
              </w:rPr>
            </w:pPr>
            <w:r>
              <w:rPr>
                <w:rFonts w:hint="eastAsia"/>
                <w:color w:val="auto"/>
                <w:sz w:val="21"/>
                <w:szCs w:val="21"/>
                <w:highlight w:val="none"/>
              </w:rPr>
              <w:t>由于承包人原因，周、月、阶段施工计划没有完成，且未采取有效的赶工措施。</w:t>
            </w:r>
          </w:p>
        </w:tc>
        <w:tc>
          <w:tcPr>
            <w:tcW w:w="1812" w:type="dxa"/>
            <w:vAlign w:val="center"/>
          </w:tcPr>
          <w:p>
            <w:pPr>
              <w:rPr>
                <w:color w:val="auto"/>
                <w:sz w:val="21"/>
                <w:szCs w:val="21"/>
                <w:highlight w:val="none"/>
              </w:rPr>
            </w:pPr>
            <w:r>
              <w:rPr>
                <w:rFonts w:hint="eastAsia"/>
                <w:color w:val="auto"/>
                <w:sz w:val="21"/>
                <w:szCs w:val="21"/>
                <w:highlight w:val="none"/>
              </w:rPr>
              <w:t>2000元/次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5</w:t>
            </w:r>
          </w:p>
        </w:tc>
        <w:tc>
          <w:tcPr>
            <w:tcW w:w="6159" w:type="dxa"/>
            <w:vAlign w:val="center"/>
          </w:tcPr>
          <w:p>
            <w:pPr>
              <w:rPr>
                <w:color w:val="auto"/>
                <w:sz w:val="21"/>
                <w:szCs w:val="21"/>
                <w:highlight w:val="none"/>
              </w:rPr>
            </w:pPr>
            <w:r>
              <w:rPr>
                <w:rFonts w:hint="eastAsia"/>
                <w:color w:val="auto"/>
                <w:sz w:val="21"/>
                <w:szCs w:val="21"/>
                <w:highlight w:val="none"/>
              </w:rPr>
              <w:t>由于承包人原因，承包人连续两个月未能完成月计划进度的施工。</w:t>
            </w:r>
          </w:p>
        </w:tc>
        <w:tc>
          <w:tcPr>
            <w:tcW w:w="1812" w:type="dxa"/>
            <w:vAlign w:val="center"/>
          </w:tcPr>
          <w:p>
            <w:pPr>
              <w:rPr>
                <w:color w:val="auto"/>
                <w:sz w:val="21"/>
                <w:szCs w:val="21"/>
                <w:highlight w:val="none"/>
              </w:rPr>
            </w:pPr>
            <w:r>
              <w:rPr>
                <w:rFonts w:hint="eastAsia"/>
                <w:color w:val="auto"/>
                <w:sz w:val="21"/>
                <w:szCs w:val="21"/>
                <w:highlight w:val="none"/>
              </w:rPr>
              <w:t>5000元/次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6</w:t>
            </w:r>
          </w:p>
        </w:tc>
        <w:tc>
          <w:tcPr>
            <w:tcW w:w="6159" w:type="dxa"/>
            <w:vAlign w:val="center"/>
          </w:tcPr>
          <w:p>
            <w:pPr>
              <w:rPr>
                <w:color w:val="auto"/>
                <w:sz w:val="21"/>
                <w:szCs w:val="21"/>
                <w:highlight w:val="none"/>
              </w:rPr>
            </w:pPr>
            <w:r>
              <w:rPr>
                <w:rFonts w:hint="eastAsia"/>
                <w:color w:val="auto"/>
                <w:sz w:val="21"/>
                <w:szCs w:val="21"/>
                <w:highlight w:val="none"/>
              </w:rPr>
              <w:t>机械设备未按发包人、监理审批进场，进、退场未及时报审</w:t>
            </w:r>
          </w:p>
        </w:tc>
        <w:tc>
          <w:tcPr>
            <w:tcW w:w="1812" w:type="dxa"/>
            <w:vAlign w:val="center"/>
          </w:tcPr>
          <w:p>
            <w:pPr>
              <w:rPr>
                <w:color w:val="auto"/>
                <w:sz w:val="21"/>
                <w:szCs w:val="21"/>
                <w:highlight w:val="none"/>
              </w:rPr>
            </w:pPr>
            <w:r>
              <w:rPr>
                <w:rFonts w:hint="eastAsia"/>
                <w:color w:val="auto"/>
                <w:sz w:val="21"/>
                <w:szCs w:val="21"/>
                <w:highlight w:val="none"/>
              </w:rPr>
              <w:t>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7</w:t>
            </w:r>
          </w:p>
        </w:tc>
        <w:tc>
          <w:tcPr>
            <w:tcW w:w="6159" w:type="dxa"/>
            <w:vAlign w:val="center"/>
          </w:tcPr>
          <w:p>
            <w:pPr>
              <w:rPr>
                <w:color w:val="auto"/>
                <w:sz w:val="21"/>
                <w:szCs w:val="21"/>
                <w:highlight w:val="none"/>
              </w:rPr>
            </w:pPr>
            <w:r>
              <w:rPr>
                <w:rFonts w:hint="eastAsia"/>
                <w:color w:val="auto"/>
                <w:sz w:val="21"/>
                <w:szCs w:val="21"/>
                <w:highlight w:val="none"/>
              </w:rPr>
              <w:t>延误或不执行工程师指示造成质量、安全隐患。</w:t>
            </w:r>
          </w:p>
        </w:tc>
        <w:tc>
          <w:tcPr>
            <w:tcW w:w="1812" w:type="dxa"/>
            <w:vAlign w:val="center"/>
          </w:tcPr>
          <w:p>
            <w:pPr>
              <w:rPr>
                <w:color w:val="auto"/>
                <w:sz w:val="21"/>
                <w:szCs w:val="21"/>
                <w:highlight w:val="none"/>
              </w:rPr>
            </w:pPr>
            <w:r>
              <w:rPr>
                <w:rFonts w:hint="eastAsia"/>
                <w:color w:val="auto"/>
                <w:sz w:val="21"/>
                <w:szCs w:val="21"/>
                <w:highlight w:val="none"/>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8</w:t>
            </w:r>
          </w:p>
        </w:tc>
        <w:tc>
          <w:tcPr>
            <w:tcW w:w="6159" w:type="dxa"/>
            <w:vAlign w:val="center"/>
          </w:tcPr>
          <w:p>
            <w:pPr>
              <w:rPr>
                <w:color w:val="auto"/>
                <w:sz w:val="21"/>
                <w:szCs w:val="21"/>
                <w:highlight w:val="none"/>
              </w:rPr>
            </w:pPr>
            <w:r>
              <w:rPr>
                <w:rFonts w:hint="eastAsia"/>
                <w:color w:val="auto"/>
                <w:sz w:val="21"/>
                <w:szCs w:val="21"/>
                <w:highlight w:val="none"/>
              </w:rPr>
              <w:t>擅自停工。</w:t>
            </w:r>
          </w:p>
        </w:tc>
        <w:tc>
          <w:tcPr>
            <w:tcW w:w="1812" w:type="dxa"/>
            <w:vAlign w:val="center"/>
          </w:tcPr>
          <w:p>
            <w:pPr>
              <w:rPr>
                <w:color w:val="auto"/>
                <w:sz w:val="21"/>
                <w:szCs w:val="21"/>
                <w:highlight w:val="none"/>
              </w:rPr>
            </w:pPr>
            <w:r>
              <w:rPr>
                <w:rFonts w:hint="eastAsia"/>
                <w:color w:val="auto"/>
                <w:sz w:val="21"/>
                <w:szCs w:val="21"/>
                <w:highlight w:val="none"/>
              </w:rPr>
              <w:t>2万元/天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9</w:t>
            </w:r>
          </w:p>
        </w:tc>
        <w:tc>
          <w:tcPr>
            <w:tcW w:w="7971" w:type="dxa"/>
            <w:gridSpan w:val="2"/>
            <w:vAlign w:val="center"/>
          </w:tcPr>
          <w:p>
            <w:pPr>
              <w:rPr>
                <w:color w:val="auto"/>
                <w:sz w:val="21"/>
                <w:szCs w:val="21"/>
                <w:highlight w:val="none"/>
              </w:rPr>
            </w:pPr>
            <w:r>
              <w:rPr>
                <w:rFonts w:hint="eastAsia"/>
                <w:color w:val="auto"/>
                <w:sz w:val="21"/>
                <w:szCs w:val="21"/>
                <w:highlight w:val="none"/>
              </w:rPr>
              <w:t>罚金根据目标考核结果和实际工作完成情况于当期进度款支付时一并支付（扣除）。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10</w:t>
            </w:r>
          </w:p>
        </w:tc>
        <w:tc>
          <w:tcPr>
            <w:tcW w:w="6159" w:type="dxa"/>
            <w:vAlign w:val="center"/>
          </w:tcPr>
          <w:p>
            <w:pPr>
              <w:rPr>
                <w:color w:val="auto"/>
                <w:sz w:val="21"/>
                <w:szCs w:val="21"/>
                <w:highlight w:val="none"/>
              </w:rPr>
            </w:pPr>
            <w:r>
              <w:rPr>
                <w:rFonts w:hint="eastAsia"/>
                <w:color w:val="auto"/>
                <w:sz w:val="21"/>
                <w:szCs w:val="21"/>
                <w:highlight w:val="none"/>
              </w:rPr>
              <w:t>双方在本合同履行过程中，若产生争议、纠纷（包括但不限于对本合同条款的理解、施工图预算、工程款的支付、工程签证、工程承包范围等存在争议），争议、纠纷的解决不得影响工程的进度，如承包人出现消极怠工、擅自停工等行为。</w:t>
            </w:r>
          </w:p>
        </w:tc>
        <w:tc>
          <w:tcPr>
            <w:tcW w:w="1812" w:type="dxa"/>
            <w:vAlign w:val="center"/>
          </w:tcPr>
          <w:p>
            <w:pPr>
              <w:rPr>
                <w:color w:val="auto"/>
                <w:sz w:val="21"/>
                <w:szCs w:val="21"/>
                <w:highlight w:val="none"/>
              </w:rPr>
            </w:pPr>
            <w:r>
              <w:rPr>
                <w:rFonts w:hint="eastAsia"/>
                <w:color w:val="auto"/>
                <w:sz w:val="21"/>
                <w:szCs w:val="21"/>
                <w:highlight w:val="none"/>
              </w:rPr>
              <w:t>2万元/天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restart"/>
            <w:vAlign w:val="center"/>
          </w:tcPr>
          <w:p>
            <w:pPr>
              <w:jc w:val="center"/>
              <w:rPr>
                <w:color w:val="auto"/>
                <w:sz w:val="21"/>
                <w:szCs w:val="21"/>
                <w:highlight w:val="none"/>
              </w:rPr>
            </w:pPr>
            <w:r>
              <w:rPr>
                <w:rFonts w:hint="eastAsia"/>
                <w:color w:val="auto"/>
                <w:sz w:val="21"/>
                <w:szCs w:val="21"/>
                <w:highlight w:val="none"/>
              </w:rPr>
              <w:t>里程碑节点计划</w:t>
            </w:r>
          </w:p>
        </w:tc>
        <w:tc>
          <w:tcPr>
            <w:tcW w:w="6159" w:type="dxa"/>
            <w:vAlign w:val="center"/>
          </w:tcPr>
          <w:p>
            <w:pPr>
              <w:rPr>
                <w:color w:val="auto"/>
                <w:sz w:val="21"/>
                <w:szCs w:val="21"/>
                <w:highlight w:val="none"/>
              </w:rPr>
            </w:pPr>
            <w:r>
              <w:rPr>
                <w:rFonts w:hint="eastAsia"/>
                <w:color w:val="auto"/>
                <w:sz w:val="21"/>
                <w:szCs w:val="21"/>
                <w:highlight w:val="none"/>
              </w:rPr>
              <w:t>项目开工节点计划未完成</w:t>
            </w:r>
          </w:p>
        </w:tc>
        <w:tc>
          <w:tcPr>
            <w:tcW w:w="1812" w:type="dxa"/>
            <w:vMerge w:val="restart"/>
            <w:vAlign w:val="center"/>
          </w:tcPr>
          <w:p>
            <w:pPr>
              <w:rPr>
                <w:color w:val="auto"/>
                <w:sz w:val="21"/>
                <w:szCs w:val="21"/>
                <w:highlight w:val="none"/>
              </w:rPr>
            </w:pPr>
            <w:r>
              <w:rPr>
                <w:rFonts w:hint="eastAsia"/>
                <w:color w:val="auto"/>
                <w:sz w:val="21"/>
                <w:szCs w:val="21"/>
                <w:highlight w:val="none"/>
              </w:rPr>
              <w:t>任一节点中每逾期1天向发包人支付0.5万违约金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continue"/>
            <w:vAlign w:val="center"/>
          </w:tcPr>
          <w:p>
            <w:pPr>
              <w:jc w:val="center"/>
              <w:rPr>
                <w:color w:val="auto"/>
                <w:sz w:val="21"/>
                <w:szCs w:val="21"/>
                <w:highlight w:val="none"/>
              </w:rPr>
            </w:pPr>
          </w:p>
        </w:tc>
        <w:tc>
          <w:tcPr>
            <w:tcW w:w="6159" w:type="dxa"/>
            <w:vAlign w:val="center"/>
          </w:tcPr>
          <w:p>
            <w:pPr>
              <w:rPr>
                <w:color w:val="auto"/>
                <w:sz w:val="21"/>
                <w:szCs w:val="21"/>
                <w:highlight w:val="none"/>
              </w:rPr>
            </w:pPr>
            <w:r>
              <w:rPr>
                <w:rFonts w:hint="eastAsia"/>
                <w:color w:val="auto"/>
                <w:sz w:val="21"/>
                <w:szCs w:val="21"/>
                <w:highlight w:val="none"/>
              </w:rPr>
              <w:t>项目竣工节点未完成</w:t>
            </w:r>
          </w:p>
        </w:tc>
        <w:tc>
          <w:tcPr>
            <w:tcW w:w="1812" w:type="dxa"/>
            <w:vMerge w:val="continue"/>
            <w:vAlign w:val="center"/>
          </w:tcPr>
          <w:p>
            <w:pP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color w:val="auto"/>
                <w:sz w:val="21"/>
                <w:szCs w:val="21"/>
                <w:highlight w:val="none"/>
              </w:rPr>
            </w:pPr>
            <w:r>
              <w:rPr>
                <w:rFonts w:hint="eastAsia"/>
                <w:color w:val="auto"/>
                <w:sz w:val="21"/>
                <w:szCs w:val="21"/>
                <w:highlight w:val="none"/>
              </w:rPr>
              <w:t>撤场管理</w:t>
            </w:r>
          </w:p>
        </w:tc>
        <w:tc>
          <w:tcPr>
            <w:tcW w:w="6159" w:type="dxa"/>
            <w:vAlign w:val="center"/>
          </w:tcPr>
          <w:p>
            <w:pPr>
              <w:rPr>
                <w:color w:val="auto"/>
                <w:sz w:val="21"/>
                <w:szCs w:val="21"/>
                <w:highlight w:val="none"/>
              </w:rPr>
            </w:pPr>
            <w:r>
              <w:rPr>
                <w:rFonts w:hint="eastAsia"/>
                <w:color w:val="auto"/>
                <w:sz w:val="21"/>
                <w:szCs w:val="21"/>
                <w:highlight w:val="none"/>
              </w:rPr>
              <w:t>承包人逾期完成撤场约定工作</w:t>
            </w:r>
          </w:p>
        </w:tc>
        <w:tc>
          <w:tcPr>
            <w:tcW w:w="1812" w:type="dxa"/>
            <w:vAlign w:val="center"/>
          </w:tcPr>
          <w:p>
            <w:pPr>
              <w:rPr>
                <w:color w:val="auto"/>
                <w:sz w:val="21"/>
                <w:szCs w:val="21"/>
                <w:highlight w:val="none"/>
              </w:rPr>
            </w:pPr>
            <w:r>
              <w:rPr>
                <w:rFonts w:hint="eastAsia"/>
                <w:color w:val="auto"/>
                <w:sz w:val="21"/>
                <w:szCs w:val="21"/>
                <w:highlight w:val="none"/>
              </w:rPr>
              <w:t>0.5万元/天</w:t>
            </w:r>
          </w:p>
        </w:tc>
      </w:tr>
    </w:tbl>
    <w:p>
      <w:pPr>
        <w:rPr>
          <w:color w:val="auto"/>
          <w:szCs w:val="21"/>
          <w:highlight w:val="none"/>
        </w:rPr>
      </w:pPr>
    </w:p>
    <w:bookmarkEnd w:id="1089"/>
    <w:p>
      <w:pPr>
        <w:rPr>
          <w:b/>
          <w:bCs/>
          <w:color w:val="auto"/>
          <w:szCs w:val="21"/>
          <w:highlight w:val="none"/>
        </w:rPr>
      </w:pPr>
      <w:bookmarkStart w:id="1090" w:name="_Toc7128"/>
      <w:r>
        <w:rPr>
          <w:rFonts w:hint="eastAsia" w:cs="Times New Roman"/>
          <w:b/>
          <w:bCs/>
          <w:color w:val="auto"/>
          <w:kern w:val="2"/>
          <w:sz w:val="21"/>
          <w:szCs w:val="21"/>
          <w:highlight w:val="none"/>
        </w:rPr>
        <w:t>5、工程资料管理罚款细则</w:t>
      </w:r>
      <w:bookmarkEnd w:id="1090"/>
    </w:p>
    <w:tbl>
      <w:tblPr>
        <w:tblStyle w:val="1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7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序号</w:t>
            </w:r>
          </w:p>
        </w:tc>
        <w:tc>
          <w:tcPr>
            <w:tcW w:w="6177"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罚款条例</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1</w:t>
            </w:r>
          </w:p>
        </w:tc>
        <w:tc>
          <w:tcPr>
            <w:tcW w:w="6177"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对发包人或监理人发出的整改通知单未及时整改或整改不力且未回复。</w:t>
            </w:r>
          </w:p>
        </w:tc>
        <w:tc>
          <w:tcPr>
            <w:tcW w:w="1790"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3"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2</w:t>
            </w:r>
          </w:p>
        </w:tc>
        <w:tc>
          <w:tcPr>
            <w:tcW w:w="6177" w:type="dxa"/>
            <w:tcBorders>
              <w:top w:val="nil"/>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未按要求及时提交施工管理和技术资料。</w:t>
            </w:r>
          </w:p>
        </w:tc>
        <w:tc>
          <w:tcPr>
            <w:tcW w:w="1790" w:type="dxa"/>
            <w:tcBorders>
              <w:top w:val="nil"/>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3</w:t>
            </w:r>
          </w:p>
        </w:tc>
        <w:tc>
          <w:tcPr>
            <w:tcW w:w="6177" w:type="dxa"/>
            <w:tcBorders>
              <w:top w:val="nil"/>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经发包人或监理人组织检查，工程档案资料未能随工程施工进度同步收集整理，且承包人拒不整改或整改不合格。</w:t>
            </w:r>
          </w:p>
        </w:tc>
        <w:tc>
          <w:tcPr>
            <w:tcW w:w="1790" w:type="dxa"/>
            <w:tcBorders>
              <w:top w:val="nil"/>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3"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4</w:t>
            </w:r>
          </w:p>
        </w:tc>
        <w:tc>
          <w:tcPr>
            <w:tcW w:w="6177" w:type="dxa"/>
            <w:tcBorders>
              <w:top w:val="nil"/>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归档的技术质保资料不真实，不准确。</w:t>
            </w:r>
          </w:p>
        </w:tc>
        <w:tc>
          <w:tcPr>
            <w:tcW w:w="1790" w:type="dxa"/>
            <w:tcBorders>
              <w:top w:val="nil"/>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5</w:t>
            </w:r>
          </w:p>
        </w:tc>
        <w:tc>
          <w:tcPr>
            <w:tcW w:w="6177"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单位工程竣工后，承包人未将竣工资料按时移交至甲方。</w:t>
            </w:r>
          </w:p>
        </w:tc>
        <w:tc>
          <w:tcPr>
            <w:tcW w:w="1790"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2000元/单位工程·天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6</w:t>
            </w:r>
          </w:p>
        </w:tc>
        <w:tc>
          <w:tcPr>
            <w:tcW w:w="6177"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项目经理及项目技术负责人签署的文件和资料不得代签，一经发现，监理人和发包人有权拒收并视为承包人违约。</w:t>
            </w:r>
          </w:p>
        </w:tc>
        <w:tc>
          <w:tcPr>
            <w:tcW w:w="1790"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2000元/次</w:t>
            </w:r>
          </w:p>
        </w:tc>
      </w:tr>
    </w:tbl>
    <w:p>
      <w:pPr>
        <w:rPr>
          <w:color w:val="auto"/>
          <w:highlight w:val="none"/>
        </w:rPr>
      </w:pPr>
    </w:p>
    <w:p>
      <w:pPr>
        <w:pStyle w:val="22"/>
        <w:snapToGrid w:val="0"/>
        <w:spacing w:line="360" w:lineRule="auto"/>
        <w:rPr>
          <w:rFonts w:ascii="宋体" w:hAnsi="宋体"/>
          <w:b/>
          <w:bCs/>
          <w:color w:val="auto"/>
          <w:kern w:val="0"/>
          <w:highlight w:val="none"/>
        </w:rPr>
      </w:pPr>
      <w:r>
        <w:rPr>
          <w:rFonts w:hint="eastAsia" w:ascii="宋体" w:hAnsi="宋体"/>
          <w:b/>
          <w:bCs/>
          <w:color w:val="auto"/>
          <w:highlight w:val="none"/>
        </w:rPr>
        <w:t>6、工程安全文明施工管理罚款细则</w:t>
      </w:r>
    </w:p>
    <w:tbl>
      <w:tblPr>
        <w:tblStyle w:val="18"/>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25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序号</w:t>
            </w:r>
          </w:p>
        </w:tc>
        <w:tc>
          <w:tcPr>
            <w:tcW w:w="6252"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违约事项</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未实现施工承包合同文件中已经明确的本工程安全文明施工目标</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按承包合同总价的1%或合同规定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未按时、按要求上报安全方案和《安全生产管理承诺书》、《消防安全管理承诺书》</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2000元/日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工地现场发生轻微（未造成重伤或死亡）安全事故</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使用不合格施工机械、未验收或者验收不合格的脚手架、模板、自升式架设设施或施工材料未进行送检</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发生安全事故隐瞒不报</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施工现场未按要求做到工完场清，未及时清理各楼层内的建材、架管、架料和建筑垃圾等，并将清运垃圾到指定地点堆放</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施工现场除集中堆放点外建筑垃圾未清理或通知后当天内仍不处理。</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现场工人直接向窗外抛洒建筑垃圾或其他物品。</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施工现场有违反安全作业规范（如不戴安全帽、高空作业不系安全带等）的行为。</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未按规定要求和指定时限整改安全隐患</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临时用电未使用合格电力电缆，接入设备或配电箱的电线电缆不规范。</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500元/处，每拖延一天整改增加200元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现场临时用电配电箱不符合要求，如：无工作零线端子、无保护接地端子或保护接头老化，非三相五线制、非一机一闸一漏电、开关无盖、配电箱无箱门，无防雨措施等</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500元/项（条），每拖延一天整改增加100元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施工现场的库房、机械设备、材料、成品、半成品、模板、脚手工具、加工场地、办公室等未按统一规划实施，且未在通知限定期限整改</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1000元/处·天，每拖延一天整改增加200元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发现“三宝、四口、五临边”、升降机、塔吊操作、安全用电、现场配置及高空作业等不符合检查标准，且经通知后未整改完成</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500/项，每拖延一天整改增加200元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施工区住人（未经发包人批准）</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施工人员聚众闹事、打架斗殴的</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特种作业未持主管部门颁发之上岗证</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在禁烟区吸烟的；管理人员吸烟加倍处理，且未按要求设置临时吸烟区。</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酒后上工地</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专用电机未配备专用开关箱或进行不符合要求的施工作业</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使用未通过安装验收的电机设备</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易燃、易爆、易腐蚀及有毒物品未隔离存放</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危险物品存放未明示警戒标志</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危险作业未作书面的安全技术交底（签字记录）</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仓库、生活区、施工区未配来火器材或数量不足</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动火作业、防火措施不完善或未经审批私自进行明火施工</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失效灭火器材未及时更换</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未经批准私自拆除安全防护</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集中的安全活动(例会、检查等)无故缺席</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主要通道及施工区照明不足</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重大安全、文明活动配合不力</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生活区垃圾没有及时清理或没有及时外运</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安全防护用具、机械设备、施工机具及配件在进入施工现场未经查验或者查验不合格即投入使用的</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2000元,每拖延一天整改增加500元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需进行专项认证的危险作业未办理相关手续</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不服从指挥、态度粗鲁、缺乏礼貌</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偷盗或破坏工地公共财产</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在施工现场中随地大小便</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运输砂石、水泥、土方、垃圾等易产生扬尘污染的车辆未封闭严密，未进行车轮清理出工地，对工地大门以外道路造成污染</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1000元,每拖延一天整改增加500元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不能有效组织现场施工，对于工人的无理取闹行为不能采取有效措施加以制止</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由于承包商原因造成的劳资纠纷、打架斗殴、骚扰、堵截、闹事等未及时解决，给发包人造成不良影响</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color w:val="auto"/>
                <w:sz w:val="21"/>
                <w:szCs w:val="21"/>
                <w:highlight w:val="none"/>
              </w:rPr>
            </w:pPr>
          </w:p>
        </w:tc>
        <w:tc>
          <w:tcPr>
            <w:tcW w:w="6252"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使用未通过安装验收的吊装、起重设备，设备的运行管理制度不完善，存在较大安全隐患</w:t>
            </w:r>
          </w:p>
        </w:tc>
        <w:tc>
          <w:tcPr>
            <w:tcW w:w="1985"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5000元,每拖延一天整改增加1000元</w:t>
            </w:r>
          </w:p>
        </w:tc>
      </w:tr>
    </w:tbl>
    <w:p>
      <w:pPr>
        <w:rPr>
          <w:color w:val="auto"/>
          <w:highlight w:val="none"/>
        </w:rPr>
      </w:pPr>
    </w:p>
    <w:p>
      <w:pPr>
        <w:rPr>
          <w:color w:val="auto"/>
          <w:highlight w:val="none"/>
        </w:rPr>
      </w:pPr>
      <w:r>
        <w:rPr>
          <w:color w:val="auto"/>
          <w:highlight w:val="none"/>
        </w:rPr>
        <w:br w:type="page"/>
      </w:r>
    </w:p>
    <w:p>
      <w:pPr>
        <w:spacing w:line="360" w:lineRule="auto"/>
        <w:outlineLvl w:val="1"/>
        <w:rPr>
          <w:color w:val="auto"/>
          <w:kern w:val="2"/>
          <w:sz w:val="21"/>
          <w:szCs w:val="21"/>
          <w:highlight w:val="none"/>
        </w:rPr>
      </w:pPr>
      <w:r>
        <w:rPr>
          <w:rFonts w:hint="eastAsia"/>
          <w:color w:val="auto"/>
          <w:kern w:val="2"/>
          <w:sz w:val="21"/>
          <w:szCs w:val="21"/>
          <w:highlight w:val="none"/>
        </w:rPr>
        <w:t>附件2</w:t>
      </w:r>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主要材料设备限定品牌范围表</w:t>
      </w:r>
    </w:p>
    <w:tbl>
      <w:tblPr>
        <w:tblStyle w:val="18"/>
        <w:tblW w:w="4749"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3192"/>
        <w:gridCol w:w="4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洁具(大便器、小便器、淋浴器洗手盆）</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color w:val="000000"/>
                <w:kern w:val="0"/>
                <w:sz w:val="22"/>
                <w:szCs w:val="22"/>
                <w:u w:val="none"/>
                <w:lang w:val="en-US" w:eastAsia="zh-CN" w:bidi="ar"/>
              </w:rPr>
              <w:t>美标、和成、乐家、恒洁、箭牌、东鹏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饮水机</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康佳、美的、</w:t>
            </w:r>
            <w:r>
              <w:rPr>
                <w:rFonts w:hint="eastAsia" w:cs="宋体"/>
                <w:i w:val="0"/>
                <w:iCs w:val="0"/>
                <w:color w:val="000000"/>
                <w:kern w:val="0"/>
                <w:sz w:val="22"/>
                <w:szCs w:val="22"/>
                <w:u w:val="none"/>
                <w:lang w:val="en-US" w:eastAsia="zh-CN" w:bidi="ar"/>
              </w:rPr>
              <w:t>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热水器</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color w:val="000000"/>
                <w:kern w:val="0"/>
                <w:sz w:val="22"/>
                <w:szCs w:val="22"/>
                <w:u w:val="none"/>
                <w:lang w:val="en-US" w:eastAsia="zh-CN" w:bidi="ar"/>
              </w:rPr>
              <w:t>美的、万家乐、华帝、万和、海尔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普通照明灯具</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u w:val="none"/>
                <w:lang w:bidi="ar"/>
              </w:rPr>
            </w:pPr>
            <w:r>
              <w:rPr>
                <w:rFonts w:hint="eastAsia" w:ascii="宋体" w:hAnsi="宋体" w:eastAsia="宋体" w:cs="宋体"/>
                <w:color w:val="000000"/>
                <w:kern w:val="0"/>
                <w:sz w:val="22"/>
                <w:szCs w:val="22"/>
                <w:u w:val="none"/>
                <w:lang w:val="en-US" w:eastAsia="zh-CN" w:bidi="ar"/>
              </w:rPr>
              <w:t>欧普、雷士、CDN西顿照明、三雄极光、佛山照明</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应急照明灯具</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color w:val="000000"/>
                <w:kern w:val="0"/>
                <w:sz w:val="22"/>
                <w:szCs w:val="22"/>
                <w:u w:val="none"/>
                <w:lang w:val="en-US" w:eastAsia="zh-CN" w:bidi="ar"/>
              </w:rPr>
              <w:t>上海宝星、恒生智能、沈阳宏宇，浙江台谊、深圳博朗耐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插座、开关</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u w:val="none"/>
                <w:lang w:bidi="ar"/>
              </w:rPr>
            </w:pPr>
            <w:r>
              <w:rPr>
                <w:rFonts w:hint="eastAsia" w:ascii="宋体" w:hAnsi="宋体" w:eastAsia="宋体" w:cs="宋体"/>
                <w:color w:val="000000"/>
                <w:kern w:val="0"/>
                <w:sz w:val="22"/>
                <w:szCs w:val="22"/>
                <w:u w:val="none"/>
                <w:lang w:val="en-US" w:eastAsia="zh-CN" w:bidi="ar"/>
              </w:rPr>
              <w:t>施耐德、罗格朗、Simon西蒙电气、西门子、ABB</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电线、电缆</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u w:val="none"/>
                <w:lang w:bidi="ar"/>
              </w:rPr>
            </w:pPr>
            <w:r>
              <w:rPr>
                <w:rFonts w:hint="eastAsia" w:ascii="宋体" w:hAnsi="宋体" w:eastAsia="宋体" w:cs="宋体"/>
                <w:color w:val="000000"/>
                <w:kern w:val="0"/>
                <w:sz w:val="22"/>
                <w:szCs w:val="22"/>
                <w:u w:val="none"/>
                <w:lang w:val="en-US" w:eastAsia="zh-CN" w:bidi="ar"/>
              </w:rPr>
              <w:t>亨通光电、奔达康、新威讯、金龙羽、民兴电缆、金环宇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三箱</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广州白云、泰豪科技、任达、亚洲电力、新会电控顺开、泰昂、爱得威、凌祺、盛德兰、江苏银佳、江苏华彤、金盘电气、华通电气、盛隆、南京大全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strike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断路器</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西门子、ABB、施耐德、海格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strike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接触器、浪涌保护、继电器</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高压断路器：西门子（3AE）、ABB（VD4）、施耐德（HVX）；</w:t>
            </w:r>
          </w:p>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框架断路器：ABB(Emax2)、施耐德（MT、MTZ）、西门子（3WL）、海格（HW）；</w:t>
            </w:r>
          </w:p>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塑壳断路器：ABB(Tmax、 TmaxXT)、施耐德（NSX）、西门子（3VA）、海格（HN）；</w:t>
            </w:r>
          </w:p>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接触器、热继电器：ABB、施耐德、西门子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双电源（ATS）</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strike w:val="0"/>
                <w:color w:val="000000"/>
                <w:kern w:val="0"/>
                <w:sz w:val="22"/>
                <w:szCs w:val="22"/>
                <w:u w:val="none"/>
                <w:lang w:val="en-US" w:eastAsia="zh-CN" w:bidi="ar"/>
              </w:rPr>
              <w:t>ASCO、GE 、施耐德（WOTPC/WBTPC 系列）、GOOCIN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sz w:val="22"/>
                <w:szCs w:val="22"/>
                <w:u w:val="none"/>
                <w:lang w:bidi="ar"/>
              </w:rPr>
            </w:pPr>
            <w:r>
              <w:rPr>
                <w:rFonts w:hint="eastAsia" w:ascii="宋体" w:hAnsi="宋体" w:eastAsia="宋体" w:cs="宋体"/>
                <w:i w:val="0"/>
                <w:iCs w:val="0"/>
                <w:strike w:val="0"/>
                <w:color w:val="000000"/>
                <w:kern w:val="0"/>
                <w:sz w:val="22"/>
                <w:szCs w:val="22"/>
                <w:u w:val="none"/>
                <w:lang w:val="en-US" w:eastAsia="zh-CN" w:bidi="ar"/>
              </w:rPr>
              <w:t>配电箱元器件</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val="0"/>
                <w:color w:val="000000"/>
                <w:sz w:val="22"/>
                <w:szCs w:val="22"/>
                <w:u w:val="none"/>
                <w:lang w:bidi="ar"/>
              </w:rPr>
            </w:pPr>
            <w:r>
              <w:rPr>
                <w:rFonts w:hint="eastAsia" w:ascii="宋体" w:hAnsi="宋体" w:eastAsia="宋体" w:cs="宋体"/>
                <w:i w:val="0"/>
                <w:iCs w:val="0"/>
                <w:strike w:val="0"/>
                <w:color w:val="000000"/>
                <w:kern w:val="0"/>
                <w:sz w:val="22"/>
                <w:szCs w:val="22"/>
                <w:u w:val="none"/>
                <w:lang w:val="en-US" w:eastAsia="zh-CN" w:bidi="ar"/>
              </w:rPr>
              <w:t>西门子、ABB、施耐德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cs="宋体"/>
                <w:i w:val="0"/>
                <w:iCs w:val="0"/>
                <w:color w:val="000000"/>
                <w:kern w:val="0"/>
                <w:sz w:val="22"/>
                <w:szCs w:val="22"/>
                <w:u w:val="none"/>
                <w:lang w:val="en-US" w:eastAsia="zh-CN" w:bidi="ar"/>
              </w:rPr>
              <w:t>换气</w:t>
            </w:r>
            <w:r>
              <w:rPr>
                <w:rFonts w:hint="eastAsia" w:ascii="宋体" w:hAnsi="宋体" w:eastAsia="宋体" w:cs="宋体"/>
                <w:i w:val="0"/>
                <w:iCs w:val="0"/>
                <w:color w:val="000000"/>
                <w:kern w:val="0"/>
                <w:sz w:val="22"/>
                <w:szCs w:val="22"/>
                <w:u w:val="none"/>
                <w:lang w:val="en-US" w:eastAsia="zh-CN" w:bidi="ar"/>
              </w:rPr>
              <w:t>扇</w:t>
            </w:r>
          </w:p>
        </w:tc>
        <w:tc>
          <w:tcPr>
            <w:tcW w:w="490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color w:val="000000"/>
                <w:kern w:val="0"/>
                <w:sz w:val="22"/>
                <w:szCs w:val="22"/>
                <w:u w:val="none"/>
                <w:lang w:val="en-US" w:eastAsia="zh-CN" w:bidi="ar"/>
              </w:rPr>
              <w:t>艾美特、美的、华帝、雷士、正野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highlight w:val="none"/>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多联机室外机、室内机、新风机</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color w:val="000000"/>
                <w:kern w:val="0"/>
                <w:sz w:val="22"/>
                <w:szCs w:val="22"/>
                <w:u w:val="none"/>
                <w:lang w:val="en-US" w:eastAsia="zh-CN" w:bidi="ar"/>
              </w:rPr>
              <w:t>格力、美的、海尔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空调末端（空调机组、风机盘管、新风机组、恒温恒湿机）</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天加、申菱、维克、五洲、欧科、清华同方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空调温控器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太合(天津)、益多(大连)、TJE(天津津能)兴邦牌(唐山)、开元(大连)、科华(上海)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排气扇（金属带止回阀）</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松下、樱花、雷士、正野、艾美特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铜管（空调用）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color w:val="000000"/>
                <w:kern w:val="0"/>
                <w:sz w:val="22"/>
                <w:szCs w:val="22"/>
                <w:u w:val="none"/>
                <w:lang w:val="en-US" w:eastAsia="zh-CN" w:bidi="ar"/>
              </w:rPr>
              <w:t>上海飞轮、青岛宏泰、碧灵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风口风阀</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color w:val="000000"/>
                <w:kern w:val="0"/>
                <w:sz w:val="22"/>
                <w:szCs w:val="22"/>
                <w:u w:val="none"/>
                <w:lang w:val="en-US" w:eastAsia="zh-CN" w:bidi="ar"/>
              </w:rPr>
              <w:t>妥思、中航大记、穗城、深胜博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ascii="宋体" w:hAnsi="宋体" w:eastAsia="宋体" w:cs="宋体"/>
                <w:i w:val="0"/>
                <w:iCs w:val="0"/>
                <w:color w:val="000000"/>
                <w:sz w:val="22"/>
                <w:szCs w:val="22"/>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bidi="ar"/>
              </w:rPr>
            </w:pPr>
            <w:r>
              <w:rPr>
                <w:rFonts w:hint="eastAsia" w:cs="宋体"/>
                <w:i w:val="0"/>
                <w:iCs w:val="0"/>
                <w:color w:val="000000"/>
                <w:kern w:val="0"/>
                <w:sz w:val="22"/>
                <w:szCs w:val="22"/>
                <w:u w:val="none"/>
                <w:lang w:val="en-US" w:eastAsia="zh-CN" w:bidi="ar"/>
              </w:rPr>
              <w:t>可视对讲</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开门按钮</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门禁电控锁</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门禁控制器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sz w:val="22"/>
                <w:szCs w:val="22"/>
                <w:u w:val="none"/>
                <w:lang w:val="en-US"/>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无线AP</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color w:val="000000"/>
                <w:kern w:val="0"/>
                <w:sz w:val="22"/>
                <w:szCs w:val="22"/>
                <w:u w:val="none"/>
                <w:lang w:val="en-US" w:eastAsia="zh-CN" w:bidi="ar"/>
              </w:rPr>
              <w:t>华为、H3C新华三（原华三）、中兴、锐捷、深信服科技、海康威视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白色乳胶漆/涂料</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立邦、西卡凡士能、多乐士、三棵树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瓷砖</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简一、蒙娜丽莎、冠珠、欧神诺、诺贝尔、马可波罗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石膏板</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杰森、可耐福、北新龙牌、博罗拉法基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龙骨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杰森、可耐福、顶诺、圣戈班、龙牌、博罗拉法基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木地板</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大自然，圣象，安信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橡胶地板（均质卷材）</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得嘉、洁福、阿姆斯壮、博尔福、福仕嘉、欧迈宝、劲踏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玻璃</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信义、耀皮玻璃、海航特玻、南玻、中玻、中航特玻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氟碳喷涂</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u w:val="none"/>
                <w:lang w:bidi="ar"/>
              </w:rPr>
            </w:pPr>
            <w:r>
              <w:rPr>
                <w:rFonts w:hint="eastAsia" w:ascii="宋体" w:hAnsi="宋体" w:eastAsia="宋体" w:cs="宋体"/>
                <w:color w:val="000000"/>
                <w:kern w:val="0"/>
                <w:sz w:val="22"/>
                <w:szCs w:val="22"/>
                <w:u w:val="none"/>
                <w:lang w:val="en-US" w:eastAsia="zh-CN" w:bidi="ar"/>
              </w:rPr>
              <w:t>多乐士、嘉宝莉、SKK、嘉达、菊花、明远、美涂士</w:t>
            </w:r>
          </w:p>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地弹簧</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摩登、坚朗、瑞高、汇泰龙、瑞博尔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闭门器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摩登、坚朗、瑞高、汇泰龙、瑞博尔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门锁五金</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摩登、坚朗、瑞高、汇泰龙、瑞博尔、安恒、曼特、河淳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幕墙开启扇、门窗五金</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坚朗、合和、立兴杨氏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防火门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霍曼、江山赛银、恒昌达、东莞华棱、曼特、惠州轩源、广东航盾消防、广东家吉消防、东莞市中盾、广州市白云南粤、深圳市龙辉三和、深圳市宝盾、深圳市艾斯沃、芳大、广东联塑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板材、阻燃板</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千年舟、兔宝宝、伟业、丰林、莫干山、益利安、鲁丽、福湘、福庆板材、大王椰、千山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硅酮密封胶</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郑州中原、成都硅宝、白云、金鼠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胶条（含三元乙丙胶条）</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道康宁、GE、瓦克、罗纳星江阴海达、联合强、荣基、新安东、海达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default" w:ascii="宋体" w:hAnsi="宋体" w:eastAsia="宋体"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铝合金型材</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广银亚铝、广亚铝业、兴发铝业、广东中亚、豪美铝业、坚美型材、华加日西林、凤铝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腻子</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美巢、卓宝、百利士、立邦、三棵树、多乐士、亚士、百得、伟伯、莱恩斯、马贝、金隅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u w:val="none"/>
                <w:lang w:bidi="ar"/>
              </w:rPr>
            </w:pPr>
            <w:r>
              <w:rPr>
                <w:rFonts w:hint="eastAsia" w:ascii="宋体" w:hAnsi="宋体" w:eastAsia="宋体" w:cs="宋体"/>
                <w:color w:val="000000"/>
                <w:kern w:val="0"/>
                <w:sz w:val="22"/>
                <w:szCs w:val="22"/>
                <w:u w:val="none"/>
                <w:lang w:val="en-US" w:eastAsia="zh-CN" w:bidi="ar"/>
              </w:rPr>
              <w:t xml:space="preserve">瓷砖胶、大理石胶、石 </w:t>
            </w:r>
          </w:p>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材干挂胶</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olor w:val="000000"/>
                <w:sz w:val="22"/>
                <w:szCs w:val="22"/>
                <w:u w:val="none"/>
                <w:lang w:bidi="ar"/>
              </w:rPr>
            </w:pPr>
            <w:r>
              <w:rPr>
                <w:rFonts w:hint="eastAsia" w:ascii="宋体" w:hAnsi="宋体" w:eastAsia="宋体" w:cs="宋体"/>
                <w:color w:val="000000"/>
                <w:kern w:val="0"/>
                <w:sz w:val="22"/>
                <w:szCs w:val="22"/>
                <w:u w:val="none"/>
                <w:lang w:val="en-US" w:eastAsia="zh-CN" w:bidi="ar"/>
              </w:rPr>
              <w:t xml:space="preserve">德高、雷帝、立邦、东方雨虹、亚士、卓宝、百利士、 </w:t>
            </w:r>
          </w:p>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石神、硅宝、白云、之江、中原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防水材料</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宏源、凯伦、卓宝、东方雨虹、北新、科顺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防火棉、保温棉</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金邦、卓宝、尤特森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防火涂料</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深圳天宁、上海易川、四川天府、广州市泰堡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火灾报警</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北大青鸟、海湾、泛海三江、泰和安科技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摄像机</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华为、宇视、海康威视、大华、英飞拓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消防水产品（喷头、水流指示器、湿式报警阀组、水泵 接合器、信号阀）</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广东胜捷、川消、上海金盾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消火栓箱</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香蜜湖、天广、集安、广东胜捷</w:t>
            </w:r>
            <w:r>
              <w:rPr>
                <w:rFonts w:hint="eastAsia" w:cs="宋体"/>
                <w:color w:val="000000"/>
                <w:kern w:val="0"/>
                <w:sz w:val="22"/>
                <w:szCs w:val="22"/>
                <w:highlight w:val="none"/>
                <w:u w:val="none"/>
                <w:lang w:val="en-US" w:eastAsia="zh-CN" w:bidi="ar"/>
              </w:rPr>
              <w:t>、桂安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PVC-U 给、排水管</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日丰、伟星、永高、联塑、皇冠、深塑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PP-R 给水管</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日丰、伟星、永高、联塑、皇冠、深塑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地漏</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恒洁、摩恩、HCG和成、优达、九牧、亚洲象、恒思汇、潜水艇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热水器</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美的、港华紫荆、万家乐、华帝、万和、海尔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橡塑保温材料</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金福莱斯、神州（绿都）、赢胜、广华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8"/>
              </w:numPr>
              <w:suppressLineNumbers w:val="0"/>
              <w:ind w:left="425" w:hanging="425"/>
              <w:jc w:val="center"/>
              <w:textAlignment w:val="center"/>
              <w:rPr>
                <w:rFonts w:hint="eastAsia" w:cs="宋体"/>
                <w:i w:val="0"/>
                <w:iCs w:val="0"/>
                <w:color w:val="000000"/>
                <w:kern w:val="0"/>
                <w:sz w:val="22"/>
                <w:szCs w:val="22"/>
                <w:u w:val="none"/>
                <w:lang w:val="en-US" w:eastAsia="zh-CN" w:bidi="ar"/>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Times New Roman" w:hAnsi="Times New Roman" w:eastAsia="宋体" w:cs="Times New Roman"/>
                <w:kern w:val="2"/>
                <w:sz w:val="21"/>
                <w:szCs w:val="24"/>
                <w:lang w:val="en-US" w:eastAsia="zh-CN" w:bidi="ar-SA"/>
              </w:rPr>
              <w:t>玻璃棉保温材料</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欧文斯科宁、杰孚、上海平板、依索维尔</w:t>
            </w:r>
          </w:p>
        </w:tc>
      </w:tr>
    </w:tbl>
    <w:p>
      <w:pPr>
        <w:pStyle w:val="22"/>
        <w:adjustRightInd w:val="0"/>
        <w:snapToGrid w:val="0"/>
        <w:spacing w:line="360" w:lineRule="exact"/>
        <w:ind w:firstLine="472" w:firstLineChars="196"/>
        <w:rPr>
          <w:b/>
          <w:color w:val="auto"/>
          <w:kern w:val="0"/>
          <w:sz w:val="24"/>
          <w:highlight w:val="none"/>
        </w:rPr>
      </w:pPr>
    </w:p>
    <w:p>
      <w:pPr>
        <w:rPr>
          <w:color w:val="auto"/>
          <w:highlight w:val="none"/>
        </w:rPr>
      </w:pPr>
      <w:r>
        <w:rPr>
          <w:rFonts w:hint="eastAsia"/>
          <w:color w:val="auto"/>
          <w:szCs w:val="21"/>
          <w:highlight w:val="none"/>
        </w:rPr>
        <w:t>上述参考材料品牌仅供参考。参考品牌非唯一选择,允许有偏离，但性能、品质要求不低于所参考品牌，乙方在采购过程中如需更换上述材料品牌，需取得甲方同意后方可更换，并确保其能满足设计需求。</w:t>
      </w:r>
    </w:p>
    <w:p>
      <w:pPr>
        <w:rPr>
          <w:rFonts w:cs="FangSong_GB2312"/>
          <w:b/>
          <w:bCs/>
          <w:color w:val="auto"/>
          <w:kern w:val="2"/>
          <w:highlight w:val="none"/>
        </w:rPr>
      </w:pPr>
      <w:r>
        <w:rPr>
          <w:rFonts w:hint="eastAsia" w:cs="FangSong_GB2312"/>
          <w:b/>
          <w:bCs/>
          <w:color w:val="auto"/>
          <w:kern w:val="2"/>
          <w:highlight w:val="none"/>
        </w:rPr>
        <w:br w:type="page"/>
      </w:r>
    </w:p>
    <w:p>
      <w:pPr>
        <w:spacing w:line="360" w:lineRule="auto"/>
        <w:outlineLvl w:val="1"/>
        <w:rPr>
          <w:color w:val="auto"/>
          <w:kern w:val="2"/>
          <w:sz w:val="21"/>
          <w:szCs w:val="21"/>
          <w:highlight w:val="none"/>
        </w:rPr>
      </w:pPr>
      <w:bookmarkStart w:id="1091" w:name="_Toc32650"/>
      <w:bookmarkStart w:id="1092" w:name="_Toc27068"/>
      <w:bookmarkStart w:id="1093" w:name="_Toc11938"/>
      <w:bookmarkStart w:id="1094" w:name="_Toc6315"/>
      <w:bookmarkStart w:id="1095" w:name="_Toc24215"/>
      <w:bookmarkStart w:id="1096" w:name="_Toc7580"/>
      <w:r>
        <w:rPr>
          <w:rFonts w:hint="eastAsia"/>
          <w:color w:val="auto"/>
          <w:kern w:val="2"/>
          <w:sz w:val="21"/>
          <w:szCs w:val="21"/>
          <w:highlight w:val="none"/>
        </w:rPr>
        <w:t>附件3</w:t>
      </w:r>
      <w:bookmarkEnd w:id="1091"/>
      <w:bookmarkEnd w:id="1092"/>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履约评价管理办法</w:t>
      </w:r>
    </w:p>
    <w:p>
      <w:pPr>
        <w:adjustRightInd w:val="0"/>
        <w:snapToGrid w:val="0"/>
        <w:spacing w:line="360" w:lineRule="auto"/>
        <w:ind w:firstLine="480" w:firstLineChars="200"/>
        <w:rPr>
          <w:color w:val="auto"/>
          <w:highlight w:val="none"/>
        </w:rPr>
      </w:pPr>
      <w:r>
        <w:rPr>
          <w:rFonts w:hint="eastAsia"/>
          <w:color w:val="auto"/>
          <w:highlight w:val="none"/>
        </w:rPr>
        <w:t>按照甲方下发的建设工程合同履约评价管理办法执行。</w:t>
      </w:r>
    </w:p>
    <w:p>
      <w:pPr>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br w:type="page"/>
      </w:r>
    </w:p>
    <w:p>
      <w:pPr>
        <w:spacing w:line="560" w:lineRule="exact"/>
        <w:jc w:val="center"/>
        <w:rPr>
          <w:rFonts w:ascii="方正小标宋简体" w:hAnsi="Times New Roman" w:eastAsia="方正小标宋简体" w:cs="Times New Roman"/>
          <w:bCs/>
          <w:color w:val="auto"/>
          <w:sz w:val="28"/>
          <w:szCs w:val="28"/>
          <w:highlight w:val="none"/>
        </w:rPr>
      </w:pPr>
    </w:p>
    <w:p>
      <w:pPr>
        <w:spacing w:line="360" w:lineRule="auto"/>
        <w:outlineLvl w:val="1"/>
        <w:rPr>
          <w:color w:val="auto"/>
          <w:kern w:val="2"/>
          <w:sz w:val="21"/>
          <w:szCs w:val="21"/>
          <w:highlight w:val="none"/>
        </w:rPr>
      </w:pPr>
      <w:bookmarkStart w:id="1097" w:name="_Toc12101"/>
      <w:bookmarkStart w:id="1098" w:name="_Toc31963"/>
      <w:r>
        <w:rPr>
          <w:rFonts w:hint="eastAsia"/>
          <w:color w:val="auto"/>
          <w:kern w:val="2"/>
          <w:sz w:val="21"/>
          <w:szCs w:val="21"/>
          <w:highlight w:val="none"/>
        </w:rPr>
        <w:t>附件</w:t>
      </w:r>
      <w:bookmarkEnd w:id="1093"/>
      <w:bookmarkEnd w:id="1094"/>
      <w:bookmarkEnd w:id="1095"/>
      <w:bookmarkEnd w:id="1096"/>
      <w:r>
        <w:rPr>
          <w:rFonts w:hint="eastAsia"/>
          <w:color w:val="auto"/>
          <w:kern w:val="2"/>
          <w:sz w:val="21"/>
          <w:szCs w:val="21"/>
          <w:highlight w:val="none"/>
        </w:rPr>
        <w:t>4</w:t>
      </w:r>
      <w:bookmarkEnd w:id="1097"/>
      <w:bookmarkEnd w:id="1098"/>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工程质量保修书</w:t>
      </w:r>
    </w:p>
    <w:p>
      <w:pPr>
        <w:adjustRightInd w:val="0"/>
        <w:snapToGrid w:val="0"/>
        <w:spacing w:line="360" w:lineRule="auto"/>
        <w:ind w:firstLine="480" w:firstLineChars="200"/>
        <w:rPr>
          <w:color w:val="auto"/>
          <w:highlight w:val="none"/>
        </w:rPr>
      </w:pPr>
      <w:r>
        <w:rPr>
          <w:rFonts w:hint="eastAsia"/>
          <w:color w:val="auto"/>
          <w:highlight w:val="none"/>
        </w:rPr>
        <w:t>发包人（全称）：</w:t>
      </w:r>
      <w:r>
        <w:rPr>
          <w:rFonts w:hint="eastAsia"/>
          <w:color w:val="auto"/>
          <w:highlight w:val="none"/>
          <w:u w:val="single"/>
        </w:rPr>
        <w:t>深圳市龙华高新技术产业园区开发投资有限公司</w:t>
      </w:r>
      <w:r>
        <w:rPr>
          <w:color w:val="auto"/>
          <w:highlight w:val="none"/>
          <w:u w:val="single"/>
        </w:rPr>
        <w:fldChar w:fldCharType="begin"/>
      </w:r>
      <w:r>
        <w:rPr>
          <w:color w:val="auto"/>
          <w:highlight w:val="none"/>
          <w:u w:val="single"/>
        </w:rPr>
        <w:instrText xml:space="preserve"> AUTOTEXT  input272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承包人（全称）：</w:t>
      </w:r>
      <w:r>
        <w:rPr>
          <w:rFonts w:hint="eastAsia"/>
          <w:bCs/>
          <w:color w:val="auto"/>
          <w:kern w:val="2"/>
          <w:szCs w:val="22"/>
          <w:highlight w:val="none"/>
          <w:u w:val="single"/>
        </w:rPr>
        <w:t>*****</w:t>
      </w:r>
      <w:r>
        <w:rPr>
          <w:color w:val="auto"/>
          <w:highlight w:val="none"/>
          <w:u w:val="single"/>
        </w:rPr>
        <w:fldChar w:fldCharType="begin"/>
      </w:r>
      <w:r>
        <w:rPr>
          <w:color w:val="auto"/>
          <w:highlight w:val="none"/>
          <w:u w:val="single"/>
        </w:rPr>
        <w:instrText xml:space="preserve"> AUTOTEXT  input273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为保证</w:t>
      </w:r>
      <w:r>
        <w:rPr>
          <w:rFonts w:hint="eastAsia"/>
          <w:color w:val="auto"/>
          <w:highlight w:val="none"/>
          <w:u w:val="single"/>
        </w:rPr>
        <w:t>龙馨家园项目集中商业3层装修改造工程</w:t>
      </w:r>
      <w:r>
        <w:rPr>
          <w:color w:val="auto"/>
          <w:highlight w:val="none"/>
          <w:u w:val="single"/>
        </w:rPr>
        <w:fldChar w:fldCharType="begin"/>
      </w:r>
      <w:r>
        <w:rPr>
          <w:color w:val="auto"/>
          <w:highlight w:val="none"/>
          <w:u w:val="single"/>
        </w:rPr>
        <w:instrText xml:space="preserve"> AUTOTEXT  input274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u w:val="single"/>
        </w:rPr>
        <w:t>（</w:t>
      </w:r>
      <w:r>
        <w:rPr>
          <w:rFonts w:hint="eastAsia"/>
          <w:color w:val="auto"/>
          <w:highlight w:val="none"/>
        </w:rPr>
        <w:t>工程名称）在合理使用期限内正常使用，发包人和承包人根据《中华人民共和国建筑法》、《建设工程质量管理条例》、《深圳特区建设工程质量管理条例》等相关规定，经协商一致，签订工程质量保修书。承包人在质量保修期内按照有关规定及双方约定承担工程质量保修责任。</w:t>
      </w:r>
    </w:p>
    <w:p>
      <w:pPr>
        <w:adjustRightInd w:val="0"/>
        <w:snapToGrid w:val="0"/>
        <w:spacing w:line="360" w:lineRule="auto"/>
        <w:ind w:firstLine="480" w:firstLineChars="200"/>
        <w:rPr>
          <w:color w:val="auto"/>
          <w:highlight w:val="none"/>
        </w:rPr>
      </w:pPr>
      <w:r>
        <w:rPr>
          <w:rFonts w:hint="eastAsia"/>
          <w:color w:val="auto"/>
          <w:highlight w:val="none"/>
        </w:rPr>
        <w:t>一、工程质量保修范围</w:t>
      </w:r>
    </w:p>
    <w:p>
      <w:pPr>
        <w:adjustRightInd w:val="0"/>
        <w:snapToGrid w:val="0"/>
        <w:spacing w:line="360" w:lineRule="auto"/>
        <w:ind w:firstLine="480" w:firstLineChars="200"/>
        <w:rPr>
          <w:color w:val="auto"/>
          <w:highlight w:val="none"/>
        </w:rPr>
      </w:pPr>
      <w:r>
        <w:rPr>
          <w:rFonts w:hint="eastAsia"/>
          <w:color w:val="auto"/>
          <w:highlight w:val="none"/>
        </w:rPr>
        <w:t>质量保修范围包括主体结构工程、屋面防水工程、有防水要求的卫生间/房间和外墙面的防渗漏工程、电气管线工程、给排水管道工程、设备安装工程、供热和供冷系统工程、装饰装修工程以及双方约定的其他项目。</w:t>
      </w:r>
    </w:p>
    <w:p>
      <w:pPr>
        <w:adjustRightInd w:val="0"/>
        <w:snapToGrid w:val="0"/>
        <w:spacing w:line="360" w:lineRule="auto"/>
        <w:ind w:firstLine="480" w:firstLineChars="200"/>
        <w:rPr>
          <w:color w:val="auto"/>
          <w:highlight w:val="none"/>
        </w:rPr>
      </w:pPr>
      <w:r>
        <w:rPr>
          <w:rFonts w:hint="eastAsia"/>
          <w:color w:val="auto"/>
          <w:highlight w:val="none"/>
        </w:rPr>
        <w:t>具体质量保修范围，双方约定如下：</w:t>
      </w:r>
    </w:p>
    <w:p>
      <w:pPr>
        <w:adjustRightInd w:val="0"/>
        <w:snapToGrid w:val="0"/>
        <w:spacing w:line="360" w:lineRule="auto"/>
        <w:ind w:firstLine="480" w:firstLineChars="200"/>
        <w:rPr>
          <w:color w:val="auto"/>
          <w:highlight w:val="none"/>
          <w:u w:val="single"/>
        </w:rPr>
      </w:pPr>
      <w:r>
        <w:rPr>
          <w:rFonts w:hint="eastAsia"/>
          <w:color w:val="auto"/>
          <w:highlight w:val="none"/>
          <w:u w:val="single"/>
        </w:rPr>
        <w:t>1.本合同所包含的所有工程项目、设计变更、现场签证、合同条件约谈记录以及双方会议纪要约定等全部内容，由于承包人原因造成的工程质量缺陷或材料设备质量缺陷问题，均属保修范围；</w:t>
      </w:r>
    </w:p>
    <w:p>
      <w:pPr>
        <w:spacing w:line="360" w:lineRule="auto"/>
        <w:ind w:firstLine="480" w:firstLineChars="200"/>
        <w:rPr>
          <w:color w:val="auto"/>
          <w:highlight w:val="none"/>
          <w:u w:val="single"/>
        </w:rPr>
      </w:pPr>
      <w:r>
        <w:rPr>
          <w:rFonts w:hint="eastAsia"/>
          <w:color w:val="auto"/>
          <w:highlight w:val="none"/>
          <w:u w:val="single"/>
        </w:rPr>
        <w:t>2.由于承包人原因造成的工程质量缺陷或材料设备质量缺陷问题，造成发包人和业主的全部直接和间接损失，由承包人无条件承担。所有费用从发包人支付承包人的任何款项中直接扣除，无需承包人认可。</w:t>
      </w:r>
    </w:p>
    <w:p>
      <w:pPr>
        <w:spacing w:line="360" w:lineRule="auto"/>
        <w:ind w:firstLine="480" w:firstLineChars="200"/>
        <w:rPr>
          <w:color w:val="auto"/>
          <w:highlight w:val="none"/>
          <w:u w:val="single"/>
        </w:rPr>
      </w:pPr>
      <w:r>
        <w:rPr>
          <w:rFonts w:hint="eastAsia"/>
          <w:color w:val="auto"/>
          <w:highlight w:val="none"/>
          <w:u w:val="single"/>
        </w:rPr>
        <w:t>3.由于承包人原因造成的工程质量缺陷或材料设备质量缺陷问题导致业主投诉及索赔时，承包人授权发包人全权代表承包人与业主进行索赔谈判并确定赔偿金额，谈判结果经发包人和业主签字后立即生效，发包人将承包人须承担的费用总额从发包人支付承包人的任何款项中直接扣除，无需承包人书面认可。</w:t>
      </w:r>
      <w:r>
        <w:rPr>
          <w:color w:val="auto"/>
          <w:highlight w:val="none"/>
          <w:u w:val="single"/>
        </w:rPr>
        <w:fldChar w:fldCharType="begin"/>
      </w:r>
      <w:r>
        <w:rPr>
          <w:color w:val="auto"/>
          <w:highlight w:val="none"/>
          <w:u w:val="single"/>
        </w:rPr>
        <w:instrText xml:space="preserve"> AUTOTEXT  input275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二、工程质量保修期</w:t>
      </w:r>
    </w:p>
    <w:p>
      <w:pPr>
        <w:adjustRightInd w:val="0"/>
        <w:snapToGrid w:val="0"/>
        <w:spacing w:line="360" w:lineRule="auto"/>
        <w:ind w:firstLine="480" w:firstLineChars="200"/>
        <w:rPr>
          <w:color w:val="auto"/>
          <w:highlight w:val="none"/>
        </w:rPr>
      </w:pPr>
      <w:r>
        <w:rPr>
          <w:rFonts w:hint="eastAsia"/>
          <w:color w:val="auto"/>
          <w:highlight w:val="none"/>
        </w:rPr>
        <w:t>质量保修期从工程实际竣工之日算起。单项竣工验收的工程，按单项工程分别计算质量保修期。</w:t>
      </w:r>
    </w:p>
    <w:p>
      <w:pPr>
        <w:adjustRightInd w:val="0"/>
        <w:snapToGrid w:val="0"/>
        <w:spacing w:line="360" w:lineRule="auto"/>
        <w:ind w:firstLine="480" w:firstLineChars="200"/>
        <w:rPr>
          <w:color w:val="auto"/>
          <w:highlight w:val="none"/>
        </w:rPr>
      </w:pPr>
      <w:r>
        <w:rPr>
          <w:rFonts w:hint="eastAsia"/>
          <w:color w:val="auto"/>
          <w:highlight w:val="none"/>
        </w:rPr>
        <w:t>双方约定本工程质量保修期如下：</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input276 \* MERGEFORMAT </w:instrText>
      </w:r>
      <w:r>
        <w:rPr>
          <w:color w:val="auto"/>
          <w:highlight w:val="none"/>
        </w:rPr>
        <w:fldChar w:fldCharType="separate"/>
      </w:r>
      <w:r>
        <w:rPr>
          <w:color w:val="auto"/>
          <w:highlight w:val="none"/>
        </w:rPr>
        <w:fldChar w:fldCharType="end"/>
      </w:r>
      <w:r>
        <w:rPr>
          <w:rFonts w:hint="eastAsia"/>
          <w:color w:val="auto"/>
          <w:highlight w:val="none"/>
        </w:rPr>
        <w:t>地基基础工程、主体结构工程为设计文件规定的合理使用年限；</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input277 \* MERGEFORMAT </w:instrText>
      </w:r>
      <w:r>
        <w:rPr>
          <w:color w:val="auto"/>
          <w:highlight w:val="none"/>
        </w:rPr>
        <w:fldChar w:fldCharType="separate"/>
      </w:r>
      <w:r>
        <w:rPr>
          <w:color w:val="auto"/>
          <w:highlight w:val="none"/>
        </w:rPr>
        <w:fldChar w:fldCharType="end"/>
      </w:r>
      <w:r>
        <w:rPr>
          <w:rFonts w:hint="eastAsia"/>
          <w:color w:val="auto"/>
          <w:highlight w:val="none"/>
        </w:rPr>
        <w:t>屋面防水工程、有防水要求的卫生间/房间和外墙面的防渗漏工程为</w:t>
      </w:r>
      <w:r>
        <w:rPr>
          <w:color w:val="auto"/>
          <w:highlight w:val="none"/>
          <w:u w:val="single"/>
        </w:rPr>
        <w:t>5</w:t>
      </w:r>
      <w:r>
        <w:rPr>
          <w:color w:val="auto"/>
          <w:highlight w:val="none"/>
          <w:u w:val="single"/>
        </w:rPr>
        <w:fldChar w:fldCharType="begin"/>
      </w:r>
      <w:r>
        <w:rPr>
          <w:color w:val="auto"/>
          <w:highlight w:val="none"/>
          <w:u w:val="single"/>
        </w:rPr>
        <w:instrText xml:space="preserve"> AUTOTEXT  input278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年（最低为5年）；</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input279 \* MERGEFORMAT </w:instrText>
      </w:r>
      <w:r>
        <w:rPr>
          <w:color w:val="auto"/>
          <w:highlight w:val="none"/>
        </w:rPr>
        <w:fldChar w:fldCharType="separate"/>
      </w:r>
      <w:r>
        <w:rPr>
          <w:color w:val="auto"/>
          <w:highlight w:val="none"/>
        </w:rPr>
        <w:fldChar w:fldCharType="end"/>
      </w:r>
      <w:r>
        <w:rPr>
          <w:rFonts w:hint="eastAsia"/>
          <w:color w:val="auto"/>
          <w:highlight w:val="none"/>
        </w:rPr>
        <w:t>电气管线工程、给排水管道工程、设备安装工程为</w:t>
      </w:r>
      <w:r>
        <w:rPr>
          <w:color w:val="auto"/>
          <w:highlight w:val="none"/>
          <w:u w:val="single"/>
        </w:rPr>
        <w:t>2</w:t>
      </w:r>
      <w:r>
        <w:rPr>
          <w:color w:val="auto"/>
          <w:highlight w:val="none"/>
          <w:u w:val="single"/>
        </w:rPr>
        <w:fldChar w:fldCharType="begin"/>
      </w:r>
      <w:r>
        <w:rPr>
          <w:color w:val="auto"/>
          <w:highlight w:val="none"/>
          <w:u w:val="single"/>
        </w:rPr>
        <w:instrText xml:space="preserve"> AUTOTEXT  input280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年（最低为2年）；</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input281 \* MERGEFORMAT </w:instrText>
      </w:r>
      <w:r>
        <w:rPr>
          <w:color w:val="auto"/>
          <w:highlight w:val="none"/>
        </w:rPr>
        <w:fldChar w:fldCharType="separate"/>
      </w:r>
      <w:r>
        <w:rPr>
          <w:color w:val="auto"/>
          <w:highlight w:val="none"/>
        </w:rPr>
        <w:fldChar w:fldCharType="end"/>
      </w:r>
      <w:r>
        <w:rPr>
          <w:rFonts w:hint="eastAsia"/>
          <w:color w:val="auto"/>
          <w:highlight w:val="none"/>
        </w:rPr>
        <w:t>供热和供冷系统工程为</w:t>
      </w:r>
      <w:r>
        <w:rPr>
          <w:color w:val="auto"/>
          <w:highlight w:val="none"/>
          <w:u w:val="single"/>
        </w:rPr>
        <w:t>2</w:t>
      </w:r>
      <w:r>
        <w:rPr>
          <w:color w:val="auto"/>
          <w:highlight w:val="none"/>
          <w:u w:val="single"/>
        </w:rPr>
        <w:fldChar w:fldCharType="begin"/>
      </w:r>
      <w:r>
        <w:rPr>
          <w:color w:val="auto"/>
          <w:highlight w:val="none"/>
          <w:u w:val="single"/>
        </w:rPr>
        <w:instrText xml:space="preserve"> AUTOTEXT  input282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个（最低为2个）采暖期、供冷期；</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input283 \* MERGEFORMAT </w:instrText>
      </w:r>
      <w:r>
        <w:rPr>
          <w:color w:val="auto"/>
          <w:highlight w:val="none"/>
        </w:rPr>
        <w:fldChar w:fldCharType="separate"/>
      </w:r>
      <w:r>
        <w:rPr>
          <w:color w:val="auto"/>
          <w:highlight w:val="none"/>
        </w:rPr>
        <w:fldChar w:fldCharType="end"/>
      </w:r>
      <w:r>
        <w:rPr>
          <w:rFonts w:hint="eastAsia"/>
          <w:color w:val="auto"/>
          <w:highlight w:val="none"/>
        </w:rPr>
        <w:t>装饰装修工程为</w:t>
      </w:r>
      <w:r>
        <w:rPr>
          <w:color w:val="auto"/>
          <w:highlight w:val="none"/>
          <w:u w:val="single"/>
        </w:rPr>
        <w:t>2</w:t>
      </w:r>
      <w:r>
        <w:rPr>
          <w:color w:val="auto"/>
          <w:highlight w:val="none"/>
          <w:u w:val="single"/>
        </w:rPr>
        <w:fldChar w:fldCharType="begin"/>
      </w:r>
      <w:r>
        <w:rPr>
          <w:color w:val="auto"/>
          <w:highlight w:val="none"/>
          <w:u w:val="single"/>
        </w:rPr>
        <w:instrText xml:space="preserve"> AUTOTEXT  input284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年；</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input285 \* MERGEFORMAT </w:instrText>
      </w:r>
      <w:r>
        <w:rPr>
          <w:color w:val="auto"/>
          <w:highlight w:val="none"/>
        </w:rPr>
        <w:fldChar w:fldCharType="separate"/>
      </w:r>
      <w:r>
        <w:rPr>
          <w:color w:val="auto"/>
          <w:highlight w:val="none"/>
        </w:rPr>
        <w:fldChar w:fldCharType="end"/>
      </w:r>
      <w:r>
        <w:rPr>
          <w:rFonts w:hint="eastAsia"/>
          <w:color w:val="auto"/>
          <w:highlight w:val="none"/>
        </w:rPr>
        <w:t>其他项目保修期约定：</w:t>
      </w:r>
    </w:p>
    <w:p>
      <w:pPr>
        <w:adjustRightInd w:val="0"/>
        <w:snapToGrid w:val="0"/>
        <w:spacing w:line="360" w:lineRule="auto"/>
        <w:ind w:firstLine="480" w:firstLineChars="200"/>
        <w:rPr>
          <w:color w:val="auto"/>
          <w:highlight w:val="none"/>
          <w:u w:val="single"/>
        </w:rPr>
      </w:pPr>
      <w:r>
        <w:rPr>
          <w:color w:val="auto"/>
          <w:highlight w:val="none"/>
          <w:u w:val="single"/>
        </w:rPr>
        <w:t xml:space="preserve"> 其他项目的缺陷保修期均为2年，其中LED产品、网络设备产品保修5年。</w:t>
      </w:r>
      <w:r>
        <w:rPr>
          <w:color w:val="auto"/>
          <w:highlight w:val="none"/>
          <w:u w:val="single"/>
        </w:rPr>
        <w:fldChar w:fldCharType="begin"/>
      </w:r>
      <w:r>
        <w:rPr>
          <w:color w:val="auto"/>
          <w:highlight w:val="none"/>
          <w:u w:val="single"/>
        </w:rPr>
        <w:instrText xml:space="preserve"> AUTOTEXT  input286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三、工程质量保修责任</w:t>
      </w:r>
    </w:p>
    <w:p>
      <w:pPr>
        <w:spacing w:line="360" w:lineRule="auto"/>
        <w:ind w:firstLine="480" w:firstLineChars="200"/>
        <w:rPr>
          <w:color w:val="auto"/>
          <w:highlight w:val="none"/>
        </w:rPr>
      </w:pPr>
      <w:r>
        <w:rPr>
          <w:rFonts w:hint="eastAsia"/>
          <w:color w:val="auto"/>
          <w:highlight w:val="none"/>
        </w:rPr>
        <w:t>1.属于保修范围内的项目，在保修期内，承包人应在接到保修通知之日后７天内派人修理。承包人不在约定期限内派人修理，发包人可委托其他人员修理，由此产生的费用从工程质量保修金中直接扣除。</w:t>
      </w:r>
    </w:p>
    <w:p>
      <w:pPr>
        <w:adjustRightInd w:val="0"/>
        <w:snapToGrid w:val="0"/>
        <w:spacing w:line="360" w:lineRule="auto"/>
        <w:ind w:firstLine="480" w:firstLineChars="200"/>
        <w:rPr>
          <w:color w:val="auto"/>
          <w:highlight w:val="none"/>
        </w:rPr>
      </w:pPr>
      <w:r>
        <w:rPr>
          <w:rFonts w:hint="eastAsia"/>
          <w:color w:val="auto"/>
          <w:highlight w:val="none"/>
        </w:rPr>
        <w:t>2.发生紧急抢修事故的，承包人接到事故通知后，应立即到达事故现场抢修。</w:t>
      </w:r>
    </w:p>
    <w:p>
      <w:pPr>
        <w:adjustRightInd w:val="0"/>
        <w:snapToGrid w:val="0"/>
        <w:spacing w:line="360" w:lineRule="auto"/>
        <w:ind w:firstLine="480" w:firstLineChars="200"/>
        <w:rPr>
          <w:color w:val="auto"/>
          <w:highlight w:val="none"/>
        </w:rPr>
      </w:pPr>
      <w:r>
        <w:rPr>
          <w:rFonts w:hint="eastAsia"/>
          <w:color w:val="auto"/>
          <w:highlight w:val="none"/>
        </w:rPr>
        <w:t>四、工程质量保修费用</w:t>
      </w:r>
    </w:p>
    <w:p>
      <w:pPr>
        <w:adjustRightInd w:val="0"/>
        <w:snapToGrid w:val="0"/>
        <w:spacing w:line="360" w:lineRule="auto"/>
        <w:ind w:firstLine="480" w:firstLineChars="200"/>
        <w:rPr>
          <w:color w:val="auto"/>
          <w:highlight w:val="none"/>
        </w:rPr>
      </w:pPr>
      <w:r>
        <w:rPr>
          <w:rFonts w:hint="eastAsia"/>
          <w:color w:val="auto"/>
          <w:highlight w:val="none"/>
        </w:rPr>
        <w:t>工程质量保修费用及相关的损害赔偿责任由造成质量缺陷的责任方承担。</w:t>
      </w:r>
    </w:p>
    <w:p>
      <w:pPr>
        <w:adjustRightInd w:val="0"/>
        <w:snapToGrid w:val="0"/>
        <w:spacing w:line="360" w:lineRule="auto"/>
        <w:ind w:firstLine="480" w:firstLineChars="200"/>
        <w:rPr>
          <w:color w:val="auto"/>
          <w:highlight w:val="none"/>
        </w:rPr>
      </w:pPr>
      <w:r>
        <w:rPr>
          <w:rFonts w:hint="eastAsia"/>
          <w:color w:val="auto"/>
          <w:highlight w:val="none"/>
        </w:rPr>
        <w:t>五、工程质量保证方式</w:t>
      </w:r>
    </w:p>
    <w:p>
      <w:pPr>
        <w:adjustRightInd w:val="0"/>
        <w:snapToGrid w:val="0"/>
        <w:spacing w:line="360" w:lineRule="auto"/>
        <w:ind w:firstLine="480" w:firstLineChars="200"/>
        <w:rPr>
          <w:color w:val="auto"/>
          <w:highlight w:val="none"/>
        </w:rPr>
      </w:pPr>
      <w:r>
        <w:rPr>
          <w:rFonts w:hint="eastAsia"/>
          <w:color w:val="auto"/>
          <w:highlight w:val="none"/>
        </w:rPr>
        <w:t>工程质量保证方式可采用以下方式：</w:t>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input287 \* MERGEFORMAT </w:instrText>
      </w:r>
      <w:r>
        <w:rPr>
          <w:color w:val="auto"/>
          <w:highlight w:val="none"/>
        </w:rPr>
        <w:fldChar w:fldCharType="separate"/>
      </w:r>
      <w:r>
        <w:rPr>
          <w:color w:val="auto"/>
          <w:highlight w:val="none"/>
        </w:rPr>
        <w:fldChar w:fldCharType="end"/>
      </w:r>
      <w:r>
        <w:rPr>
          <w:rFonts w:hint="eastAsia"/>
          <w:color w:val="auto"/>
          <w:highlight w:val="none"/>
        </w:rPr>
        <w:t>质量保证金：</w:t>
      </w:r>
    </w:p>
    <w:p>
      <w:pPr>
        <w:adjustRightInd w:val="0"/>
        <w:snapToGrid w:val="0"/>
        <w:spacing w:line="360" w:lineRule="auto"/>
        <w:ind w:firstLine="480" w:firstLineChars="200"/>
        <w:rPr>
          <w:color w:val="auto"/>
          <w:highlight w:val="none"/>
        </w:rPr>
      </w:pPr>
      <w:r>
        <w:rPr>
          <w:rFonts w:hint="eastAsia"/>
          <w:color w:val="auto"/>
          <w:highlight w:val="none"/>
        </w:rPr>
        <w:t>质量保证金一般不超过签约合同结算的3％，发包人承包人约定本工程的质量保证金为合同结算的3</w:t>
      </w:r>
      <w:r>
        <w:rPr>
          <w:color w:val="auto"/>
          <w:highlight w:val="none"/>
          <w:u w:val="single"/>
        </w:rPr>
        <w:fldChar w:fldCharType="begin"/>
      </w:r>
      <w:r>
        <w:rPr>
          <w:color w:val="auto"/>
          <w:highlight w:val="none"/>
          <w:u w:val="single"/>
        </w:rPr>
        <w:instrText xml:space="preserve"> AUTOTEXT  input288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％，具体为：</w:t>
      </w:r>
    </w:p>
    <w:p>
      <w:pPr>
        <w:adjustRightInd w:val="0"/>
        <w:snapToGrid w:val="0"/>
        <w:spacing w:line="360" w:lineRule="auto"/>
        <w:ind w:firstLine="480" w:firstLineChars="200"/>
        <w:rPr>
          <w:color w:val="auto"/>
          <w:highlight w:val="none"/>
        </w:rPr>
      </w:pPr>
      <w:r>
        <w:rPr>
          <w:rFonts w:hint="eastAsia"/>
          <w:color w:val="auto"/>
          <w:highlight w:val="none"/>
        </w:rPr>
        <w:t>币种：</w:t>
      </w:r>
      <w:r>
        <w:rPr>
          <w:color w:val="auto"/>
          <w:highlight w:val="none"/>
          <w:u w:val="single"/>
        </w:rPr>
        <w:t>人民币</w:t>
      </w:r>
      <w:r>
        <w:rPr>
          <w:color w:val="auto"/>
          <w:highlight w:val="none"/>
          <w:u w:val="single"/>
        </w:rPr>
        <w:fldChar w:fldCharType="begin"/>
      </w:r>
      <w:r>
        <w:rPr>
          <w:color w:val="auto"/>
          <w:highlight w:val="none"/>
          <w:u w:val="single"/>
        </w:rPr>
        <w:instrText xml:space="preserve"> AUTOTEXT  input289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金额（大写）：</w:t>
      </w:r>
      <w:r>
        <w:rPr>
          <w:color w:val="auto"/>
          <w:highlight w:val="none"/>
          <w:u w:val="single"/>
        </w:rPr>
        <w:fldChar w:fldCharType="begin"/>
      </w:r>
      <w:r>
        <w:rPr>
          <w:color w:val="auto"/>
          <w:highlight w:val="none"/>
          <w:u w:val="single"/>
        </w:rPr>
        <w:instrText xml:space="preserve"> AUTOTEXT  input290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元</w:t>
      </w:r>
    </w:p>
    <w:p>
      <w:pPr>
        <w:adjustRightInd w:val="0"/>
        <w:snapToGrid w:val="0"/>
        <w:spacing w:line="360" w:lineRule="auto"/>
        <w:ind w:firstLine="480" w:firstLineChars="200"/>
        <w:rPr>
          <w:color w:val="auto"/>
          <w:highlight w:val="none"/>
        </w:rPr>
      </w:pPr>
      <w:r>
        <w:rPr>
          <w:rFonts w:hint="eastAsia"/>
          <w:color w:val="auto"/>
          <w:highlight w:val="none"/>
        </w:rPr>
        <w:t>（小写）：</w:t>
      </w:r>
      <w:r>
        <w:rPr>
          <w:color w:val="auto"/>
          <w:highlight w:val="none"/>
          <w:u w:val="single"/>
        </w:rPr>
        <w:fldChar w:fldCharType="begin"/>
      </w:r>
      <w:r>
        <w:rPr>
          <w:color w:val="auto"/>
          <w:highlight w:val="none"/>
          <w:u w:val="single"/>
        </w:rPr>
        <w:instrText xml:space="preserve"> AUTOTEXT  input291 \* MERGEFORMAT </w:instrText>
      </w:r>
      <w:r>
        <w:rPr>
          <w:color w:val="auto"/>
          <w:highlight w:val="none"/>
          <w:u w:val="single"/>
        </w:rPr>
        <w:fldChar w:fldCharType="separate"/>
      </w:r>
      <w:r>
        <w:rPr>
          <w:color w:val="auto"/>
          <w:highlight w:val="none"/>
          <w:u w:val="single"/>
        </w:rPr>
        <w:fldChar w:fldCharType="end"/>
      </w:r>
      <w:r>
        <w:rPr>
          <w:rFonts w:hint="eastAsia"/>
          <w:color w:val="auto"/>
          <w:highlight w:val="none"/>
        </w:rPr>
        <w:t>元</w:t>
      </w:r>
    </w:p>
    <w:p>
      <w:pPr>
        <w:adjustRightInd w:val="0"/>
        <w:snapToGrid w:val="0"/>
        <w:spacing w:line="360" w:lineRule="auto"/>
        <w:ind w:firstLine="480" w:firstLineChars="200"/>
        <w:rPr>
          <w:color w:val="auto"/>
          <w:highlight w:val="none"/>
        </w:rPr>
      </w:pPr>
      <w:r>
        <w:rPr>
          <w:rFonts w:hint="eastAsia"/>
          <w:color w:val="auto"/>
          <w:highlight w:val="none"/>
        </w:rPr>
        <w:t>质量保证金银行利率为：</w:t>
      </w:r>
      <w:r>
        <w:rPr>
          <w:color w:val="auto"/>
          <w:highlight w:val="none"/>
          <w:u w:val="single"/>
        </w:rPr>
        <w:t>无息</w:t>
      </w:r>
      <w:r>
        <w:rPr>
          <w:color w:val="auto"/>
          <w:highlight w:val="none"/>
          <w:u w:val="single"/>
        </w:rPr>
        <w:fldChar w:fldCharType="begin"/>
      </w:r>
      <w:r>
        <w:rPr>
          <w:color w:val="auto"/>
          <w:highlight w:val="none"/>
          <w:u w:val="single"/>
        </w:rPr>
        <w:instrText xml:space="preserve"> AUTOTEXT  input292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Ansi="Segoe UI Symbol" w:cs="Segoe UI Symbol"/>
          <w:color w:val="auto"/>
          <w:highlight w:val="none"/>
        </w:rPr>
        <w:t>☑</w:t>
      </w:r>
      <w:r>
        <w:rPr>
          <w:color w:val="auto"/>
          <w:highlight w:val="none"/>
        </w:rPr>
        <w:fldChar w:fldCharType="begin"/>
      </w:r>
      <w:r>
        <w:rPr>
          <w:color w:val="auto"/>
          <w:highlight w:val="none"/>
        </w:rPr>
        <w:instrText xml:space="preserve"> AUTOTEXT  input293 \* MERGEFORMAT </w:instrText>
      </w:r>
      <w:r>
        <w:rPr>
          <w:color w:val="auto"/>
          <w:highlight w:val="none"/>
        </w:rPr>
        <w:fldChar w:fldCharType="separate"/>
      </w:r>
      <w:r>
        <w:rPr>
          <w:color w:val="auto"/>
          <w:highlight w:val="none"/>
        </w:rPr>
        <w:fldChar w:fldCharType="end"/>
      </w:r>
      <w:r>
        <w:rPr>
          <w:rFonts w:hint="eastAsia"/>
          <w:color w:val="auto"/>
          <w:highlight w:val="none"/>
        </w:rPr>
        <w:t>工程质量保证担保：</w:t>
      </w:r>
    </w:p>
    <w:p>
      <w:pPr>
        <w:ind w:firstLine="480" w:firstLineChars="200"/>
        <w:rPr>
          <w:color w:val="auto"/>
          <w:highlight w:val="none"/>
        </w:rPr>
      </w:pPr>
      <w:r>
        <w:rPr>
          <w:rFonts w:hint="eastAsia"/>
          <w:color w:val="auto"/>
          <w:highlight w:val="none"/>
          <w:u w:val="single"/>
        </w:rPr>
        <w:t>担保金额为合同结算价款的</w:t>
      </w:r>
      <w:r>
        <w:rPr>
          <w:color w:val="auto"/>
          <w:highlight w:val="none"/>
          <w:u w:val="single"/>
        </w:rPr>
        <w:t>3%，担保形式为由委托人认可的银行（或专业担保公司）出具的保函，担保期间从工程实际竣工验收合格之日起至两年后，具体以招标人要求为准。</w:t>
      </w:r>
    </w:p>
    <w:p>
      <w:pPr>
        <w:adjustRightInd w:val="0"/>
        <w:snapToGrid w:val="0"/>
        <w:spacing w:line="360" w:lineRule="auto"/>
        <w:ind w:firstLine="480" w:firstLineChars="200"/>
        <w:rPr>
          <w:color w:val="auto"/>
          <w:highlight w:val="none"/>
          <w:u w:val="single"/>
        </w:rPr>
      </w:pPr>
      <w:r>
        <w:rPr>
          <w:color w:val="auto"/>
          <w:highlight w:val="none"/>
        </w:rPr>
        <w:t>□</w:t>
      </w:r>
      <w:r>
        <w:rPr>
          <w:color w:val="auto"/>
          <w:highlight w:val="none"/>
        </w:rPr>
        <w:fldChar w:fldCharType="begin"/>
      </w:r>
      <w:r>
        <w:rPr>
          <w:color w:val="auto"/>
          <w:highlight w:val="none"/>
        </w:rPr>
        <w:instrText xml:space="preserve"> AUTOTEXT  input295 \* MERGEFORMAT </w:instrText>
      </w:r>
      <w:r>
        <w:rPr>
          <w:color w:val="auto"/>
          <w:highlight w:val="none"/>
        </w:rPr>
        <w:fldChar w:fldCharType="separate"/>
      </w:r>
      <w:r>
        <w:rPr>
          <w:color w:val="auto"/>
          <w:highlight w:val="none"/>
        </w:rPr>
        <w:fldChar w:fldCharType="end"/>
      </w:r>
      <w:r>
        <w:rPr>
          <w:rFonts w:hint="eastAsia"/>
          <w:color w:val="auto"/>
          <w:highlight w:val="none"/>
        </w:rPr>
        <w:t>工程质量保险：</w:t>
      </w:r>
      <w:r>
        <w:rPr>
          <w:rFonts w:hint="eastAsia"/>
          <w:color w:val="auto"/>
          <w:highlight w:val="none"/>
          <w:u w:val="single"/>
        </w:rPr>
        <w:t xml:space="preserve">          </w:t>
      </w:r>
      <w:r>
        <w:rPr>
          <w:color w:val="auto"/>
          <w:highlight w:val="none"/>
          <w:u w:val="single"/>
        </w:rPr>
        <w:fldChar w:fldCharType="begin"/>
      </w:r>
      <w:r>
        <w:rPr>
          <w:color w:val="auto"/>
          <w:highlight w:val="none"/>
          <w:u w:val="single"/>
        </w:rPr>
        <w:instrText xml:space="preserve"> AUTOTEXT  input296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六、质量保证金的支付</w:t>
      </w:r>
    </w:p>
    <w:p>
      <w:pPr>
        <w:adjustRightInd w:val="0"/>
        <w:snapToGrid w:val="0"/>
        <w:spacing w:line="360" w:lineRule="auto"/>
        <w:ind w:firstLine="480" w:firstLineChars="200"/>
        <w:rPr>
          <w:color w:val="auto"/>
          <w:highlight w:val="none"/>
        </w:rPr>
      </w:pPr>
      <w:r>
        <w:rPr>
          <w:rFonts w:hint="eastAsia"/>
          <w:color w:val="auto"/>
          <w:highlight w:val="none"/>
        </w:rPr>
        <w:t>采用质量保证金方式时，发包人在工程竣工验收合格满二年后第14天内，将剩余质量保证金和利息支付给承包人，但并不免除承包人在保修期内的保修责任。</w:t>
      </w:r>
    </w:p>
    <w:p>
      <w:pPr>
        <w:adjustRightInd w:val="0"/>
        <w:snapToGrid w:val="0"/>
        <w:spacing w:line="360" w:lineRule="auto"/>
        <w:ind w:firstLine="480" w:firstLineChars="200"/>
        <w:rPr>
          <w:color w:val="auto"/>
          <w:highlight w:val="none"/>
        </w:rPr>
      </w:pPr>
      <w:r>
        <w:rPr>
          <w:rFonts w:hint="eastAsia"/>
          <w:color w:val="auto"/>
          <w:highlight w:val="none"/>
        </w:rPr>
        <w:t>七、其他</w:t>
      </w:r>
    </w:p>
    <w:p>
      <w:pPr>
        <w:adjustRightInd w:val="0"/>
        <w:snapToGrid w:val="0"/>
        <w:spacing w:line="360" w:lineRule="auto"/>
        <w:ind w:firstLine="480" w:firstLineChars="200"/>
        <w:rPr>
          <w:color w:val="auto"/>
          <w:highlight w:val="none"/>
        </w:rPr>
      </w:pPr>
      <w:r>
        <w:rPr>
          <w:rFonts w:hint="eastAsia"/>
          <w:color w:val="auto"/>
          <w:highlight w:val="none"/>
        </w:rPr>
        <w:t>发包人承包人约定的其他工程质量保修事项：</w:t>
      </w:r>
    </w:p>
    <w:p>
      <w:pPr>
        <w:adjustRightInd w:val="0"/>
        <w:snapToGrid w:val="0"/>
        <w:spacing w:line="360" w:lineRule="auto"/>
        <w:ind w:firstLine="480" w:firstLineChars="200"/>
        <w:rPr>
          <w:color w:val="auto"/>
          <w:highlight w:val="none"/>
        </w:rPr>
      </w:pPr>
      <w:r>
        <w:rPr>
          <w:color w:val="auto"/>
          <w:highlight w:val="none"/>
        </w:rPr>
        <w:t>保修实施要求</w:t>
      </w:r>
      <w:r>
        <w:rPr>
          <w:rFonts w:hint="eastAsia"/>
          <w:color w:val="auto"/>
          <w:highlight w:val="none"/>
        </w:rPr>
        <w:t>、</w:t>
      </w:r>
      <w:r>
        <w:rPr>
          <w:color w:val="auto"/>
          <w:highlight w:val="none"/>
        </w:rPr>
        <w:t>维修质量及工作，包括但不限于如下内容：</w:t>
      </w:r>
    </w:p>
    <w:p>
      <w:pPr>
        <w:adjustRightInd w:val="0"/>
        <w:snapToGrid w:val="0"/>
        <w:spacing w:line="360" w:lineRule="auto"/>
        <w:ind w:firstLine="480" w:firstLineChars="200"/>
        <w:rPr>
          <w:color w:val="auto"/>
          <w:highlight w:val="none"/>
        </w:rPr>
      </w:pPr>
      <w:r>
        <w:rPr>
          <w:color w:val="auto"/>
          <w:highlight w:val="none"/>
        </w:rPr>
        <w:t>7.1 维修人员管理：</w:t>
      </w:r>
    </w:p>
    <w:p>
      <w:pPr>
        <w:adjustRightInd w:val="0"/>
        <w:snapToGrid w:val="0"/>
        <w:spacing w:line="360" w:lineRule="auto"/>
        <w:ind w:firstLine="480" w:firstLineChars="200"/>
        <w:rPr>
          <w:color w:val="auto"/>
          <w:highlight w:val="none"/>
        </w:rPr>
      </w:pPr>
      <w:r>
        <w:rPr>
          <w:color w:val="auto"/>
          <w:highlight w:val="none"/>
        </w:rPr>
        <w:t>7.1.1承包人维修人员必须服从发包人的管理。承包人所提供的人员必须提前在发包人备案。若因为发包人委托维修的任务量剧增，承包人备案人员无法满足维修要求时，承包人可以临时调用其他维修人员，但必须得到发包人书面认可，否则完成的维修工作发包人不予认可。</w:t>
      </w:r>
    </w:p>
    <w:p>
      <w:pPr>
        <w:adjustRightInd w:val="0"/>
        <w:snapToGrid w:val="0"/>
        <w:spacing w:line="360" w:lineRule="auto"/>
        <w:ind w:firstLine="480" w:firstLineChars="200"/>
        <w:rPr>
          <w:color w:val="auto"/>
          <w:highlight w:val="none"/>
        </w:rPr>
      </w:pPr>
      <w:r>
        <w:rPr>
          <w:color w:val="auto"/>
          <w:highlight w:val="none"/>
        </w:rPr>
        <w:t>承包人维修人员应对每一个维修任务认真履行保修职责，包括：上门查看、沟通、确定方案、过程实施、结果检验、签单确认等，且工作标准符合发包人要求。</w:t>
      </w:r>
    </w:p>
    <w:p>
      <w:pPr>
        <w:adjustRightInd w:val="0"/>
        <w:snapToGrid w:val="0"/>
        <w:spacing w:line="360" w:lineRule="auto"/>
        <w:ind w:firstLine="480" w:firstLineChars="200"/>
        <w:rPr>
          <w:color w:val="auto"/>
          <w:highlight w:val="none"/>
        </w:rPr>
      </w:pPr>
      <w:r>
        <w:rPr>
          <w:color w:val="auto"/>
          <w:highlight w:val="none"/>
        </w:rPr>
        <w:t>7.1.2 已确定的维修人员承包人不应变动，若确实需要变动，承包人需提前7日向发包人提出书面申请，经过发包人同意后方能更换。</w:t>
      </w:r>
    </w:p>
    <w:p>
      <w:pPr>
        <w:adjustRightInd w:val="0"/>
        <w:snapToGrid w:val="0"/>
        <w:spacing w:line="360" w:lineRule="auto"/>
        <w:ind w:firstLine="480" w:firstLineChars="200"/>
        <w:rPr>
          <w:color w:val="auto"/>
          <w:highlight w:val="none"/>
          <w:u w:val="single"/>
        </w:rPr>
      </w:pPr>
      <w:r>
        <w:rPr>
          <w:color w:val="auto"/>
          <w:highlight w:val="none"/>
          <w:u w:val="single"/>
        </w:rPr>
        <w:t>7.1.3发包人指定</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建设管理中心</w:t>
      </w:r>
      <w:r>
        <w:rPr>
          <w:color w:val="auto"/>
          <w:highlight w:val="none"/>
          <w:u w:val="single"/>
        </w:rPr>
        <w:t xml:space="preserve"> 部门负责对接，联系人：</w:t>
      </w:r>
      <w:r>
        <w:rPr>
          <w:rFonts w:hint="eastAsia"/>
          <w:color w:val="auto"/>
          <w:highlight w:val="none"/>
          <w:u w:val="single"/>
        </w:rPr>
        <w:t>/</w:t>
      </w:r>
      <w:r>
        <w:rPr>
          <w:color w:val="auto"/>
          <w:highlight w:val="none"/>
          <w:u w:val="single"/>
        </w:rPr>
        <w:t xml:space="preserve">，电话/手机： </w:t>
      </w:r>
      <w:r>
        <w:rPr>
          <w:rFonts w:hint="eastAsia"/>
          <w:color w:val="auto"/>
          <w:highlight w:val="none"/>
          <w:u w:val="single"/>
        </w:rPr>
        <w:t>/</w:t>
      </w:r>
      <w:r>
        <w:rPr>
          <w:color w:val="auto"/>
          <w:highlight w:val="none"/>
          <w:u w:val="single"/>
        </w:rPr>
        <w:t xml:space="preserve"> ，传真： </w:t>
      </w:r>
      <w:r>
        <w:rPr>
          <w:rFonts w:hint="eastAsia"/>
          <w:color w:val="auto"/>
          <w:highlight w:val="none"/>
          <w:u w:val="single"/>
        </w:rPr>
        <w:t>/</w:t>
      </w:r>
      <w:r>
        <w:rPr>
          <w:color w:val="auto"/>
          <w:highlight w:val="none"/>
          <w:u w:val="single"/>
        </w:rPr>
        <w:t xml:space="preserve">  。</w:t>
      </w:r>
    </w:p>
    <w:p>
      <w:pPr>
        <w:adjustRightInd w:val="0"/>
        <w:snapToGrid w:val="0"/>
        <w:spacing w:line="360" w:lineRule="auto"/>
        <w:ind w:firstLine="480" w:firstLineChars="200"/>
        <w:rPr>
          <w:color w:val="auto"/>
          <w:highlight w:val="none"/>
        </w:rPr>
      </w:pPr>
      <w:r>
        <w:rPr>
          <w:color w:val="auto"/>
          <w:highlight w:val="none"/>
        </w:rPr>
        <w:t>承包人指定保修负责人，代表承包人全面负责保修期内各项保修事务的对接及实施工作。包括如下内容：</w:t>
      </w:r>
    </w:p>
    <w:p>
      <w:pPr>
        <w:adjustRightInd w:val="0"/>
        <w:snapToGrid w:val="0"/>
        <w:spacing w:line="360" w:lineRule="auto"/>
        <w:ind w:firstLine="480" w:firstLineChars="200"/>
        <w:rPr>
          <w:color w:val="auto"/>
          <w:highlight w:val="none"/>
        </w:rPr>
      </w:pPr>
      <w:r>
        <w:rPr>
          <w:color w:val="auto"/>
          <w:highlight w:val="none"/>
          <w:u w:val="single"/>
        </w:rPr>
        <w:t>承包人保修负责人：</w:t>
      </w:r>
      <w:r>
        <w:rPr>
          <w:rFonts w:hint="eastAsia"/>
          <w:color w:val="auto"/>
          <w:highlight w:val="none"/>
          <w:u w:val="single"/>
        </w:rPr>
        <w:t xml:space="preserve">   </w:t>
      </w:r>
      <w:r>
        <w:rPr>
          <w:color w:val="auto"/>
          <w:highlight w:val="none"/>
          <w:u w:val="single"/>
        </w:rPr>
        <w:t xml:space="preserve"> ，是否需常驻现场： </w:t>
      </w:r>
      <w:r>
        <w:rPr>
          <w:rFonts w:hint="eastAsia"/>
          <w:color w:val="auto"/>
          <w:highlight w:val="none"/>
          <w:u w:val="single"/>
        </w:rPr>
        <w:t>是</w:t>
      </w:r>
      <w:r>
        <w:rPr>
          <w:color w:val="auto"/>
          <w:highlight w:val="none"/>
          <w:u w:val="single"/>
        </w:rPr>
        <w:t xml:space="preserve">   ，</w:t>
      </w:r>
    </w:p>
    <w:p>
      <w:pPr>
        <w:adjustRightInd w:val="0"/>
        <w:snapToGrid w:val="0"/>
        <w:spacing w:line="360" w:lineRule="auto"/>
        <w:ind w:firstLine="480" w:firstLineChars="200"/>
        <w:rPr>
          <w:color w:val="auto"/>
          <w:highlight w:val="none"/>
          <w:u w:val="single"/>
        </w:rPr>
      </w:pPr>
      <w:r>
        <w:rPr>
          <w:color w:val="auto"/>
          <w:highlight w:val="none"/>
          <w:u w:val="single"/>
        </w:rPr>
        <w:t>通讯地址：</w:t>
      </w:r>
      <w:r>
        <w:rPr>
          <w:rFonts w:hint="eastAsia"/>
          <w:color w:val="auto"/>
          <w:highlight w:val="none"/>
          <w:u w:val="single"/>
        </w:rPr>
        <w:t xml:space="preserve">                              </w:t>
      </w:r>
      <w:r>
        <w:rPr>
          <w:color w:val="auto"/>
          <w:highlight w:val="none"/>
          <w:u w:val="single"/>
        </w:rPr>
        <w:t xml:space="preserve"> ，</w:t>
      </w:r>
    </w:p>
    <w:p>
      <w:pPr>
        <w:adjustRightInd w:val="0"/>
        <w:snapToGrid w:val="0"/>
        <w:spacing w:line="360" w:lineRule="auto"/>
        <w:ind w:firstLine="480" w:firstLineChars="200"/>
        <w:rPr>
          <w:color w:val="auto"/>
          <w:highlight w:val="none"/>
          <w:u w:val="single"/>
        </w:rPr>
      </w:pPr>
      <w:r>
        <w:rPr>
          <w:color w:val="auto"/>
          <w:highlight w:val="none"/>
          <w:u w:val="single"/>
        </w:rPr>
        <w:t>电话/手机（不得停机）：</w:t>
      </w:r>
      <w:r>
        <w:rPr>
          <w:rFonts w:hint="eastAsia"/>
          <w:color w:val="auto"/>
          <w:highlight w:val="none"/>
          <w:u w:val="single"/>
        </w:rPr>
        <w:t xml:space="preserve">              </w:t>
      </w:r>
      <w:r>
        <w:rPr>
          <w:color w:val="auto"/>
          <w:highlight w:val="none"/>
          <w:u w:val="single"/>
        </w:rPr>
        <w:t xml:space="preserve"> ，</w:t>
      </w:r>
    </w:p>
    <w:p>
      <w:pPr>
        <w:adjustRightInd w:val="0"/>
        <w:snapToGrid w:val="0"/>
        <w:spacing w:line="360" w:lineRule="auto"/>
        <w:ind w:firstLine="480" w:firstLineChars="200"/>
        <w:rPr>
          <w:color w:val="auto"/>
          <w:highlight w:val="none"/>
          <w:u w:val="single"/>
        </w:rPr>
      </w:pPr>
      <w:r>
        <w:rPr>
          <w:color w:val="auto"/>
          <w:highlight w:val="none"/>
          <w:u w:val="single"/>
        </w:rPr>
        <w:t xml:space="preserve">传真： </w:t>
      </w:r>
      <w:r>
        <w:rPr>
          <w:rFonts w:hint="eastAsia"/>
          <w:color w:val="auto"/>
          <w:highlight w:val="none"/>
          <w:u w:val="single"/>
        </w:rPr>
        <w:t>/</w:t>
      </w:r>
      <w:r>
        <w:rPr>
          <w:color w:val="auto"/>
          <w:highlight w:val="none"/>
          <w:u w:val="single"/>
        </w:rPr>
        <w:t xml:space="preserve">   。</w:t>
      </w:r>
    </w:p>
    <w:p>
      <w:pPr>
        <w:adjustRightInd w:val="0"/>
        <w:snapToGrid w:val="0"/>
        <w:spacing w:line="360" w:lineRule="auto"/>
        <w:ind w:firstLine="480" w:firstLineChars="200"/>
        <w:rPr>
          <w:color w:val="auto"/>
          <w:highlight w:val="none"/>
        </w:rPr>
      </w:pPr>
      <w:r>
        <w:rPr>
          <w:color w:val="auto"/>
          <w:highlight w:val="none"/>
        </w:rPr>
        <w:t>以上内容若有变动需及时书面知会发包人，否则无法联系时，视为承包人已收到发包人传达之信息。</w:t>
      </w:r>
    </w:p>
    <w:p>
      <w:pPr>
        <w:adjustRightInd w:val="0"/>
        <w:snapToGrid w:val="0"/>
        <w:spacing w:line="360" w:lineRule="auto"/>
        <w:ind w:firstLine="480" w:firstLineChars="200"/>
        <w:rPr>
          <w:color w:val="auto"/>
          <w:highlight w:val="none"/>
        </w:rPr>
      </w:pPr>
      <w:r>
        <w:rPr>
          <w:color w:val="auto"/>
          <w:highlight w:val="none"/>
        </w:rPr>
        <w:t>7.1.4 承包人维修人员现场管理规定：</w:t>
      </w:r>
    </w:p>
    <w:p>
      <w:pPr>
        <w:adjustRightInd w:val="0"/>
        <w:snapToGrid w:val="0"/>
        <w:spacing w:line="360" w:lineRule="auto"/>
        <w:ind w:firstLine="480" w:firstLineChars="200"/>
        <w:rPr>
          <w:color w:val="auto"/>
          <w:highlight w:val="none"/>
        </w:rPr>
      </w:pPr>
      <w:r>
        <w:rPr>
          <w:color w:val="auto"/>
          <w:highlight w:val="none"/>
        </w:rPr>
        <w:t>(1) 承包人现场维修人员须凭身份证上门维修。</w:t>
      </w:r>
    </w:p>
    <w:p>
      <w:pPr>
        <w:adjustRightInd w:val="0"/>
        <w:snapToGrid w:val="0"/>
        <w:spacing w:line="360" w:lineRule="auto"/>
        <w:ind w:firstLine="480" w:firstLineChars="200"/>
        <w:rPr>
          <w:color w:val="auto"/>
          <w:highlight w:val="none"/>
        </w:rPr>
      </w:pPr>
      <w:r>
        <w:rPr>
          <w:color w:val="auto"/>
          <w:highlight w:val="none"/>
        </w:rPr>
        <w:t>(2)必须在预约的时间内到现场进行相关维修工作，不得从事与维修无关的事项。</w:t>
      </w:r>
    </w:p>
    <w:p>
      <w:pPr>
        <w:adjustRightInd w:val="0"/>
        <w:snapToGrid w:val="0"/>
        <w:spacing w:line="360" w:lineRule="auto"/>
        <w:ind w:firstLine="480" w:firstLineChars="200"/>
        <w:rPr>
          <w:color w:val="auto"/>
          <w:highlight w:val="none"/>
        </w:rPr>
      </w:pPr>
      <w:r>
        <w:rPr>
          <w:color w:val="auto"/>
          <w:highlight w:val="none"/>
        </w:rPr>
        <w:t>(3) 承包人维修人员不得随意进入非维修施工作业的区域；维修过程中，须做好施工作业区内及周边的成品保护，因未做好保护措施而致设施、设备等财产损坏或污染的，由承包人承担赔偿责任。</w:t>
      </w:r>
    </w:p>
    <w:p>
      <w:pPr>
        <w:adjustRightInd w:val="0"/>
        <w:snapToGrid w:val="0"/>
        <w:spacing w:line="360" w:lineRule="auto"/>
        <w:ind w:firstLine="480" w:firstLineChars="200"/>
        <w:rPr>
          <w:color w:val="auto"/>
          <w:highlight w:val="none"/>
        </w:rPr>
      </w:pPr>
      <w:r>
        <w:rPr>
          <w:color w:val="auto"/>
          <w:highlight w:val="none"/>
        </w:rPr>
        <w:t>(4) 维修完毕后承包人维修人员必须将施工现场清理干净，不得有任何遗留物（包括灰尘）。</w:t>
      </w:r>
    </w:p>
    <w:p>
      <w:pPr>
        <w:adjustRightInd w:val="0"/>
        <w:snapToGrid w:val="0"/>
        <w:spacing w:line="360" w:lineRule="auto"/>
        <w:ind w:firstLine="480" w:firstLineChars="200"/>
        <w:rPr>
          <w:color w:val="auto"/>
          <w:highlight w:val="none"/>
        </w:rPr>
      </w:pPr>
      <w:r>
        <w:rPr>
          <w:color w:val="auto"/>
          <w:highlight w:val="none"/>
        </w:rPr>
        <w:t>(5) 因为维修需要而临时搬离（或拆除）设施设备等维修完毕后，应按原样复原。</w:t>
      </w:r>
    </w:p>
    <w:p>
      <w:pPr>
        <w:adjustRightInd w:val="0"/>
        <w:snapToGrid w:val="0"/>
        <w:spacing w:line="360" w:lineRule="auto"/>
        <w:ind w:firstLine="480" w:firstLineChars="200"/>
        <w:rPr>
          <w:color w:val="auto"/>
          <w:highlight w:val="none"/>
        </w:rPr>
      </w:pPr>
      <w:r>
        <w:rPr>
          <w:color w:val="auto"/>
          <w:highlight w:val="none"/>
        </w:rPr>
        <w:t>(6) 承包人维修人员在维修时，不得使用不文明、不礼貌的语言，严禁与他人争执。</w:t>
      </w:r>
    </w:p>
    <w:p>
      <w:pPr>
        <w:adjustRightInd w:val="0"/>
        <w:snapToGrid w:val="0"/>
        <w:spacing w:line="360" w:lineRule="auto"/>
        <w:ind w:firstLine="480" w:firstLineChars="200"/>
        <w:rPr>
          <w:color w:val="auto"/>
          <w:highlight w:val="none"/>
        </w:rPr>
      </w:pPr>
      <w:r>
        <w:rPr>
          <w:color w:val="auto"/>
          <w:highlight w:val="none"/>
        </w:rPr>
        <w:t>(7) 若维修事项有争议时，需及时反馈现场维修负责人或发包人现场管理人员，不得擅自向第三方做出有损发包人的利益及形象的任何行为。</w:t>
      </w:r>
    </w:p>
    <w:p>
      <w:pPr>
        <w:adjustRightInd w:val="0"/>
        <w:snapToGrid w:val="0"/>
        <w:spacing w:line="360" w:lineRule="auto"/>
        <w:ind w:firstLine="480" w:firstLineChars="200"/>
        <w:rPr>
          <w:color w:val="auto"/>
          <w:highlight w:val="none"/>
        </w:rPr>
      </w:pPr>
      <w:r>
        <w:rPr>
          <w:color w:val="auto"/>
          <w:highlight w:val="none"/>
        </w:rPr>
        <w:t>(8) 承包人维修人员如从发包人或物业管理处借用钥匙，必须按规定时间归还，否则由此造成的一切后果由承包人承担。</w:t>
      </w:r>
    </w:p>
    <w:p>
      <w:pPr>
        <w:adjustRightInd w:val="0"/>
        <w:snapToGrid w:val="0"/>
        <w:spacing w:line="360" w:lineRule="auto"/>
        <w:ind w:firstLine="480" w:firstLineChars="200"/>
        <w:rPr>
          <w:color w:val="auto"/>
          <w:highlight w:val="none"/>
        </w:rPr>
      </w:pPr>
      <w:r>
        <w:rPr>
          <w:color w:val="auto"/>
          <w:highlight w:val="none"/>
        </w:rPr>
        <w:t>(9)未经发包人维保人员允许，承包人维修人员不得以任何名义利用维修之便承揽装修、改造或提供建筑材料、搬运垃圾等一切有偿服务。</w:t>
      </w:r>
    </w:p>
    <w:p>
      <w:pPr>
        <w:adjustRightInd w:val="0"/>
        <w:snapToGrid w:val="0"/>
        <w:spacing w:line="360" w:lineRule="auto"/>
        <w:ind w:firstLine="480" w:firstLineChars="200"/>
        <w:rPr>
          <w:color w:val="auto"/>
          <w:highlight w:val="none"/>
        </w:rPr>
      </w:pPr>
      <w:r>
        <w:rPr>
          <w:color w:val="auto"/>
          <w:highlight w:val="none"/>
        </w:rPr>
        <w:t>(10)因保修事宜发包人召开工作会议时，通知承包人参加的，承包人相关人员须准时参加，不得迟到或无故缺席。</w:t>
      </w:r>
    </w:p>
    <w:p>
      <w:pPr>
        <w:adjustRightInd w:val="0"/>
        <w:snapToGrid w:val="0"/>
        <w:spacing w:line="360" w:lineRule="auto"/>
        <w:ind w:firstLine="480" w:firstLineChars="200"/>
        <w:rPr>
          <w:color w:val="auto"/>
          <w:highlight w:val="none"/>
        </w:rPr>
      </w:pPr>
      <w:r>
        <w:rPr>
          <w:color w:val="auto"/>
          <w:highlight w:val="none"/>
        </w:rPr>
        <w:t>(11)承包人维修人员必须服从发包人和物业管理处的其它各项管理规定。</w:t>
      </w:r>
    </w:p>
    <w:p>
      <w:pPr>
        <w:adjustRightInd w:val="0"/>
        <w:snapToGrid w:val="0"/>
        <w:spacing w:line="360" w:lineRule="auto"/>
        <w:ind w:firstLine="480" w:firstLineChars="200"/>
        <w:rPr>
          <w:color w:val="auto"/>
          <w:highlight w:val="none"/>
        </w:rPr>
      </w:pPr>
      <w:r>
        <w:rPr>
          <w:color w:val="auto"/>
          <w:highlight w:val="none"/>
        </w:rPr>
        <w:t>7.1.5 承包人维修人员考勤管理规定：如本保修书中约定承包人应派驻维修人员常驻现场的，应常驻。除工作日外，承包人维修负责人还须按照发包人要求统筹安排现场维修人员节、假日的值班工作，以满足维修要求，必须保证承包人维修人员联系电话畅通。</w:t>
      </w:r>
    </w:p>
    <w:p>
      <w:pPr>
        <w:adjustRightInd w:val="0"/>
        <w:snapToGrid w:val="0"/>
        <w:spacing w:line="360" w:lineRule="auto"/>
        <w:ind w:firstLine="480" w:firstLineChars="200"/>
        <w:rPr>
          <w:color w:val="auto"/>
          <w:highlight w:val="none"/>
        </w:rPr>
      </w:pPr>
      <w:r>
        <w:rPr>
          <w:color w:val="auto"/>
          <w:highlight w:val="none"/>
        </w:rPr>
        <w:t>7.1.6 除特别约定外，承包人违反本保修书7.1款应向发包人支付违约金每人次500元；若违约金无法弥补造成的损失，承包人还应补足发包人损失。发包人可从发包人应支付给承包人的任何款项中扣除相关违约金、赔偿等，无须征得承包人同意。</w:t>
      </w:r>
    </w:p>
    <w:p>
      <w:pPr>
        <w:adjustRightInd w:val="0"/>
        <w:snapToGrid w:val="0"/>
        <w:spacing w:line="360" w:lineRule="auto"/>
        <w:ind w:firstLine="480" w:firstLineChars="200"/>
        <w:rPr>
          <w:color w:val="auto"/>
          <w:highlight w:val="none"/>
        </w:rPr>
      </w:pPr>
      <w:r>
        <w:rPr>
          <w:color w:val="auto"/>
          <w:highlight w:val="none"/>
        </w:rPr>
        <w:t>7.2 维修及时性要求：</w:t>
      </w:r>
    </w:p>
    <w:p>
      <w:pPr>
        <w:adjustRightInd w:val="0"/>
        <w:snapToGrid w:val="0"/>
        <w:spacing w:line="360" w:lineRule="auto"/>
        <w:ind w:firstLine="480" w:firstLineChars="200"/>
        <w:rPr>
          <w:color w:val="auto"/>
          <w:highlight w:val="none"/>
        </w:rPr>
      </w:pPr>
      <w:r>
        <w:rPr>
          <w:color w:val="auto"/>
          <w:highlight w:val="none"/>
        </w:rPr>
        <w:t>7.2.1 紧急抢修</w:t>
      </w:r>
    </w:p>
    <w:p>
      <w:pPr>
        <w:adjustRightInd w:val="0"/>
        <w:snapToGrid w:val="0"/>
        <w:spacing w:line="360" w:lineRule="auto"/>
        <w:ind w:firstLine="480" w:firstLineChars="200"/>
        <w:rPr>
          <w:color w:val="auto"/>
          <w:highlight w:val="none"/>
        </w:rPr>
      </w:pPr>
      <w:r>
        <w:rPr>
          <w:color w:val="auto"/>
          <w:highlight w:val="none"/>
        </w:rPr>
        <w:t>(1)发生须紧急抢修事故如渗漏水、给排水、供电设施及线路故障、门窗不能正常开启、设备无法正常运行等影响发包人或业主正常工作生活的情况，承包人接到发包人通知后（包括电话、口头通知）须2小时内赶到现场，并于4小时修复完毕。</w:t>
      </w:r>
    </w:p>
    <w:p>
      <w:pPr>
        <w:adjustRightInd w:val="0"/>
        <w:snapToGrid w:val="0"/>
        <w:spacing w:line="360" w:lineRule="auto"/>
        <w:ind w:firstLine="480" w:firstLineChars="200"/>
        <w:rPr>
          <w:color w:val="auto"/>
          <w:highlight w:val="none"/>
        </w:rPr>
      </w:pPr>
      <w:r>
        <w:rPr>
          <w:color w:val="auto"/>
          <w:highlight w:val="none"/>
        </w:rPr>
        <w:t>(2)发生紧急抢修事故（如结构安全、燃气泄露等），承包人在接到事故通知后，应立即达到事故现场进行抢修。</w:t>
      </w:r>
    </w:p>
    <w:p>
      <w:pPr>
        <w:adjustRightInd w:val="0"/>
        <w:snapToGrid w:val="0"/>
        <w:spacing w:line="360" w:lineRule="auto"/>
        <w:ind w:firstLine="480" w:firstLineChars="200"/>
        <w:rPr>
          <w:color w:val="auto"/>
          <w:highlight w:val="none"/>
        </w:rPr>
      </w:pPr>
      <w:r>
        <w:rPr>
          <w:color w:val="auto"/>
          <w:highlight w:val="none"/>
        </w:rPr>
        <w:t>7.2.2常规维修任务</w:t>
      </w:r>
    </w:p>
    <w:p>
      <w:pPr>
        <w:adjustRightInd w:val="0"/>
        <w:snapToGrid w:val="0"/>
        <w:spacing w:line="360" w:lineRule="auto"/>
        <w:ind w:firstLine="480" w:firstLineChars="200"/>
        <w:rPr>
          <w:color w:val="auto"/>
          <w:highlight w:val="none"/>
        </w:rPr>
      </w:pPr>
      <w:r>
        <w:rPr>
          <w:color w:val="auto"/>
          <w:highlight w:val="none"/>
        </w:rPr>
        <w:t>承包人接到发包人的派单后，及时安排维修人员，按本协议进行维修，并按发包人指定完成时间完成维修工作：</w:t>
      </w:r>
    </w:p>
    <w:p>
      <w:pPr>
        <w:adjustRightInd w:val="0"/>
        <w:snapToGrid w:val="0"/>
        <w:spacing w:line="360" w:lineRule="auto"/>
        <w:ind w:firstLine="480" w:firstLineChars="200"/>
        <w:rPr>
          <w:color w:val="auto"/>
          <w:highlight w:val="none"/>
        </w:rPr>
      </w:pPr>
      <w:r>
        <w:rPr>
          <w:color w:val="auto"/>
          <w:highlight w:val="none"/>
        </w:rPr>
        <w:t>(1) 发包人或业主有时间要求的，应按发包人或业主要求的时间安排维修；不能按照要求实施的，应与发包人或业主主动沟通，达成一致，确定具体时间，并按约定时间上门维修；</w:t>
      </w:r>
    </w:p>
    <w:p>
      <w:pPr>
        <w:adjustRightInd w:val="0"/>
        <w:snapToGrid w:val="0"/>
        <w:spacing w:line="360" w:lineRule="auto"/>
        <w:ind w:firstLine="480" w:firstLineChars="200"/>
        <w:rPr>
          <w:color w:val="auto"/>
          <w:highlight w:val="none"/>
        </w:rPr>
      </w:pPr>
      <w:r>
        <w:rPr>
          <w:color w:val="auto"/>
          <w:highlight w:val="none"/>
        </w:rPr>
        <w:t>(2) 发包人或业主无时间要求的（或有模糊要求的），当日上午的任务，不迟于下午下班前必须完成电话预约；当日下午的任务，不迟于第二日上午下班前必须完成电话预约。</w:t>
      </w:r>
    </w:p>
    <w:p>
      <w:pPr>
        <w:adjustRightInd w:val="0"/>
        <w:snapToGrid w:val="0"/>
        <w:spacing w:line="360" w:lineRule="auto"/>
        <w:ind w:firstLine="480" w:firstLineChars="200"/>
        <w:rPr>
          <w:color w:val="auto"/>
          <w:highlight w:val="none"/>
        </w:rPr>
      </w:pPr>
      <w:r>
        <w:rPr>
          <w:color w:val="auto"/>
          <w:highlight w:val="none"/>
        </w:rPr>
        <w:t>(3) 承包人承诺：无论出现任何质量问题，不论责任属于承包人、其他施工单位、发包人或业主（或使用人），在接到发包人通知后，均遵守上述时间性要求不问理由地进行维修，并在维修过程中与发包人、原施工单位及业主共同取证，以判断责任原因，不属承包人责任的，由责任方向承包人支付相关费用。</w:t>
      </w:r>
    </w:p>
    <w:p>
      <w:pPr>
        <w:adjustRightInd w:val="0"/>
        <w:snapToGrid w:val="0"/>
        <w:spacing w:line="360" w:lineRule="auto"/>
        <w:ind w:firstLine="480" w:firstLineChars="200"/>
        <w:rPr>
          <w:color w:val="auto"/>
          <w:highlight w:val="none"/>
        </w:rPr>
      </w:pPr>
      <w:r>
        <w:rPr>
          <w:color w:val="auto"/>
          <w:highlight w:val="none"/>
        </w:rPr>
        <w:t>7.2.3当发包人另有指定完成时间的，承包人需按发包人指定时间完成维修。对于同一单元（层或户），无论维修项目多少，全部维修人员均应一次到位，维修量增加时，承包人应根据发包人指令的任务量随时增派维修人员，并按照发包人指定的时间实施并完成维修。</w:t>
      </w:r>
    </w:p>
    <w:p>
      <w:pPr>
        <w:adjustRightInd w:val="0"/>
        <w:snapToGrid w:val="0"/>
        <w:spacing w:line="360" w:lineRule="auto"/>
        <w:ind w:firstLine="480" w:firstLineChars="200"/>
        <w:rPr>
          <w:color w:val="auto"/>
          <w:highlight w:val="none"/>
        </w:rPr>
      </w:pPr>
      <w:r>
        <w:rPr>
          <w:color w:val="auto"/>
          <w:highlight w:val="none"/>
        </w:rPr>
        <w:t>7.2.4 承包人违反本保修书保修及时性的约定，承包人需向发包人支付违约金每次1000元；若违约金无法弥补发包人损失的，承包人还应补足赔偿发包人损失。</w:t>
      </w:r>
    </w:p>
    <w:p>
      <w:pPr>
        <w:adjustRightInd w:val="0"/>
        <w:snapToGrid w:val="0"/>
        <w:spacing w:line="360" w:lineRule="auto"/>
        <w:ind w:firstLine="480" w:firstLineChars="200"/>
        <w:rPr>
          <w:color w:val="auto"/>
          <w:highlight w:val="none"/>
        </w:rPr>
      </w:pPr>
      <w:r>
        <w:rPr>
          <w:color w:val="auto"/>
          <w:highlight w:val="none"/>
        </w:rPr>
        <w:t>7.3 维修质量保证措施：</w:t>
      </w:r>
    </w:p>
    <w:p>
      <w:pPr>
        <w:adjustRightInd w:val="0"/>
        <w:snapToGrid w:val="0"/>
        <w:spacing w:line="360" w:lineRule="auto"/>
        <w:ind w:firstLine="480" w:firstLineChars="200"/>
        <w:rPr>
          <w:color w:val="auto"/>
          <w:highlight w:val="none"/>
        </w:rPr>
      </w:pPr>
      <w:r>
        <w:rPr>
          <w:color w:val="auto"/>
          <w:highlight w:val="none"/>
        </w:rPr>
        <w:t>7.3.1 每个项目维修完成后需经发包人（或发包人指定的物业单位）验收签字方视为该维修项目本次维修完成，所维修项目的保修期限自维修合格之日起重新计算，相应工程质量保证金的支付相应延期。</w:t>
      </w:r>
    </w:p>
    <w:p>
      <w:pPr>
        <w:adjustRightInd w:val="0"/>
        <w:snapToGrid w:val="0"/>
        <w:spacing w:line="360" w:lineRule="auto"/>
        <w:ind w:firstLine="480" w:firstLineChars="200"/>
        <w:rPr>
          <w:color w:val="auto"/>
          <w:highlight w:val="none"/>
        </w:rPr>
      </w:pPr>
      <w:r>
        <w:rPr>
          <w:color w:val="auto"/>
          <w:highlight w:val="none"/>
        </w:rPr>
        <w:t>7.3.2 承包人保证所维修项目在六个月内不再出现类似问题，否则，除保修期限重新计算外，承包人每次还需向发包人支付违约金1000元。</w:t>
      </w:r>
    </w:p>
    <w:p>
      <w:pPr>
        <w:adjustRightInd w:val="0"/>
        <w:snapToGrid w:val="0"/>
        <w:spacing w:line="360" w:lineRule="auto"/>
        <w:ind w:firstLine="480" w:firstLineChars="200"/>
        <w:rPr>
          <w:color w:val="auto"/>
          <w:highlight w:val="none"/>
        </w:rPr>
      </w:pPr>
      <w:r>
        <w:rPr>
          <w:color w:val="auto"/>
          <w:highlight w:val="none"/>
        </w:rPr>
        <w:t>7.3.3 若有下列情况之一发生，发包人有权另行委托第三方进行维修，由此引起的一切费用和责任由承包人承担：</w:t>
      </w:r>
    </w:p>
    <w:p>
      <w:pPr>
        <w:adjustRightInd w:val="0"/>
        <w:snapToGrid w:val="0"/>
        <w:spacing w:line="360" w:lineRule="auto"/>
        <w:ind w:firstLine="480" w:firstLineChars="200"/>
        <w:rPr>
          <w:color w:val="auto"/>
          <w:highlight w:val="none"/>
        </w:rPr>
      </w:pPr>
      <w:r>
        <w:rPr>
          <w:color w:val="auto"/>
          <w:highlight w:val="none"/>
        </w:rPr>
        <w:t>(1) 接到维修通知（口头或书面）拒不到现场处理问题；</w:t>
      </w:r>
    </w:p>
    <w:p>
      <w:pPr>
        <w:adjustRightInd w:val="0"/>
        <w:snapToGrid w:val="0"/>
        <w:spacing w:line="360" w:lineRule="auto"/>
        <w:ind w:firstLine="480" w:firstLineChars="200"/>
        <w:rPr>
          <w:color w:val="auto"/>
          <w:highlight w:val="none"/>
        </w:rPr>
      </w:pPr>
      <w:r>
        <w:rPr>
          <w:color w:val="auto"/>
          <w:highlight w:val="none"/>
        </w:rPr>
        <w:t>(2) 超过规定的到场时间后4小时仍未赶到现场；</w:t>
      </w:r>
    </w:p>
    <w:p>
      <w:pPr>
        <w:adjustRightInd w:val="0"/>
        <w:snapToGrid w:val="0"/>
        <w:spacing w:line="360" w:lineRule="auto"/>
        <w:ind w:firstLine="480" w:firstLineChars="200"/>
        <w:rPr>
          <w:color w:val="auto"/>
          <w:highlight w:val="none"/>
        </w:rPr>
      </w:pPr>
      <w:r>
        <w:rPr>
          <w:color w:val="auto"/>
          <w:highlight w:val="none"/>
        </w:rPr>
        <w:t>(3) 超过规定的时间仍未完成有关工程维修任务，且不主动向发包人报告；</w:t>
      </w:r>
    </w:p>
    <w:p>
      <w:pPr>
        <w:adjustRightInd w:val="0"/>
        <w:snapToGrid w:val="0"/>
        <w:spacing w:line="360" w:lineRule="auto"/>
        <w:ind w:firstLine="480" w:firstLineChars="200"/>
        <w:rPr>
          <w:color w:val="auto"/>
          <w:highlight w:val="none"/>
        </w:rPr>
      </w:pPr>
      <w:r>
        <w:rPr>
          <w:color w:val="auto"/>
          <w:highlight w:val="none"/>
        </w:rPr>
        <w:t>(4) 对同一位置经过两次维修仍未解决问题的；</w:t>
      </w:r>
    </w:p>
    <w:p>
      <w:pPr>
        <w:adjustRightInd w:val="0"/>
        <w:snapToGrid w:val="0"/>
        <w:spacing w:line="360" w:lineRule="auto"/>
        <w:ind w:firstLine="480" w:firstLineChars="200"/>
        <w:rPr>
          <w:color w:val="auto"/>
          <w:highlight w:val="none"/>
        </w:rPr>
      </w:pPr>
      <w:r>
        <w:rPr>
          <w:color w:val="auto"/>
          <w:highlight w:val="none"/>
        </w:rPr>
        <w:t>(5) 因维修人员服务行为造成客户强烈投诉；</w:t>
      </w:r>
    </w:p>
    <w:p>
      <w:pPr>
        <w:adjustRightInd w:val="0"/>
        <w:snapToGrid w:val="0"/>
        <w:spacing w:line="360" w:lineRule="auto"/>
        <w:ind w:firstLine="480" w:firstLineChars="200"/>
        <w:rPr>
          <w:color w:val="auto"/>
          <w:highlight w:val="none"/>
        </w:rPr>
      </w:pPr>
      <w:r>
        <w:rPr>
          <w:color w:val="auto"/>
          <w:highlight w:val="none"/>
        </w:rPr>
        <w:t>(6) 维修实施中，承包人工作标准达不到规范及发包人要求。</w:t>
      </w:r>
    </w:p>
    <w:p>
      <w:pPr>
        <w:adjustRightInd w:val="0"/>
        <w:snapToGrid w:val="0"/>
        <w:spacing w:line="360" w:lineRule="auto"/>
        <w:ind w:firstLine="480" w:firstLineChars="200"/>
        <w:rPr>
          <w:color w:val="auto"/>
          <w:highlight w:val="none"/>
        </w:rPr>
      </w:pPr>
      <w:r>
        <w:rPr>
          <w:color w:val="auto"/>
          <w:highlight w:val="none"/>
        </w:rPr>
        <w:t>7.3.4 因承包人不按合同及本保修书约定履行维修义务，发包人委托第三方维修产生的费用由承包人承担，发包人可直接从发包人支付给承包人的任何费用中扣除，无须征得承包人同意。</w:t>
      </w:r>
    </w:p>
    <w:p>
      <w:pPr>
        <w:adjustRightInd w:val="0"/>
        <w:snapToGrid w:val="0"/>
        <w:spacing w:line="360" w:lineRule="auto"/>
        <w:ind w:firstLine="480" w:firstLineChars="200"/>
        <w:rPr>
          <w:color w:val="auto"/>
          <w:highlight w:val="none"/>
          <w:u w:val="single"/>
        </w:rPr>
      </w:pPr>
      <w:r>
        <w:rPr>
          <w:color w:val="auto"/>
          <w:highlight w:val="none"/>
        </w:rPr>
        <w:t>7.3.5对于涉及结构安全的质量事故，应当按照《建设工程质量管理条理》的规定，立即向当地建设行政主管部门报告，采取安全防范措施；由原设计单位或具有相应资质等级的设计单位提出保修方案，承包人实施保修。</w:t>
      </w:r>
      <w:r>
        <w:rPr>
          <w:color w:val="auto"/>
          <w:highlight w:val="none"/>
          <w:u w:val="single"/>
        </w:rPr>
        <w:fldChar w:fldCharType="begin"/>
      </w:r>
      <w:r>
        <w:rPr>
          <w:color w:val="auto"/>
          <w:highlight w:val="none"/>
          <w:u w:val="single"/>
        </w:rPr>
        <w:instrText xml:space="preserve"> AUTOTEXT  input297 \* MERGEFORMAT </w:instrText>
      </w:r>
      <w:r>
        <w:rPr>
          <w:color w:val="auto"/>
          <w:highlight w:val="none"/>
          <w:u w:val="single"/>
        </w:rPr>
        <w:fldChar w:fldCharType="separate"/>
      </w:r>
      <w:r>
        <w:rPr>
          <w:color w:val="auto"/>
          <w:highlight w:val="none"/>
          <w:u w:val="single"/>
        </w:rPr>
        <w:fldChar w:fldCharType="end"/>
      </w:r>
    </w:p>
    <w:p>
      <w:pPr>
        <w:adjustRightInd w:val="0"/>
        <w:snapToGrid w:val="0"/>
        <w:spacing w:line="360" w:lineRule="auto"/>
        <w:ind w:firstLine="480" w:firstLineChars="200"/>
        <w:rPr>
          <w:color w:val="auto"/>
          <w:highlight w:val="none"/>
        </w:rPr>
      </w:pPr>
      <w:r>
        <w:rPr>
          <w:rFonts w:hint="eastAsia"/>
          <w:color w:val="auto"/>
          <w:highlight w:val="none"/>
        </w:rPr>
        <w:t>本《工程质量保修书》作为施工合同附件由发包人承包人双方共同签署。</w:t>
      </w:r>
    </w:p>
    <w:tbl>
      <w:tblPr>
        <w:tblStyle w:val="18"/>
        <w:tblW w:w="9297" w:type="dxa"/>
        <w:jc w:val="center"/>
        <w:tblLayout w:type="fixed"/>
        <w:tblCellMar>
          <w:top w:w="0" w:type="dxa"/>
          <w:left w:w="108" w:type="dxa"/>
          <w:bottom w:w="0" w:type="dxa"/>
          <w:right w:w="108" w:type="dxa"/>
        </w:tblCellMar>
      </w:tblPr>
      <w:tblGrid>
        <w:gridCol w:w="4648"/>
        <w:gridCol w:w="4649"/>
      </w:tblGrid>
      <w:tr>
        <w:tblPrEx>
          <w:tblCellMar>
            <w:top w:w="0" w:type="dxa"/>
            <w:left w:w="108" w:type="dxa"/>
            <w:bottom w:w="0" w:type="dxa"/>
            <w:right w:w="108" w:type="dxa"/>
          </w:tblCellMar>
        </w:tblPrEx>
        <w:trPr>
          <w:trHeight w:val="615" w:hRule="atLeast"/>
          <w:jc w:val="center"/>
        </w:trPr>
        <w:tc>
          <w:tcPr>
            <w:tcW w:w="4648" w:type="dxa"/>
          </w:tcPr>
          <w:p>
            <w:pPr>
              <w:spacing w:after="240" w:line="510" w:lineRule="exact"/>
              <w:rPr>
                <w:color w:val="auto"/>
                <w:szCs w:val="21"/>
                <w:highlight w:val="none"/>
              </w:rPr>
            </w:pPr>
            <w:r>
              <w:rPr>
                <w:rFonts w:hint="eastAsia"/>
                <w:color w:val="auto"/>
                <w:szCs w:val="21"/>
                <w:highlight w:val="none"/>
              </w:rPr>
              <w:t>发包人</w:t>
            </w:r>
            <w:r>
              <w:rPr>
                <w:rFonts w:hint="eastAsia"/>
                <w:color w:val="auto"/>
                <w:kern w:val="18"/>
                <w:szCs w:val="21"/>
                <w:highlight w:val="none"/>
              </w:rPr>
              <w:t>：</w:t>
            </w:r>
            <w:r>
              <w:rPr>
                <w:rFonts w:hint="eastAsia"/>
                <w:color w:val="auto"/>
                <w:szCs w:val="21"/>
                <w:highlight w:val="none"/>
              </w:rPr>
              <w:t>（盖章）</w:t>
            </w:r>
          </w:p>
          <w:p>
            <w:pPr>
              <w:spacing w:after="240" w:line="510" w:lineRule="exact"/>
              <w:rPr>
                <w:color w:val="auto"/>
                <w:szCs w:val="21"/>
                <w:highlight w:val="none"/>
              </w:rPr>
            </w:pPr>
            <w:r>
              <w:rPr>
                <w:rFonts w:hint="eastAsia"/>
                <w:color w:val="auto"/>
                <w:szCs w:val="21"/>
                <w:highlight w:val="none"/>
                <w:u w:val="single"/>
              </w:rPr>
              <w:t>深圳市龙华高新技术产业园区开发投资有限公司</w:t>
            </w:r>
          </w:p>
        </w:tc>
        <w:tc>
          <w:tcPr>
            <w:tcW w:w="4649" w:type="dxa"/>
          </w:tcPr>
          <w:p>
            <w:pPr>
              <w:spacing w:after="240" w:line="510" w:lineRule="exact"/>
              <w:rPr>
                <w:color w:val="auto"/>
                <w:szCs w:val="21"/>
                <w:highlight w:val="none"/>
              </w:rPr>
            </w:pPr>
            <w:r>
              <w:rPr>
                <w:rFonts w:hint="eastAsia"/>
                <w:color w:val="auto"/>
                <w:szCs w:val="21"/>
                <w:highlight w:val="none"/>
              </w:rPr>
              <w:t>承包人</w:t>
            </w:r>
            <w:r>
              <w:rPr>
                <w:rFonts w:hint="eastAsia"/>
                <w:color w:val="auto"/>
                <w:kern w:val="18"/>
                <w:szCs w:val="21"/>
                <w:highlight w:val="none"/>
              </w:rPr>
              <w:t>：</w:t>
            </w:r>
            <w:r>
              <w:rPr>
                <w:rFonts w:hint="eastAsia"/>
                <w:color w:val="auto"/>
                <w:szCs w:val="21"/>
                <w:highlight w:val="none"/>
              </w:rPr>
              <w:t>（盖章）</w:t>
            </w:r>
          </w:p>
          <w:p>
            <w:pPr>
              <w:spacing w:after="240" w:line="510" w:lineRule="exact"/>
              <w:rPr>
                <w:color w:val="auto"/>
                <w:szCs w:val="21"/>
                <w:highlight w:val="none"/>
              </w:rPr>
            </w:pPr>
            <w:r>
              <w:rPr>
                <w:rFonts w:hint="eastAsia"/>
                <w:color w:val="auto"/>
                <w:szCs w:val="21"/>
                <w:highlight w:val="none"/>
                <w:u w:val="single"/>
              </w:rPr>
              <w:t>*****</w:t>
            </w:r>
          </w:p>
        </w:tc>
      </w:tr>
      <w:tr>
        <w:tblPrEx>
          <w:tblCellMar>
            <w:top w:w="0" w:type="dxa"/>
            <w:left w:w="108" w:type="dxa"/>
            <w:bottom w:w="0" w:type="dxa"/>
            <w:right w:w="108" w:type="dxa"/>
          </w:tblCellMar>
        </w:tblPrEx>
        <w:trPr>
          <w:trHeight w:val="615" w:hRule="atLeast"/>
          <w:jc w:val="center"/>
        </w:trPr>
        <w:tc>
          <w:tcPr>
            <w:tcW w:w="4648" w:type="dxa"/>
          </w:tcPr>
          <w:p>
            <w:pPr>
              <w:spacing w:after="240" w:line="510" w:lineRule="exact"/>
              <w:rPr>
                <w:color w:val="auto"/>
                <w:szCs w:val="21"/>
                <w:highlight w:val="none"/>
              </w:rPr>
            </w:pPr>
            <w:r>
              <w:rPr>
                <w:rFonts w:hint="eastAsia"/>
                <w:color w:val="auto"/>
                <w:szCs w:val="21"/>
                <w:highlight w:val="none"/>
              </w:rPr>
              <w:t>法定代表人或其委托代理人（签名）：</w:t>
            </w:r>
          </w:p>
        </w:tc>
        <w:tc>
          <w:tcPr>
            <w:tcW w:w="4649" w:type="dxa"/>
          </w:tcPr>
          <w:p>
            <w:pPr>
              <w:spacing w:after="240" w:line="510" w:lineRule="exact"/>
              <w:rPr>
                <w:color w:val="auto"/>
                <w:highlight w:val="none"/>
              </w:rPr>
            </w:pPr>
            <w:r>
              <w:rPr>
                <w:rFonts w:hint="eastAsia"/>
                <w:color w:val="auto"/>
                <w:highlight w:val="none"/>
              </w:rPr>
              <w:t>法定代表人或其委托代理人（签名）：</w:t>
            </w:r>
          </w:p>
          <w:p>
            <w:pPr>
              <w:ind w:firstLine="420"/>
              <w:rPr>
                <w:color w:val="auto"/>
                <w:szCs w:val="20"/>
                <w:highlight w:val="none"/>
              </w:rPr>
            </w:pPr>
          </w:p>
          <w:p>
            <w:pPr>
              <w:rPr>
                <w:color w:val="auto"/>
                <w:highlight w:val="none"/>
              </w:rPr>
            </w:pPr>
          </w:p>
          <w:p>
            <w:pPr>
              <w:ind w:firstLine="420"/>
              <w:rPr>
                <w:color w:val="auto"/>
                <w:szCs w:val="20"/>
                <w:highlight w:val="none"/>
              </w:rPr>
            </w:pPr>
          </w:p>
        </w:tc>
      </w:tr>
      <w:tr>
        <w:tblPrEx>
          <w:tblCellMar>
            <w:top w:w="0" w:type="dxa"/>
            <w:left w:w="108" w:type="dxa"/>
            <w:bottom w:w="0" w:type="dxa"/>
            <w:right w:w="108" w:type="dxa"/>
          </w:tblCellMar>
        </w:tblPrEx>
        <w:trPr>
          <w:trHeight w:val="615" w:hRule="atLeast"/>
          <w:jc w:val="center"/>
        </w:trPr>
        <w:tc>
          <w:tcPr>
            <w:tcW w:w="4648" w:type="dxa"/>
          </w:tcPr>
          <w:p>
            <w:pPr>
              <w:spacing w:after="240" w:line="510" w:lineRule="exact"/>
              <w:rPr>
                <w:color w:val="auto"/>
                <w:szCs w:val="21"/>
                <w:highlight w:val="none"/>
              </w:rPr>
            </w:pPr>
            <w:r>
              <w:rPr>
                <w:rFonts w:hint="eastAsia"/>
                <w:color w:val="auto"/>
                <w:szCs w:val="21"/>
                <w:highlight w:val="none"/>
              </w:rPr>
              <w:t>签订时间：2025年  月  日</w:t>
            </w:r>
          </w:p>
        </w:tc>
        <w:tc>
          <w:tcPr>
            <w:tcW w:w="4649" w:type="dxa"/>
          </w:tcPr>
          <w:p>
            <w:pPr>
              <w:spacing w:after="240" w:line="510" w:lineRule="exact"/>
              <w:ind w:right="180"/>
              <w:rPr>
                <w:color w:val="auto"/>
                <w:szCs w:val="21"/>
                <w:highlight w:val="none"/>
              </w:rPr>
            </w:pPr>
            <w:r>
              <w:rPr>
                <w:rFonts w:hint="eastAsia"/>
                <w:color w:val="auto"/>
                <w:szCs w:val="21"/>
                <w:highlight w:val="none"/>
              </w:rPr>
              <w:t>签订时间：2025年  月  日</w:t>
            </w:r>
          </w:p>
        </w:tc>
      </w:tr>
    </w:tbl>
    <w:p>
      <w:pPr>
        <w:adjustRightInd w:val="0"/>
        <w:snapToGrid w:val="0"/>
        <w:spacing w:line="500" w:lineRule="exact"/>
        <w:rPr>
          <w:bCs/>
          <w:color w:val="auto"/>
          <w:sz w:val="21"/>
          <w:szCs w:val="21"/>
          <w:highlight w:val="none"/>
        </w:rPr>
      </w:pPr>
      <w:r>
        <w:rPr>
          <w:bCs/>
          <w:color w:val="auto"/>
          <w:sz w:val="21"/>
          <w:szCs w:val="21"/>
          <w:highlight w:val="none"/>
        </w:rPr>
        <w:fldChar w:fldCharType="begin"/>
      </w:r>
      <w:r>
        <w:rPr>
          <w:rFonts w:hint="eastAsia"/>
          <w:bCs/>
          <w:color w:val="auto"/>
          <w:sz w:val="21"/>
          <w:szCs w:val="21"/>
          <w:highlight w:val="none"/>
        </w:rPr>
        <w:instrText xml:space="preserve">AUTOTEXT  工程质量保修书 \* MERGEFORMAT</w:instrText>
      </w:r>
      <w:r>
        <w:rPr>
          <w:bCs/>
          <w:color w:val="auto"/>
          <w:sz w:val="21"/>
          <w:szCs w:val="21"/>
          <w:highlight w:val="none"/>
        </w:rPr>
        <w:fldChar w:fldCharType="separate"/>
      </w:r>
      <w:r>
        <w:rPr>
          <w:bCs/>
          <w:color w:val="auto"/>
          <w:sz w:val="21"/>
          <w:szCs w:val="21"/>
          <w:highlight w:val="none"/>
        </w:rPr>
        <w:fldChar w:fldCharType="end"/>
      </w:r>
    </w:p>
    <w:p>
      <w:pPr>
        <w:rPr>
          <w:color w:val="auto"/>
          <w:highlight w:val="none"/>
        </w:rPr>
      </w:pPr>
      <w:r>
        <w:rPr>
          <w:color w:val="auto"/>
          <w:highlight w:val="none"/>
        </w:rPr>
        <w:br w:type="page"/>
      </w:r>
    </w:p>
    <w:p>
      <w:pPr>
        <w:rPr>
          <w:color w:val="auto"/>
          <w:highlight w:val="none"/>
        </w:rPr>
      </w:pPr>
    </w:p>
    <w:p>
      <w:pPr>
        <w:outlineLvl w:val="1"/>
        <w:rPr>
          <w:color w:val="auto"/>
          <w:kern w:val="2"/>
          <w:sz w:val="21"/>
          <w:szCs w:val="21"/>
          <w:highlight w:val="none"/>
        </w:rPr>
      </w:pPr>
      <w:bookmarkStart w:id="1099" w:name="_Toc6459"/>
      <w:bookmarkStart w:id="1100" w:name="_Toc30288"/>
      <w:bookmarkStart w:id="1101" w:name="_Toc116796952"/>
      <w:bookmarkStart w:id="1102" w:name="_Toc31424"/>
      <w:bookmarkStart w:id="1103" w:name="_Toc5165"/>
      <w:bookmarkStart w:id="1104" w:name="_Toc17704"/>
      <w:bookmarkStart w:id="1105" w:name="_Toc28846"/>
      <w:r>
        <w:rPr>
          <w:rFonts w:hint="eastAsia"/>
          <w:color w:val="auto"/>
          <w:kern w:val="2"/>
          <w:sz w:val="21"/>
          <w:szCs w:val="21"/>
          <w:highlight w:val="none"/>
        </w:rPr>
        <w:t>附件5</w:t>
      </w:r>
      <w:bookmarkEnd w:id="1099"/>
      <w:bookmarkEnd w:id="1100"/>
    </w:p>
    <w:p>
      <w:pPr>
        <w:jc w:val="center"/>
        <w:outlineLvl w:val="3"/>
        <w:rPr>
          <w:color w:val="auto"/>
          <w:sz w:val="36"/>
          <w:szCs w:val="32"/>
          <w:highlight w:val="none"/>
          <w:lang w:val="zh-CN"/>
        </w:rPr>
      </w:pPr>
      <w:bookmarkStart w:id="1106" w:name="_Toc7912"/>
      <w:bookmarkStart w:id="1107" w:name="_Toc8210"/>
      <w:r>
        <w:rPr>
          <w:rFonts w:hint="eastAsia" w:cs="黑体"/>
          <w:color w:val="auto"/>
          <w:sz w:val="30"/>
          <w:szCs w:val="30"/>
          <w:highlight w:val="none"/>
        </w:rPr>
        <w:t>工程</w:t>
      </w:r>
      <w:r>
        <w:rPr>
          <w:rFonts w:cs="黑体"/>
          <w:color w:val="auto"/>
          <w:sz w:val="30"/>
          <w:szCs w:val="30"/>
          <w:highlight w:val="none"/>
          <w:lang w:val="zh-CN"/>
        </w:rPr>
        <w:t>资金监管协议书</w:t>
      </w:r>
      <w:bookmarkEnd w:id="1101"/>
      <w:bookmarkEnd w:id="1106"/>
      <w:bookmarkEnd w:id="1107"/>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（此工程资金监管协议书仅为参考，格式内容可调整，但资金监管方式不得改变，修改内容不得与通知和协议书约定冲突）</w:t>
      </w:r>
    </w:p>
    <w:p>
      <w:pPr>
        <w:adjustRightInd w:val="0"/>
        <w:snapToGrid w:val="0"/>
        <w:spacing w:line="360" w:lineRule="auto"/>
        <w:ind w:firstLine="480" w:firstLineChars="200"/>
        <w:rPr>
          <w:rFonts w:cs="黑体"/>
          <w:color w:val="auto"/>
          <w:szCs w:val="21"/>
          <w:highlight w:val="none"/>
        </w:rPr>
      </w:pP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发包人：（以下简称甲方）</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承包人：（以下简称乙方）</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银  行：（以下简称丙方）</w:t>
      </w:r>
    </w:p>
    <w:p>
      <w:pPr>
        <w:adjustRightInd w:val="0"/>
        <w:snapToGrid w:val="0"/>
        <w:spacing w:line="360" w:lineRule="auto"/>
        <w:ind w:firstLine="560" w:firstLineChars="200"/>
        <w:rPr>
          <w:rFonts w:cs="KaiTi_GB2312"/>
          <w:color w:val="auto"/>
          <w:sz w:val="28"/>
          <w:szCs w:val="28"/>
          <w:highlight w:val="none"/>
        </w:rPr>
      </w:pP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为确保甲方项目建设资金“专款专用”，促进工程的顺利实施，同时使资金监控有力、便捷有效，经甲、乙、丙三方协商，达成协议如下：</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一、资金监管的内容</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1.乙方为完成工程在丙方开设监管账户（监管账户的户名为：xxxxxxx，账号：xxxxxxx，开户行：xxxxxxx）；工程的建设资金均通过该账户进行监管。</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2.乙方应将账户内资金专项用于工程。</w:t>
      </w:r>
    </w:p>
    <w:p>
      <w:pPr>
        <w:adjustRightInd w:val="0"/>
        <w:snapToGrid w:val="0"/>
        <w:spacing w:line="360" w:lineRule="auto"/>
        <w:ind w:firstLine="480" w:firstLineChars="200"/>
        <w:rPr>
          <w:rFonts w:cs="FangSong_GB2312"/>
          <w:b/>
          <w:bCs/>
          <w:color w:val="auto"/>
          <w:szCs w:val="21"/>
          <w:highlight w:val="none"/>
        </w:rPr>
      </w:pPr>
      <w:r>
        <w:rPr>
          <w:rFonts w:hint="eastAsia" w:cs="FangSong_GB2312"/>
          <w:color w:val="auto"/>
          <w:szCs w:val="21"/>
          <w:highlight w:val="none"/>
        </w:rPr>
        <w:t>3.丙方应为乙方提供便捷有效的银行业务服务，并接受甲方委托对乙方在丙方开设的监管账户资金使用情况进行监督。</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二、资金监管方式（在□内打√）</w:t>
      </w:r>
    </w:p>
    <w:p>
      <w:pPr>
        <w:adjustRightInd w:val="0"/>
        <w:snapToGrid w:val="0"/>
        <w:spacing w:line="360" w:lineRule="auto"/>
        <w:ind w:firstLine="480" w:firstLineChars="200"/>
        <w:rPr>
          <w:rFonts w:cs="FangSong_GB2312"/>
          <w:b/>
          <w:bCs/>
          <w:color w:val="auto"/>
          <w:szCs w:val="21"/>
          <w:highlight w:val="none"/>
        </w:rPr>
      </w:pPr>
      <w:r>
        <w:rPr>
          <w:rFonts w:hint="eastAsia" w:cs="FangSong_GB2312"/>
          <w:color w:val="auto"/>
          <w:szCs w:val="21"/>
          <w:highlight w:val="none"/>
        </w:rPr>
        <w:t>甲方有权根据项目实际情况选择下列任何一种资金监管方式，或合同在履行过程中，甲方有权根据乙方的情况变更资金监管模式，乙丙方不得有异议。</w:t>
      </w:r>
    </w:p>
    <w:p>
      <w:pPr>
        <w:adjustRightInd w:val="0"/>
        <w:snapToGrid w:val="0"/>
        <w:spacing w:line="360" w:lineRule="auto"/>
        <w:ind w:firstLine="480" w:firstLineChars="200"/>
        <w:rPr>
          <w:rFonts w:cs="FangSong_GB2312"/>
          <w:color w:val="auto"/>
          <w:szCs w:val="21"/>
          <w:highlight w:val="none"/>
        </w:rPr>
      </w:pPr>
      <w:r>
        <w:rPr>
          <w:rFonts w:ascii="Wingdings 2" w:hAnsi="Wingdings 2" w:cs="FangSong_GB2312"/>
          <w:color w:val="auto"/>
          <w:szCs w:val="21"/>
          <w:highlight w:val="none"/>
        </w:rPr>
        <w:sym w:font="Wingdings 2" w:char="F0A3"/>
      </w:r>
      <w:r>
        <w:rPr>
          <w:rFonts w:hint="eastAsia" w:cs="FangSong_GB2312"/>
          <w:color w:val="auto"/>
          <w:szCs w:val="21"/>
          <w:highlight w:val="none"/>
        </w:rPr>
        <w:t>（单笔支付落地行内审批，即乙方提交支付指令及丙方需要的相关资料（相关合同、票据等），由丙方进行逐笔审批单笔支付；</w:t>
      </w:r>
    </w:p>
    <w:p>
      <w:pPr>
        <w:adjustRightInd w:val="0"/>
        <w:snapToGrid w:val="0"/>
        <w:spacing w:line="360" w:lineRule="auto"/>
        <w:ind w:firstLine="480" w:firstLineChars="200"/>
        <w:rPr>
          <w:rFonts w:cs="FangSong_GB2312"/>
          <w:color w:val="auto"/>
          <w:szCs w:val="21"/>
          <w:highlight w:val="none"/>
        </w:rPr>
      </w:pPr>
      <w:r>
        <w:rPr>
          <w:rFonts w:ascii="Wingdings 2" w:hAnsi="Wingdings 2" w:cs="FangSong_GB2312"/>
          <w:color w:val="auto"/>
          <w:szCs w:val="21"/>
          <w:highlight w:val="none"/>
        </w:rPr>
        <w:sym w:font="Wingdings 2" w:char="F052"/>
      </w:r>
      <w:r>
        <w:rPr>
          <w:rFonts w:hint="eastAsia" w:cs="FangSong_GB2312"/>
          <w:color w:val="auto"/>
          <w:szCs w:val="21"/>
          <w:highlight w:val="none"/>
        </w:rPr>
        <w:t>（甲方审批支付名单和《资金使用计划（预算）》的管理。即乙方提交支付名单和《资金使用计划（预算）》给甲方审核；在甲方批准的名单和计划内，乙方提交支付指令及丙方需要的相关资料（相关合同、票据等），由丙方进行逐笔审批单笔支付。</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乙方提交的《资金使用计划（预算）》应包括工程成本、费用付款大类的金额、主要收款单位、用途及现金支用量等内容。乙方提交的支付名单和《资金使用计划（预算）》应附上相关证明文件，如相关合同，金额计算依据等。</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三、资金监管期限及终止</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本协议项下丙方对监管账户的监管期限为（在</w:t>
      </w:r>
      <w:r>
        <w:rPr>
          <w:rFonts w:ascii="Wingdings 2" w:hAnsi="Wingdings 2" w:cs="FangSong_GB2312"/>
          <w:color w:val="auto"/>
          <w:szCs w:val="21"/>
          <w:highlight w:val="none"/>
        </w:rPr>
        <w:sym w:font="Wingdings 2" w:char="F0A3"/>
      </w:r>
      <w:r>
        <w:rPr>
          <w:rFonts w:hint="eastAsia" w:cs="FangSong_GB2312"/>
          <w:color w:val="auto"/>
          <w:szCs w:val="21"/>
          <w:highlight w:val="none"/>
        </w:rPr>
        <w:t>内打√）</w:t>
      </w:r>
    </w:p>
    <w:p>
      <w:pPr>
        <w:adjustRightInd w:val="0"/>
        <w:snapToGrid w:val="0"/>
        <w:spacing w:line="360" w:lineRule="auto"/>
        <w:ind w:firstLine="480" w:firstLineChars="200"/>
        <w:rPr>
          <w:rFonts w:cs="FangSong_GB2312"/>
          <w:color w:val="auto"/>
          <w:szCs w:val="21"/>
          <w:highlight w:val="none"/>
        </w:rPr>
      </w:pPr>
      <w:r>
        <w:rPr>
          <w:rFonts w:ascii="Wingdings 2" w:hAnsi="Wingdings 2" w:cs="FangSong_GB2312"/>
          <w:color w:val="auto"/>
          <w:szCs w:val="21"/>
          <w:highlight w:val="none"/>
        </w:rPr>
        <w:sym w:font="Wingdings 2" w:char="F0A3"/>
      </w:r>
      <w:r>
        <w:rPr>
          <w:rFonts w:hint="eastAsia" w:cs="FangSong_GB2312"/>
          <w:color w:val="auto"/>
          <w:szCs w:val="21"/>
          <w:highlight w:val="none"/>
        </w:rPr>
        <w:t>自年月日起至年月日止。</w:t>
      </w:r>
    </w:p>
    <w:p>
      <w:pPr>
        <w:adjustRightInd w:val="0"/>
        <w:snapToGrid w:val="0"/>
        <w:spacing w:line="360" w:lineRule="auto"/>
        <w:ind w:firstLine="480" w:firstLineChars="200"/>
        <w:rPr>
          <w:rFonts w:cs="FangSong_GB2312"/>
          <w:color w:val="auto"/>
          <w:szCs w:val="21"/>
          <w:highlight w:val="none"/>
        </w:rPr>
      </w:pPr>
      <w:r>
        <w:rPr>
          <w:rFonts w:ascii="Wingdings 2" w:hAnsi="Wingdings 2" w:cs="FangSong_GB2312"/>
          <w:color w:val="auto"/>
          <w:szCs w:val="21"/>
          <w:highlight w:val="none"/>
        </w:rPr>
        <w:sym w:font="Wingdings 2" w:char="F052"/>
      </w:r>
      <w:r>
        <w:rPr>
          <w:rFonts w:hint="eastAsia" w:cs="FangSong_GB2312"/>
          <w:color w:val="auto"/>
          <w:szCs w:val="21"/>
          <w:highlight w:val="none"/>
        </w:rPr>
        <w:t>自第一笔监管资金进入监管账户之日起至工程竣工验收合格。</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监管期限届满，丙方的监管责任全部解除。</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四、甲方权责</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1.按照   合同直接向监管账户划拨工程款。</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2.及时审核乙方提交的支付名单及《资金使用计划（预算）》，对甲方认为不合理的名单或计划有权不同意支付。</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3.甲方有权不定期审查乙方的资金使用情况，在发现乙方将本工程资金挪用、转移、乱用时，或乙方不按本协议接受工程资金监管、不配合提供相关监管资料时，甲方有权中止工程款支付或有权授权丙方在监管期间有权封存（通过冻结或设置账户为“只收不付”等形式）该账户资金，并仅凭协议约定条件，直至乙方改正为止。因此造成的责任由乙方负责。</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4.有权对丙方履行本协议约定进行监督，如丙方不能履行其责任并在经甲方催告的合理期限内仍不履行的，甲方有权终止本协议，并为乙方另行指定工程资金监管银行。</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5.就资金监管方面，如乙、丙双方发生争议时，甲方应负责协调、解决。</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五、乙方权责</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1.乙方应及时在丙方开设监管账户，承诺并保证严格按本协议约定的监管方式使用监管账户内资金、接受监管。如乙方通过分拆多笔、化整为零等方式支付、转移资金，视作其违约，应承担相应违约责任。</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2.监管账户不得开通同城通存通兑业务，不得购买任何支付凭证，除代扣税款、代扣水电费等公用事业项目外，不得开通其他代扣代缴功能。</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3.确保本项目资金专款专用，不得以直接转账、集团支付、银企直联、CBS、现金池等银行工具直接或间接发生挪用、转移资金的现象；除按本协议约定使用监管账户资金外，保证不通过权益转让、抵押、担保承担债务等任何其他方式使用监管账户的资金。</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4.除符合本协议约定的支付条件外，乙方不得以任何理由、方式支取监管账户的任何款项或领取转账支票或挂失留存于丙方处的预留印鉴等影响丙方履行本协议项下监管义务的行为。</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5.乙方在资金监管期间内，不得在监管资金及账户上设置任何妨碍丙方履行本协议的事实上或法律上的障碍。不得设置甲方对监管账户检查的障碍。</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6.乙方保证所付款项仅从丙方会计部门通过线下支票或电汇方式支付，如遇特殊情况需到提，乙方应事先通知丙方再行支付。</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7.因监管账户使用及所监管资金在汇划过程中产生的银行费用（包括但不限于邮电费、电汇费、账户管理费等），由乙方承担。</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8.乙方须按本协议要求或甲方和丙方的要求及时提供相关的资料，并保证其向甲方和丙方提供的全部资料（包括但不限于提出的用款申请、相关协议、合同、票据等）均真实、合法、完整、有效。因乙方提交的资料不真实、错误、遗漏、无效、不合法等造成的损失和责任由乙方提自行承担。</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9.乙方应及时向甲方提交支付名单及《资金使用计划（预算）》进行审批。如因乙方原因造成支付延误的责任，由乙方负责。</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10.根据实际情况，如月中需要更新监管账户网银支付名单，需提供更新后的《支付名单》给甲方审核，审核后作为丙方更新名单的依据。</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六、丙方权责</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1.丙方须按协议要求监管专用资金、协助完成资金的划转或退回，或对乙方的支付情况进行实时监控。</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2.丙方进行逐笔审批单笔支付时，应指定专人凭票据（发票、工资单等）和合同进行审批，无相关票据的不予支付，合同和发票可为复印件，乙方需提供原件备查。</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3.对超过《资金使用计划（预算）》支付的工程款项，丙方须依据甲方在乙方出具的书面说明上签署的支付意见进行支付并登记，不得擅自支付。</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4.丙方对明显不符合《资金使用计划（预算）》或项目资金范畴的票据款项不得支付，并及时通知甲方。</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5.按协议，为乙方开通监管账户的网银查询、银企对账等功能。</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6.丙方的监管责任仅限于对按照本协议约定监管已进入监管账户的资金，并按本协议的约定办理监管资金的解付、划付，除此之外，因甲方和乙方间或甲乙双方中任何一方或双方与其他第三人的任何纠纷以及其他任何原因导致的纠纷，均与丙方无关。</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7.乙方或甲方采用本协议以外的任何方式（包括但不限于采用支票、本票、汇票等方式）使用监管账户内资金，丙方有权予以拒绝。</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8.资金监管账户在监管期间不予办理挂失，如遇存单（折）丢失或密码遗忘的情况，在解除封存支付时，办理挂失。</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9.未经甲乙双方协商一致同意并书面通知丙方，甲乙双方中的任何一方不得变更监管账户预留印鉴。</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10.监管期间，因法律法规、国家政策限制或监管账户被有权机关查封、冻结、扣划或存在其他情况，致使丙方无法协助完成资金划转，丙方不承担任何法律责任。</w:t>
      </w:r>
    </w:p>
    <w:p>
      <w:pPr>
        <w:adjustRightInd w:val="0"/>
        <w:snapToGrid w:val="0"/>
        <w:spacing w:line="360" w:lineRule="auto"/>
        <w:ind w:firstLine="480" w:firstLineChars="200"/>
        <w:rPr>
          <w:rFonts w:cs="FangSong_GB2312"/>
          <w:color w:val="auto"/>
          <w:szCs w:val="21"/>
          <w:highlight w:val="none"/>
        </w:rPr>
      </w:pPr>
      <w:r>
        <w:rPr>
          <w:rFonts w:hint="eastAsia" w:cs="FangSong_GB2312"/>
          <w:color w:val="auto"/>
          <w:szCs w:val="21"/>
          <w:highlight w:val="none"/>
        </w:rPr>
        <w:t>11、丙方定期将乙方前一个周期（一般为一个月）的支付情况，整理后书面报送甲方，同时报送电子版。</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七、除本协议外，委托方间或委托方中任何一方与其他第三方签署的任何法律文件，无论本协议是否提及或作为本协议附件，均对丙方不具有约束力，丙方对此不负责任。</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八、本协议未尽事宜，三方可签订补充协议，补充协议与本协议具同等法律效力。</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九、本协议自签字、盖章之日起生效。</w:t>
      </w:r>
    </w:p>
    <w:p>
      <w:pPr>
        <w:adjustRightInd w:val="0"/>
        <w:snapToGrid w:val="0"/>
        <w:spacing w:line="360" w:lineRule="auto"/>
        <w:ind w:firstLine="480" w:firstLineChars="200"/>
        <w:rPr>
          <w:rFonts w:cs="黑体"/>
          <w:color w:val="auto"/>
          <w:szCs w:val="21"/>
          <w:highlight w:val="none"/>
        </w:rPr>
      </w:pPr>
      <w:r>
        <w:rPr>
          <w:rFonts w:hint="eastAsia" w:cs="黑体"/>
          <w:color w:val="auto"/>
          <w:szCs w:val="21"/>
          <w:highlight w:val="none"/>
        </w:rPr>
        <w:t>十、本协议一式</w:t>
      </w:r>
      <w:r>
        <w:rPr>
          <w:rFonts w:hint="eastAsia" w:cs="黑体"/>
          <w:color w:val="auto"/>
          <w:szCs w:val="21"/>
          <w:highlight w:val="none"/>
          <w:u w:val="single"/>
        </w:rPr>
        <w:t>叁</w:t>
      </w:r>
      <w:r>
        <w:rPr>
          <w:rFonts w:hint="eastAsia" w:cs="黑体"/>
          <w:color w:val="auto"/>
          <w:szCs w:val="21"/>
          <w:highlight w:val="none"/>
        </w:rPr>
        <w:t>份，甲、乙、丙三方各执一份为凭。</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甲方：_________                           乙方：____________________</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法定代表人（签字或盖章）：                法定代表人（签字或盖章）：</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 xml:space="preserve">或其授权代理人（签字）：                  或其授权代理人（签字）：   </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二○二年月日                     二○二年月日</w:t>
      </w:r>
    </w:p>
    <w:p>
      <w:pPr>
        <w:adjustRightInd w:val="0"/>
        <w:snapToGrid w:val="0"/>
        <w:spacing w:line="360" w:lineRule="auto"/>
        <w:ind w:firstLine="538"/>
        <w:rPr>
          <w:rFonts w:cs="FangSong_GB2312"/>
          <w:color w:val="auto"/>
          <w:szCs w:val="21"/>
          <w:highlight w:val="none"/>
        </w:rPr>
      </w:pP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丙方：______________________</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 xml:space="preserve">法定代表人（签字或盖章）：           </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 xml:space="preserve">或其授权代理人（签字）：                   </w:t>
      </w:r>
    </w:p>
    <w:p>
      <w:pPr>
        <w:adjustRightInd w:val="0"/>
        <w:snapToGrid w:val="0"/>
        <w:spacing w:line="360" w:lineRule="auto"/>
        <w:ind w:firstLine="538"/>
        <w:rPr>
          <w:rFonts w:cs="FangSong_GB2312"/>
          <w:color w:val="auto"/>
          <w:szCs w:val="21"/>
          <w:highlight w:val="none"/>
        </w:rPr>
      </w:pPr>
      <w:r>
        <w:rPr>
          <w:rFonts w:hint="eastAsia" w:cs="FangSong_GB2312"/>
          <w:color w:val="auto"/>
          <w:szCs w:val="21"/>
          <w:highlight w:val="none"/>
        </w:rPr>
        <w:t>二○二年月日</w:t>
      </w:r>
    </w:p>
    <w:p>
      <w:pPr>
        <w:rPr>
          <w:rFonts w:cs="FangSong_GB2312"/>
          <w:color w:val="auto"/>
          <w:szCs w:val="21"/>
          <w:highlight w:val="none"/>
        </w:rPr>
      </w:pPr>
      <w:r>
        <w:rPr>
          <w:rFonts w:hint="eastAsia" w:cs="FangSong_GB2312"/>
          <w:color w:val="auto"/>
          <w:szCs w:val="21"/>
          <w:highlight w:val="none"/>
        </w:rPr>
        <w:br w:type="page"/>
      </w:r>
    </w:p>
    <w:p>
      <w:pPr>
        <w:spacing w:line="480" w:lineRule="auto"/>
        <w:rPr>
          <w:b/>
          <w:color w:val="auto"/>
          <w:szCs w:val="21"/>
          <w:highlight w:val="none"/>
        </w:rPr>
      </w:pPr>
      <w:r>
        <w:rPr>
          <w:rFonts w:hint="eastAsia" w:cs="黑体"/>
          <w:color w:val="auto"/>
          <w:szCs w:val="21"/>
          <w:highlight w:val="none"/>
        </w:rPr>
        <w:t>附件5.1</w:t>
      </w:r>
    </w:p>
    <w:p>
      <w:pPr>
        <w:spacing w:line="480" w:lineRule="auto"/>
        <w:ind w:firstLine="241" w:firstLineChars="100"/>
        <w:jc w:val="center"/>
        <w:rPr>
          <w:b/>
          <w:color w:val="auto"/>
          <w:szCs w:val="21"/>
          <w:highlight w:val="none"/>
        </w:rPr>
      </w:pPr>
      <w:r>
        <w:rPr>
          <w:rFonts w:hint="eastAsia"/>
          <w:b/>
          <w:color w:val="auto"/>
          <w:szCs w:val="21"/>
          <w:highlight w:val="none"/>
        </w:rPr>
        <w:t>付款名单确认表（格式）</w:t>
      </w:r>
    </w:p>
    <w:p>
      <w:pPr>
        <w:spacing w:line="480" w:lineRule="auto"/>
        <w:ind w:firstLine="241" w:firstLineChars="100"/>
        <w:rPr>
          <w:color w:val="auto"/>
          <w:szCs w:val="21"/>
          <w:highlight w:val="none"/>
          <w:u w:val="single"/>
        </w:rPr>
      </w:pPr>
      <w:r>
        <w:rPr>
          <w:rFonts w:hint="eastAsia"/>
          <w:b/>
          <w:color w:val="auto"/>
          <w:szCs w:val="21"/>
          <w:highlight w:val="none"/>
        </w:rPr>
        <w:t>行</w:t>
      </w:r>
    </w:p>
    <w:p>
      <w:pPr>
        <w:spacing w:line="480" w:lineRule="auto"/>
        <w:ind w:firstLine="480" w:firstLineChars="200"/>
        <w:rPr>
          <w:color w:val="auto"/>
          <w:szCs w:val="21"/>
          <w:highlight w:val="none"/>
        </w:rPr>
      </w:pPr>
      <w:r>
        <w:rPr>
          <w:rFonts w:hint="eastAsia"/>
          <w:color w:val="auto"/>
          <w:szCs w:val="21"/>
          <w:highlight w:val="none"/>
        </w:rPr>
        <w:t>根据我司与</w:t>
      </w:r>
      <w:r>
        <w:rPr>
          <w:rFonts w:hint="eastAsia"/>
          <w:bCs/>
          <w:color w:val="auto"/>
          <w:szCs w:val="21"/>
          <w:highlight w:val="none"/>
        </w:rPr>
        <w:t>及贵行签署的编号为</w:t>
      </w:r>
      <w:r>
        <w:rPr>
          <w:rFonts w:hint="eastAsia"/>
          <w:color w:val="auto"/>
          <w:szCs w:val="21"/>
          <w:highlight w:val="none"/>
        </w:rPr>
        <w:t xml:space="preserve"> 的《工程资金监管协议》的约定，我司申请支用监管账户资金的材料已审查，同意前述协议约定的监管账户中支付名单下表：</w:t>
      </w:r>
    </w:p>
    <w:tbl>
      <w:tblPr>
        <w:tblStyle w:val="18"/>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45"/>
        <w:gridCol w:w="2523"/>
        <w:gridCol w:w="124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b/>
                <w:bCs/>
                <w:color w:val="auto"/>
                <w:sz w:val="21"/>
                <w:szCs w:val="21"/>
                <w:highlight w:val="none"/>
              </w:rPr>
            </w:pPr>
            <w:r>
              <w:rPr>
                <w:rFonts w:hint="eastAsia"/>
                <w:b/>
                <w:bCs/>
                <w:color w:val="auto"/>
                <w:sz w:val="21"/>
                <w:szCs w:val="21"/>
                <w:highlight w:val="none"/>
              </w:rPr>
              <w:t>序号</w:t>
            </w:r>
          </w:p>
        </w:tc>
        <w:tc>
          <w:tcPr>
            <w:tcW w:w="2445" w:type="dxa"/>
          </w:tcPr>
          <w:p>
            <w:pPr>
              <w:spacing w:line="480" w:lineRule="auto"/>
              <w:jc w:val="center"/>
              <w:rPr>
                <w:b/>
                <w:bCs/>
                <w:color w:val="auto"/>
                <w:sz w:val="21"/>
                <w:szCs w:val="21"/>
                <w:highlight w:val="none"/>
              </w:rPr>
            </w:pPr>
            <w:r>
              <w:rPr>
                <w:rFonts w:hint="eastAsia"/>
                <w:b/>
                <w:bCs/>
                <w:color w:val="auto"/>
                <w:sz w:val="21"/>
                <w:szCs w:val="21"/>
                <w:highlight w:val="none"/>
              </w:rPr>
              <w:t>支付单位名称</w:t>
            </w:r>
          </w:p>
        </w:tc>
        <w:tc>
          <w:tcPr>
            <w:tcW w:w="2523" w:type="dxa"/>
          </w:tcPr>
          <w:p>
            <w:pPr>
              <w:spacing w:line="480" w:lineRule="auto"/>
              <w:jc w:val="center"/>
              <w:rPr>
                <w:b/>
                <w:bCs/>
                <w:color w:val="auto"/>
                <w:sz w:val="21"/>
                <w:szCs w:val="21"/>
                <w:highlight w:val="none"/>
              </w:rPr>
            </w:pPr>
            <w:r>
              <w:rPr>
                <w:rFonts w:hint="eastAsia"/>
                <w:b/>
                <w:bCs/>
                <w:color w:val="auto"/>
                <w:sz w:val="21"/>
                <w:szCs w:val="21"/>
                <w:highlight w:val="none"/>
              </w:rPr>
              <w:t>账号</w:t>
            </w:r>
          </w:p>
        </w:tc>
        <w:tc>
          <w:tcPr>
            <w:tcW w:w="1249" w:type="dxa"/>
          </w:tcPr>
          <w:p>
            <w:pPr>
              <w:spacing w:line="480" w:lineRule="auto"/>
              <w:jc w:val="center"/>
              <w:rPr>
                <w:b/>
                <w:bCs/>
                <w:color w:val="auto"/>
                <w:sz w:val="21"/>
                <w:szCs w:val="21"/>
                <w:highlight w:val="none"/>
              </w:rPr>
            </w:pPr>
            <w:r>
              <w:rPr>
                <w:rFonts w:hint="eastAsia"/>
                <w:b/>
                <w:bCs/>
                <w:color w:val="auto"/>
                <w:sz w:val="21"/>
                <w:szCs w:val="21"/>
                <w:highlight w:val="none"/>
              </w:rPr>
              <w:t>开户行</w:t>
            </w:r>
          </w:p>
        </w:tc>
        <w:tc>
          <w:tcPr>
            <w:tcW w:w="1289" w:type="dxa"/>
          </w:tcPr>
          <w:p>
            <w:pPr>
              <w:spacing w:line="480" w:lineRule="auto"/>
              <w:jc w:val="center"/>
              <w:rPr>
                <w:b/>
                <w:bCs/>
                <w:color w:val="auto"/>
                <w:sz w:val="21"/>
                <w:szCs w:val="21"/>
                <w:highlight w:val="none"/>
              </w:rPr>
            </w:pPr>
            <w:r>
              <w:rPr>
                <w:rFonts w:hint="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color w:val="auto"/>
                <w:sz w:val="21"/>
                <w:szCs w:val="21"/>
                <w:highlight w:val="none"/>
              </w:rPr>
            </w:pPr>
            <w:r>
              <w:rPr>
                <w:rFonts w:hint="eastAsia"/>
                <w:color w:val="auto"/>
                <w:sz w:val="21"/>
                <w:szCs w:val="21"/>
                <w:highlight w:val="none"/>
              </w:rPr>
              <w:t>1</w:t>
            </w:r>
          </w:p>
        </w:tc>
        <w:tc>
          <w:tcPr>
            <w:tcW w:w="2445" w:type="dxa"/>
          </w:tcPr>
          <w:p>
            <w:pPr>
              <w:spacing w:line="480" w:lineRule="auto"/>
              <w:rPr>
                <w:color w:val="auto"/>
                <w:sz w:val="21"/>
                <w:szCs w:val="21"/>
                <w:highlight w:val="none"/>
              </w:rPr>
            </w:pPr>
          </w:p>
        </w:tc>
        <w:tc>
          <w:tcPr>
            <w:tcW w:w="2523"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289"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color w:val="auto"/>
                <w:sz w:val="21"/>
                <w:szCs w:val="21"/>
                <w:highlight w:val="none"/>
              </w:rPr>
            </w:pPr>
            <w:r>
              <w:rPr>
                <w:rFonts w:hint="eastAsia"/>
                <w:color w:val="auto"/>
                <w:sz w:val="21"/>
                <w:szCs w:val="21"/>
                <w:highlight w:val="none"/>
              </w:rPr>
              <w:t>2</w:t>
            </w:r>
          </w:p>
        </w:tc>
        <w:tc>
          <w:tcPr>
            <w:tcW w:w="2445" w:type="dxa"/>
          </w:tcPr>
          <w:p>
            <w:pPr>
              <w:spacing w:line="480" w:lineRule="auto"/>
              <w:rPr>
                <w:color w:val="auto"/>
                <w:sz w:val="21"/>
                <w:szCs w:val="21"/>
                <w:highlight w:val="none"/>
              </w:rPr>
            </w:pPr>
          </w:p>
        </w:tc>
        <w:tc>
          <w:tcPr>
            <w:tcW w:w="2523"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289"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color w:val="auto"/>
                <w:sz w:val="21"/>
                <w:szCs w:val="21"/>
                <w:highlight w:val="none"/>
              </w:rPr>
            </w:pPr>
            <w:r>
              <w:rPr>
                <w:rFonts w:hint="eastAsia"/>
                <w:color w:val="auto"/>
                <w:sz w:val="21"/>
                <w:szCs w:val="21"/>
                <w:highlight w:val="none"/>
              </w:rPr>
              <w:t>3</w:t>
            </w:r>
          </w:p>
        </w:tc>
        <w:tc>
          <w:tcPr>
            <w:tcW w:w="2445" w:type="dxa"/>
          </w:tcPr>
          <w:p>
            <w:pPr>
              <w:spacing w:line="480" w:lineRule="auto"/>
              <w:rPr>
                <w:color w:val="auto"/>
                <w:sz w:val="21"/>
                <w:szCs w:val="21"/>
                <w:highlight w:val="none"/>
              </w:rPr>
            </w:pPr>
          </w:p>
        </w:tc>
        <w:tc>
          <w:tcPr>
            <w:tcW w:w="2523"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289"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color w:val="auto"/>
                <w:sz w:val="21"/>
                <w:szCs w:val="21"/>
                <w:highlight w:val="none"/>
              </w:rPr>
            </w:pPr>
            <w:r>
              <w:rPr>
                <w:rFonts w:hint="eastAsia"/>
                <w:color w:val="auto"/>
                <w:sz w:val="21"/>
                <w:szCs w:val="21"/>
                <w:highlight w:val="none"/>
              </w:rPr>
              <w:t>4</w:t>
            </w:r>
          </w:p>
        </w:tc>
        <w:tc>
          <w:tcPr>
            <w:tcW w:w="2445" w:type="dxa"/>
          </w:tcPr>
          <w:p>
            <w:pPr>
              <w:spacing w:line="480" w:lineRule="auto"/>
              <w:rPr>
                <w:color w:val="auto"/>
                <w:sz w:val="21"/>
                <w:szCs w:val="21"/>
                <w:highlight w:val="none"/>
              </w:rPr>
            </w:pPr>
          </w:p>
        </w:tc>
        <w:tc>
          <w:tcPr>
            <w:tcW w:w="2523"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289" w:type="dxa"/>
          </w:tcPr>
          <w:p>
            <w:pPr>
              <w:spacing w:line="480" w:lineRule="auto"/>
              <w:rPr>
                <w:color w:val="auto"/>
                <w:sz w:val="21"/>
                <w:szCs w:val="21"/>
                <w:highlight w:val="none"/>
              </w:rPr>
            </w:pPr>
          </w:p>
        </w:tc>
      </w:tr>
    </w:tbl>
    <w:p>
      <w:pPr>
        <w:spacing w:line="480" w:lineRule="auto"/>
        <w:rPr>
          <w:color w:val="auto"/>
          <w:szCs w:val="21"/>
          <w:highlight w:val="none"/>
        </w:rPr>
      </w:pPr>
    </w:p>
    <w:p>
      <w:pPr>
        <w:spacing w:line="480" w:lineRule="auto"/>
        <w:ind w:firstLine="480" w:firstLineChars="200"/>
        <w:rPr>
          <w:color w:val="auto"/>
          <w:szCs w:val="21"/>
          <w:highlight w:val="none"/>
        </w:rPr>
      </w:pPr>
      <w:r>
        <w:rPr>
          <w:rFonts w:hint="eastAsia"/>
          <w:color w:val="auto"/>
          <w:szCs w:val="21"/>
          <w:highlight w:val="none"/>
        </w:rPr>
        <w:t>请根据本确认表，协助</w:t>
      </w:r>
      <w:r>
        <w:rPr>
          <w:rFonts w:hint="eastAsia"/>
          <w:bCs/>
          <w:color w:val="auto"/>
          <w:szCs w:val="21"/>
          <w:highlight w:val="none"/>
        </w:rPr>
        <w:t>我司办理资金支用手续。</w:t>
      </w:r>
    </w:p>
    <w:p>
      <w:pPr>
        <w:spacing w:line="480" w:lineRule="auto"/>
        <w:ind w:firstLine="600" w:firstLineChars="250"/>
        <w:rPr>
          <w:color w:val="auto"/>
          <w:szCs w:val="21"/>
          <w:highlight w:val="none"/>
        </w:rPr>
      </w:pPr>
      <w:r>
        <w:rPr>
          <w:rFonts w:hint="eastAsia"/>
          <w:color w:val="auto"/>
          <w:szCs w:val="21"/>
          <w:highlight w:val="none"/>
        </w:rPr>
        <w:t>特此通知。</w:t>
      </w:r>
    </w:p>
    <w:p>
      <w:pPr>
        <w:spacing w:line="480" w:lineRule="auto"/>
        <w:ind w:firstLine="480" w:firstLineChars="200"/>
        <w:jc w:val="center"/>
        <w:rPr>
          <w:color w:val="auto"/>
          <w:szCs w:val="21"/>
          <w:highlight w:val="none"/>
        </w:rPr>
      </w:pPr>
    </w:p>
    <w:p>
      <w:pPr>
        <w:spacing w:line="480" w:lineRule="auto"/>
        <w:rPr>
          <w:bCs/>
          <w:color w:val="auto"/>
          <w:szCs w:val="21"/>
          <w:highlight w:val="none"/>
        </w:rPr>
      </w:pPr>
      <w:r>
        <w:rPr>
          <w:rFonts w:hint="eastAsia"/>
          <w:b/>
          <w:bCs/>
          <w:color w:val="auto"/>
          <w:szCs w:val="21"/>
          <w:highlight w:val="none"/>
        </w:rPr>
        <w:t xml:space="preserve">申请单位：        </w:t>
      </w:r>
      <w:r>
        <w:rPr>
          <w:rFonts w:hint="eastAsia"/>
          <w:bCs/>
          <w:color w:val="auto"/>
          <w:szCs w:val="21"/>
          <w:highlight w:val="none"/>
        </w:rPr>
        <w:t xml:space="preserve">（公章） </w:t>
      </w:r>
    </w:p>
    <w:p>
      <w:pPr>
        <w:spacing w:line="480" w:lineRule="auto"/>
        <w:rPr>
          <w:bCs/>
          <w:color w:val="auto"/>
          <w:szCs w:val="21"/>
          <w:highlight w:val="none"/>
        </w:rPr>
      </w:pPr>
      <w:r>
        <w:rPr>
          <w:rFonts w:hint="eastAsia"/>
          <w:bCs/>
          <w:color w:val="auto"/>
          <w:szCs w:val="21"/>
          <w:highlight w:val="none"/>
        </w:rPr>
        <w:t>日期：    年    月    日</w:t>
      </w:r>
    </w:p>
    <w:p>
      <w:pPr>
        <w:spacing w:line="480" w:lineRule="auto"/>
        <w:rPr>
          <w:bCs/>
          <w:color w:val="auto"/>
          <w:szCs w:val="21"/>
          <w:highlight w:val="none"/>
        </w:rPr>
      </w:pPr>
    </w:p>
    <w:p>
      <w:pPr>
        <w:spacing w:line="480" w:lineRule="auto"/>
        <w:rPr>
          <w:bCs/>
          <w:color w:val="auto"/>
          <w:szCs w:val="21"/>
          <w:highlight w:val="none"/>
        </w:rPr>
      </w:pPr>
      <w:r>
        <w:rPr>
          <w:rFonts w:hint="eastAsia"/>
          <w:b/>
          <w:bCs/>
          <w:color w:val="auto"/>
          <w:szCs w:val="21"/>
          <w:highlight w:val="none"/>
        </w:rPr>
        <w:t>审核单位</w:t>
      </w:r>
      <w:r>
        <w:rPr>
          <w:rFonts w:hint="eastAsia"/>
          <w:bCs/>
          <w:color w:val="auto"/>
          <w:szCs w:val="21"/>
          <w:highlight w:val="none"/>
        </w:rPr>
        <w:t>：               （预留印鉴）</w:t>
      </w:r>
    </w:p>
    <w:p>
      <w:pPr>
        <w:spacing w:line="480" w:lineRule="auto"/>
        <w:rPr>
          <w:bCs/>
          <w:color w:val="auto"/>
          <w:szCs w:val="21"/>
          <w:highlight w:val="none"/>
        </w:rPr>
      </w:pPr>
      <w:r>
        <w:rPr>
          <w:rFonts w:hint="eastAsia"/>
          <w:bCs/>
          <w:color w:val="auto"/>
          <w:szCs w:val="21"/>
          <w:highlight w:val="none"/>
        </w:rPr>
        <w:t>日期：    年    月    日</w:t>
      </w:r>
    </w:p>
    <w:p>
      <w:pPr>
        <w:rPr>
          <w:rFonts w:cs="黑体"/>
          <w:color w:val="auto"/>
          <w:szCs w:val="21"/>
          <w:highlight w:val="none"/>
        </w:rPr>
      </w:pPr>
      <w:r>
        <w:rPr>
          <w:rFonts w:hint="eastAsia" w:cs="黑体"/>
          <w:color w:val="auto"/>
          <w:szCs w:val="21"/>
          <w:highlight w:val="none"/>
        </w:rPr>
        <w:br w:type="page"/>
      </w:r>
    </w:p>
    <w:p>
      <w:pPr>
        <w:spacing w:line="480" w:lineRule="auto"/>
        <w:rPr>
          <w:rFonts w:ascii="黑体" w:hAnsi="黑体" w:eastAsia="黑体" w:cs="黑体"/>
          <w:color w:val="auto"/>
          <w:szCs w:val="21"/>
          <w:highlight w:val="none"/>
        </w:rPr>
      </w:pPr>
      <w:bookmarkStart w:id="1108" w:name="_Toc8212"/>
      <w:r>
        <w:rPr>
          <w:rFonts w:hint="eastAsia" w:ascii="黑体" w:hAnsi="黑体" w:eastAsia="黑体" w:cs="黑体"/>
          <w:color w:val="auto"/>
          <w:szCs w:val="21"/>
          <w:highlight w:val="none"/>
        </w:rPr>
        <w:t>附件5.2</w:t>
      </w:r>
      <w:bookmarkEnd w:id="1108"/>
    </w:p>
    <w:p>
      <w:pPr>
        <w:spacing w:line="480" w:lineRule="auto"/>
        <w:ind w:firstLine="482" w:firstLineChars="200"/>
        <w:jc w:val="center"/>
        <w:rPr>
          <w:b/>
          <w:color w:val="auto"/>
          <w:szCs w:val="21"/>
          <w:highlight w:val="none"/>
        </w:rPr>
      </w:pPr>
      <w:r>
        <w:rPr>
          <w:rFonts w:hint="eastAsia"/>
          <w:b/>
          <w:color w:val="auto"/>
          <w:szCs w:val="21"/>
          <w:highlight w:val="none"/>
        </w:rPr>
        <w:t>资金使用计划（预算）确认表（格式）</w:t>
      </w:r>
    </w:p>
    <w:p>
      <w:pPr>
        <w:spacing w:line="480" w:lineRule="auto"/>
        <w:ind w:firstLine="482" w:firstLineChars="200"/>
        <w:jc w:val="center"/>
        <w:rPr>
          <w:b/>
          <w:color w:val="auto"/>
          <w:szCs w:val="21"/>
          <w:highlight w:val="none"/>
        </w:rPr>
      </w:pPr>
    </w:p>
    <w:p>
      <w:pPr>
        <w:spacing w:line="480" w:lineRule="auto"/>
        <w:ind w:firstLine="241" w:firstLineChars="100"/>
        <w:rPr>
          <w:color w:val="auto"/>
          <w:szCs w:val="21"/>
          <w:highlight w:val="none"/>
          <w:u w:val="single"/>
        </w:rPr>
      </w:pPr>
      <w:r>
        <w:rPr>
          <w:rFonts w:hint="eastAsia"/>
          <w:b/>
          <w:color w:val="auto"/>
          <w:szCs w:val="21"/>
          <w:highlight w:val="none"/>
        </w:rPr>
        <w:t>行</w:t>
      </w:r>
    </w:p>
    <w:p>
      <w:pPr>
        <w:spacing w:line="480" w:lineRule="auto"/>
        <w:ind w:firstLine="480" w:firstLineChars="200"/>
        <w:rPr>
          <w:color w:val="auto"/>
          <w:szCs w:val="21"/>
          <w:highlight w:val="none"/>
        </w:rPr>
      </w:pPr>
      <w:r>
        <w:rPr>
          <w:rFonts w:hint="eastAsia"/>
          <w:color w:val="auto"/>
          <w:szCs w:val="21"/>
          <w:highlight w:val="none"/>
        </w:rPr>
        <w:t>根据我司与</w:t>
      </w:r>
      <w:r>
        <w:rPr>
          <w:rFonts w:hint="eastAsia"/>
          <w:bCs/>
          <w:color w:val="auto"/>
          <w:szCs w:val="21"/>
          <w:highlight w:val="none"/>
        </w:rPr>
        <w:t>及贵行签署的编号为</w:t>
      </w:r>
      <w:r>
        <w:rPr>
          <w:rFonts w:hint="eastAsia"/>
          <w:color w:val="auto"/>
          <w:szCs w:val="21"/>
          <w:highlight w:val="none"/>
        </w:rPr>
        <w:t xml:space="preserve"> 的《工程资金监管协议》的约定，我司申请支用监管账户资金的材料已审查，同意前述协议约定的监管账户中支用资金人民币元，具体明细如下表：</w:t>
      </w:r>
    </w:p>
    <w:tbl>
      <w:tblPr>
        <w:tblStyle w:val="1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59"/>
        <w:gridCol w:w="1419"/>
        <w:gridCol w:w="1249"/>
        <w:gridCol w:w="1112"/>
        <w:gridCol w:w="153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b/>
                <w:bCs/>
                <w:color w:val="auto"/>
                <w:sz w:val="21"/>
                <w:szCs w:val="21"/>
                <w:highlight w:val="none"/>
              </w:rPr>
            </w:pPr>
            <w:r>
              <w:rPr>
                <w:rFonts w:hint="eastAsia"/>
                <w:b/>
                <w:bCs/>
                <w:color w:val="auto"/>
                <w:sz w:val="21"/>
                <w:szCs w:val="21"/>
                <w:highlight w:val="none"/>
              </w:rPr>
              <w:t>序号</w:t>
            </w:r>
          </w:p>
        </w:tc>
        <w:tc>
          <w:tcPr>
            <w:tcW w:w="1559" w:type="dxa"/>
          </w:tcPr>
          <w:p>
            <w:pPr>
              <w:spacing w:line="480" w:lineRule="auto"/>
              <w:jc w:val="center"/>
              <w:rPr>
                <w:b/>
                <w:bCs/>
                <w:color w:val="auto"/>
                <w:sz w:val="21"/>
                <w:szCs w:val="21"/>
                <w:highlight w:val="none"/>
              </w:rPr>
            </w:pPr>
            <w:r>
              <w:rPr>
                <w:rFonts w:hint="eastAsia"/>
                <w:b/>
                <w:bCs/>
                <w:color w:val="auto"/>
                <w:sz w:val="21"/>
                <w:szCs w:val="21"/>
                <w:highlight w:val="none"/>
              </w:rPr>
              <w:t>支付单位名称</w:t>
            </w:r>
          </w:p>
        </w:tc>
        <w:tc>
          <w:tcPr>
            <w:tcW w:w="1419" w:type="dxa"/>
          </w:tcPr>
          <w:p>
            <w:pPr>
              <w:spacing w:line="480" w:lineRule="auto"/>
              <w:jc w:val="center"/>
              <w:rPr>
                <w:b/>
                <w:bCs/>
                <w:color w:val="auto"/>
                <w:sz w:val="21"/>
                <w:szCs w:val="21"/>
                <w:highlight w:val="none"/>
              </w:rPr>
            </w:pPr>
            <w:r>
              <w:rPr>
                <w:rFonts w:hint="eastAsia"/>
                <w:b/>
                <w:bCs/>
                <w:color w:val="auto"/>
                <w:sz w:val="21"/>
                <w:szCs w:val="21"/>
                <w:highlight w:val="none"/>
              </w:rPr>
              <w:t>账号</w:t>
            </w:r>
          </w:p>
        </w:tc>
        <w:tc>
          <w:tcPr>
            <w:tcW w:w="1249" w:type="dxa"/>
          </w:tcPr>
          <w:p>
            <w:pPr>
              <w:spacing w:line="480" w:lineRule="auto"/>
              <w:jc w:val="center"/>
              <w:rPr>
                <w:b/>
                <w:bCs/>
                <w:color w:val="auto"/>
                <w:sz w:val="21"/>
                <w:szCs w:val="21"/>
                <w:highlight w:val="none"/>
              </w:rPr>
            </w:pPr>
            <w:r>
              <w:rPr>
                <w:rFonts w:hint="eastAsia"/>
                <w:b/>
                <w:bCs/>
                <w:color w:val="auto"/>
                <w:sz w:val="21"/>
                <w:szCs w:val="21"/>
                <w:highlight w:val="none"/>
              </w:rPr>
              <w:t>开户行</w:t>
            </w:r>
          </w:p>
        </w:tc>
        <w:tc>
          <w:tcPr>
            <w:tcW w:w="1112" w:type="dxa"/>
          </w:tcPr>
          <w:p>
            <w:pPr>
              <w:spacing w:line="480" w:lineRule="auto"/>
              <w:jc w:val="center"/>
              <w:rPr>
                <w:b/>
                <w:bCs/>
                <w:color w:val="auto"/>
                <w:sz w:val="21"/>
                <w:szCs w:val="21"/>
                <w:highlight w:val="none"/>
              </w:rPr>
            </w:pPr>
            <w:r>
              <w:rPr>
                <w:rFonts w:hint="eastAsia"/>
                <w:b/>
                <w:bCs/>
                <w:color w:val="auto"/>
                <w:sz w:val="21"/>
                <w:szCs w:val="21"/>
                <w:highlight w:val="none"/>
              </w:rPr>
              <w:t>金额</w:t>
            </w:r>
          </w:p>
        </w:tc>
        <w:tc>
          <w:tcPr>
            <w:tcW w:w="1530" w:type="dxa"/>
          </w:tcPr>
          <w:p>
            <w:pPr>
              <w:spacing w:line="480" w:lineRule="auto"/>
              <w:jc w:val="center"/>
              <w:rPr>
                <w:b/>
                <w:bCs/>
                <w:color w:val="auto"/>
                <w:sz w:val="21"/>
                <w:szCs w:val="21"/>
                <w:highlight w:val="none"/>
              </w:rPr>
            </w:pPr>
            <w:r>
              <w:rPr>
                <w:rFonts w:hint="eastAsia"/>
                <w:b/>
                <w:bCs/>
                <w:color w:val="auto"/>
                <w:sz w:val="21"/>
                <w:szCs w:val="21"/>
                <w:highlight w:val="none"/>
              </w:rPr>
              <w:t>预计支付日期</w:t>
            </w:r>
          </w:p>
        </w:tc>
        <w:tc>
          <w:tcPr>
            <w:tcW w:w="1225" w:type="dxa"/>
          </w:tcPr>
          <w:p>
            <w:pPr>
              <w:spacing w:line="480" w:lineRule="auto"/>
              <w:jc w:val="center"/>
              <w:rPr>
                <w:b/>
                <w:bCs/>
                <w:color w:val="auto"/>
                <w:sz w:val="21"/>
                <w:szCs w:val="21"/>
                <w:highlight w:val="none"/>
              </w:rPr>
            </w:pPr>
            <w:r>
              <w:rPr>
                <w:rFonts w:hint="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color w:val="auto"/>
                <w:sz w:val="21"/>
                <w:szCs w:val="21"/>
                <w:highlight w:val="none"/>
              </w:rPr>
            </w:pPr>
            <w:r>
              <w:rPr>
                <w:rFonts w:hint="eastAsia"/>
                <w:color w:val="auto"/>
                <w:sz w:val="21"/>
                <w:szCs w:val="21"/>
                <w:highlight w:val="none"/>
              </w:rPr>
              <w:t>1</w:t>
            </w:r>
          </w:p>
        </w:tc>
        <w:tc>
          <w:tcPr>
            <w:tcW w:w="1559" w:type="dxa"/>
          </w:tcPr>
          <w:p>
            <w:pPr>
              <w:spacing w:line="480" w:lineRule="auto"/>
              <w:rPr>
                <w:color w:val="auto"/>
                <w:sz w:val="21"/>
                <w:szCs w:val="21"/>
                <w:highlight w:val="none"/>
              </w:rPr>
            </w:pPr>
          </w:p>
        </w:tc>
        <w:tc>
          <w:tcPr>
            <w:tcW w:w="1419"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112" w:type="dxa"/>
          </w:tcPr>
          <w:p>
            <w:pPr>
              <w:spacing w:line="480" w:lineRule="auto"/>
              <w:rPr>
                <w:color w:val="auto"/>
                <w:sz w:val="21"/>
                <w:szCs w:val="21"/>
                <w:highlight w:val="none"/>
              </w:rPr>
            </w:pPr>
          </w:p>
        </w:tc>
        <w:tc>
          <w:tcPr>
            <w:tcW w:w="1530" w:type="dxa"/>
          </w:tcPr>
          <w:p>
            <w:pPr>
              <w:spacing w:line="480" w:lineRule="auto"/>
              <w:rPr>
                <w:color w:val="auto"/>
                <w:sz w:val="21"/>
                <w:szCs w:val="21"/>
                <w:highlight w:val="none"/>
              </w:rPr>
            </w:pPr>
          </w:p>
        </w:tc>
        <w:tc>
          <w:tcPr>
            <w:tcW w:w="1225"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color w:val="auto"/>
                <w:sz w:val="21"/>
                <w:szCs w:val="21"/>
                <w:highlight w:val="none"/>
              </w:rPr>
            </w:pPr>
            <w:r>
              <w:rPr>
                <w:rFonts w:hint="eastAsia"/>
                <w:color w:val="auto"/>
                <w:sz w:val="21"/>
                <w:szCs w:val="21"/>
                <w:highlight w:val="none"/>
              </w:rPr>
              <w:t>2</w:t>
            </w:r>
          </w:p>
        </w:tc>
        <w:tc>
          <w:tcPr>
            <w:tcW w:w="1559" w:type="dxa"/>
          </w:tcPr>
          <w:p>
            <w:pPr>
              <w:spacing w:line="480" w:lineRule="auto"/>
              <w:rPr>
                <w:color w:val="auto"/>
                <w:sz w:val="21"/>
                <w:szCs w:val="21"/>
                <w:highlight w:val="none"/>
              </w:rPr>
            </w:pPr>
          </w:p>
        </w:tc>
        <w:tc>
          <w:tcPr>
            <w:tcW w:w="1419"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112" w:type="dxa"/>
          </w:tcPr>
          <w:p>
            <w:pPr>
              <w:spacing w:line="480" w:lineRule="auto"/>
              <w:rPr>
                <w:color w:val="auto"/>
                <w:sz w:val="21"/>
                <w:szCs w:val="21"/>
                <w:highlight w:val="none"/>
              </w:rPr>
            </w:pPr>
          </w:p>
        </w:tc>
        <w:tc>
          <w:tcPr>
            <w:tcW w:w="1530" w:type="dxa"/>
          </w:tcPr>
          <w:p>
            <w:pPr>
              <w:spacing w:line="480" w:lineRule="auto"/>
              <w:rPr>
                <w:color w:val="auto"/>
                <w:sz w:val="21"/>
                <w:szCs w:val="21"/>
                <w:highlight w:val="none"/>
              </w:rPr>
            </w:pPr>
          </w:p>
        </w:tc>
        <w:tc>
          <w:tcPr>
            <w:tcW w:w="1225"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color w:val="auto"/>
                <w:sz w:val="21"/>
                <w:szCs w:val="21"/>
                <w:highlight w:val="none"/>
              </w:rPr>
            </w:pPr>
            <w:r>
              <w:rPr>
                <w:rFonts w:hint="eastAsia"/>
                <w:color w:val="auto"/>
                <w:sz w:val="21"/>
                <w:szCs w:val="21"/>
                <w:highlight w:val="none"/>
              </w:rPr>
              <w:t>3</w:t>
            </w:r>
          </w:p>
        </w:tc>
        <w:tc>
          <w:tcPr>
            <w:tcW w:w="1559" w:type="dxa"/>
          </w:tcPr>
          <w:p>
            <w:pPr>
              <w:spacing w:line="480" w:lineRule="auto"/>
              <w:rPr>
                <w:color w:val="auto"/>
                <w:sz w:val="21"/>
                <w:szCs w:val="21"/>
                <w:highlight w:val="none"/>
              </w:rPr>
            </w:pPr>
          </w:p>
        </w:tc>
        <w:tc>
          <w:tcPr>
            <w:tcW w:w="1419"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112" w:type="dxa"/>
          </w:tcPr>
          <w:p>
            <w:pPr>
              <w:spacing w:line="480" w:lineRule="auto"/>
              <w:rPr>
                <w:color w:val="auto"/>
                <w:sz w:val="21"/>
                <w:szCs w:val="21"/>
                <w:highlight w:val="none"/>
              </w:rPr>
            </w:pPr>
          </w:p>
        </w:tc>
        <w:tc>
          <w:tcPr>
            <w:tcW w:w="1530" w:type="dxa"/>
          </w:tcPr>
          <w:p>
            <w:pPr>
              <w:spacing w:line="480" w:lineRule="auto"/>
              <w:rPr>
                <w:color w:val="auto"/>
                <w:sz w:val="21"/>
                <w:szCs w:val="21"/>
                <w:highlight w:val="none"/>
              </w:rPr>
            </w:pPr>
          </w:p>
        </w:tc>
        <w:tc>
          <w:tcPr>
            <w:tcW w:w="1225"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color w:val="auto"/>
                <w:sz w:val="21"/>
                <w:szCs w:val="21"/>
                <w:highlight w:val="none"/>
              </w:rPr>
            </w:pPr>
            <w:r>
              <w:rPr>
                <w:rFonts w:hint="eastAsia"/>
                <w:color w:val="auto"/>
                <w:sz w:val="21"/>
                <w:szCs w:val="21"/>
                <w:highlight w:val="none"/>
              </w:rPr>
              <w:t>4</w:t>
            </w:r>
          </w:p>
        </w:tc>
        <w:tc>
          <w:tcPr>
            <w:tcW w:w="1559" w:type="dxa"/>
          </w:tcPr>
          <w:p>
            <w:pPr>
              <w:spacing w:line="480" w:lineRule="auto"/>
              <w:rPr>
                <w:color w:val="auto"/>
                <w:sz w:val="21"/>
                <w:szCs w:val="21"/>
                <w:highlight w:val="none"/>
              </w:rPr>
            </w:pPr>
          </w:p>
        </w:tc>
        <w:tc>
          <w:tcPr>
            <w:tcW w:w="1419"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112" w:type="dxa"/>
          </w:tcPr>
          <w:p>
            <w:pPr>
              <w:spacing w:line="480" w:lineRule="auto"/>
              <w:rPr>
                <w:color w:val="auto"/>
                <w:sz w:val="21"/>
                <w:szCs w:val="21"/>
                <w:highlight w:val="none"/>
              </w:rPr>
            </w:pPr>
          </w:p>
        </w:tc>
        <w:tc>
          <w:tcPr>
            <w:tcW w:w="1530" w:type="dxa"/>
          </w:tcPr>
          <w:p>
            <w:pPr>
              <w:spacing w:line="480" w:lineRule="auto"/>
              <w:rPr>
                <w:color w:val="auto"/>
                <w:sz w:val="21"/>
                <w:szCs w:val="21"/>
                <w:highlight w:val="none"/>
              </w:rPr>
            </w:pPr>
          </w:p>
        </w:tc>
        <w:tc>
          <w:tcPr>
            <w:tcW w:w="1225" w:type="dxa"/>
          </w:tcPr>
          <w:p>
            <w:pPr>
              <w:spacing w:line="480" w:lineRule="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color w:val="auto"/>
                <w:sz w:val="21"/>
                <w:szCs w:val="21"/>
                <w:highlight w:val="none"/>
              </w:rPr>
            </w:pPr>
            <w:r>
              <w:rPr>
                <w:rFonts w:hint="eastAsia"/>
                <w:color w:val="auto"/>
                <w:sz w:val="21"/>
                <w:szCs w:val="21"/>
                <w:highlight w:val="none"/>
              </w:rPr>
              <w:t>合计</w:t>
            </w:r>
          </w:p>
        </w:tc>
        <w:tc>
          <w:tcPr>
            <w:tcW w:w="1559" w:type="dxa"/>
          </w:tcPr>
          <w:p>
            <w:pPr>
              <w:spacing w:line="480" w:lineRule="auto"/>
              <w:rPr>
                <w:color w:val="auto"/>
                <w:sz w:val="21"/>
                <w:szCs w:val="21"/>
                <w:highlight w:val="none"/>
              </w:rPr>
            </w:pPr>
          </w:p>
        </w:tc>
        <w:tc>
          <w:tcPr>
            <w:tcW w:w="1419" w:type="dxa"/>
          </w:tcPr>
          <w:p>
            <w:pPr>
              <w:spacing w:line="480" w:lineRule="auto"/>
              <w:rPr>
                <w:color w:val="auto"/>
                <w:sz w:val="21"/>
                <w:szCs w:val="21"/>
                <w:highlight w:val="none"/>
              </w:rPr>
            </w:pPr>
          </w:p>
        </w:tc>
        <w:tc>
          <w:tcPr>
            <w:tcW w:w="1249" w:type="dxa"/>
          </w:tcPr>
          <w:p>
            <w:pPr>
              <w:spacing w:line="480" w:lineRule="auto"/>
              <w:rPr>
                <w:color w:val="auto"/>
                <w:sz w:val="21"/>
                <w:szCs w:val="21"/>
                <w:highlight w:val="none"/>
              </w:rPr>
            </w:pPr>
          </w:p>
        </w:tc>
        <w:tc>
          <w:tcPr>
            <w:tcW w:w="1112" w:type="dxa"/>
          </w:tcPr>
          <w:p>
            <w:pPr>
              <w:spacing w:line="480" w:lineRule="auto"/>
              <w:rPr>
                <w:color w:val="auto"/>
                <w:sz w:val="21"/>
                <w:szCs w:val="21"/>
                <w:highlight w:val="none"/>
              </w:rPr>
            </w:pPr>
          </w:p>
        </w:tc>
        <w:tc>
          <w:tcPr>
            <w:tcW w:w="1530" w:type="dxa"/>
          </w:tcPr>
          <w:p>
            <w:pPr>
              <w:spacing w:line="480" w:lineRule="auto"/>
              <w:rPr>
                <w:color w:val="auto"/>
                <w:sz w:val="21"/>
                <w:szCs w:val="21"/>
                <w:highlight w:val="none"/>
              </w:rPr>
            </w:pPr>
          </w:p>
        </w:tc>
        <w:tc>
          <w:tcPr>
            <w:tcW w:w="1225" w:type="dxa"/>
          </w:tcPr>
          <w:p>
            <w:pPr>
              <w:spacing w:line="480" w:lineRule="auto"/>
              <w:rPr>
                <w:color w:val="auto"/>
                <w:sz w:val="21"/>
                <w:szCs w:val="21"/>
                <w:highlight w:val="none"/>
              </w:rPr>
            </w:pPr>
          </w:p>
        </w:tc>
      </w:tr>
    </w:tbl>
    <w:p>
      <w:pPr>
        <w:spacing w:line="480" w:lineRule="auto"/>
        <w:rPr>
          <w:color w:val="auto"/>
          <w:szCs w:val="21"/>
          <w:highlight w:val="none"/>
        </w:rPr>
      </w:pPr>
    </w:p>
    <w:p>
      <w:pPr>
        <w:spacing w:line="480" w:lineRule="auto"/>
        <w:ind w:firstLine="480" w:firstLineChars="200"/>
        <w:rPr>
          <w:color w:val="auto"/>
          <w:szCs w:val="21"/>
          <w:highlight w:val="none"/>
        </w:rPr>
      </w:pPr>
      <w:r>
        <w:rPr>
          <w:rFonts w:hint="eastAsia"/>
          <w:color w:val="auto"/>
          <w:szCs w:val="21"/>
          <w:highlight w:val="none"/>
        </w:rPr>
        <w:t>请根据本确认表，协助</w:t>
      </w:r>
      <w:r>
        <w:rPr>
          <w:rFonts w:hint="eastAsia"/>
          <w:bCs/>
          <w:color w:val="auto"/>
          <w:szCs w:val="21"/>
          <w:highlight w:val="none"/>
        </w:rPr>
        <w:t>我司办理资金支用手续。</w:t>
      </w:r>
    </w:p>
    <w:p>
      <w:pPr>
        <w:spacing w:line="480" w:lineRule="auto"/>
        <w:ind w:firstLine="600" w:firstLineChars="250"/>
        <w:rPr>
          <w:color w:val="auto"/>
          <w:szCs w:val="21"/>
          <w:highlight w:val="none"/>
        </w:rPr>
      </w:pPr>
      <w:r>
        <w:rPr>
          <w:rFonts w:hint="eastAsia"/>
          <w:color w:val="auto"/>
          <w:szCs w:val="21"/>
          <w:highlight w:val="none"/>
        </w:rPr>
        <w:t>特此通知。</w:t>
      </w:r>
    </w:p>
    <w:p>
      <w:pPr>
        <w:spacing w:line="480" w:lineRule="auto"/>
        <w:ind w:firstLine="480" w:firstLineChars="200"/>
        <w:jc w:val="center"/>
        <w:rPr>
          <w:color w:val="auto"/>
          <w:szCs w:val="21"/>
          <w:highlight w:val="none"/>
        </w:rPr>
      </w:pPr>
    </w:p>
    <w:p>
      <w:pPr>
        <w:spacing w:line="480" w:lineRule="auto"/>
        <w:rPr>
          <w:bCs/>
          <w:color w:val="auto"/>
          <w:szCs w:val="21"/>
          <w:highlight w:val="none"/>
        </w:rPr>
      </w:pPr>
      <w:r>
        <w:rPr>
          <w:rFonts w:hint="eastAsia"/>
          <w:b/>
          <w:bCs/>
          <w:color w:val="auto"/>
          <w:szCs w:val="21"/>
          <w:highlight w:val="none"/>
        </w:rPr>
        <w:t>申请单位：</w:t>
      </w:r>
      <w:r>
        <w:rPr>
          <w:rFonts w:hint="eastAsia"/>
          <w:bCs/>
          <w:color w:val="auto"/>
          <w:szCs w:val="21"/>
          <w:highlight w:val="none"/>
        </w:rPr>
        <w:t xml:space="preserve">（部公章） </w:t>
      </w:r>
    </w:p>
    <w:p>
      <w:pPr>
        <w:spacing w:line="480" w:lineRule="auto"/>
        <w:rPr>
          <w:bCs/>
          <w:color w:val="auto"/>
          <w:szCs w:val="21"/>
          <w:highlight w:val="none"/>
        </w:rPr>
      </w:pPr>
      <w:r>
        <w:rPr>
          <w:rFonts w:hint="eastAsia"/>
          <w:bCs/>
          <w:color w:val="auto"/>
          <w:szCs w:val="21"/>
          <w:highlight w:val="none"/>
        </w:rPr>
        <w:t>日期：    年    月    日</w:t>
      </w:r>
    </w:p>
    <w:p>
      <w:pPr>
        <w:spacing w:line="480" w:lineRule="auto"/>
        <w:rPr>
          <w:bCs/>
          <w:color w:val="auto"/>
          <w:szCs w:val="21"/>
          <w:highlight w:val="none"/>
        </w:rPr>
      </w:pPr>
    </w:p>
    <w:p>
      <w:pPr>
        <w:spacing w:line="480" w:lineRule="auto"/>
        <w:rPr>
          <w:bCs/>
          <w:color w:val="auto"/>
          <w:szCs w:val="21"/>
          <w:highlight w:val="none"/>
        </w:rPr>
      </w:pPr>
      <w:r>
        <w:rPr>
          <w:rFonts w:hint="eastAsia"/>
          <w:b/>
          <w:bCs/>
          <w:color w:val="auto"/>
          <w:szCs w:val="21"/>
          <w:highlight w:val="none"/>
        </w:rPr>
        <w:t>审核单位</w:t>
      </w:r>
      <w:r>
        <w:rPr>
          <w:rFonts w:hint="eastAsia"/>
          <w:bCs/>
          <w:color w:val="auto"/>
          <w:szCs w:val="21"/>
          <w:highlight w:val="none"/>
        </w:rPr>
        <w:t>：（预留印鉴）</w:t>
      </w:r>
    </w:p>
    <w:p>
      <w:pPr>
        <w:spacing w:line="480" w:lineRule="auto"/>
        <w:rPr>
          <w:snapToGrid w:val="0"/>
          <w:color w:val="auto"/>
          <w:szCs w:val="21"/>
          <w:highlight w:val="none"/>
        </w:rPr>
      </w:pPr>
      <w:r>
        <w:rPr>
          <w:rFonts w:hint="eastAsia"/>
          <w:bCs/>
          <w:color w:val="auto"/>
          <w:szCs w:val="21"/>
          <w:highlight w:val="none"/>
        </w:rPr>
        <w:t>日期：    年    月    日</w:t>
      </w:r>
    </w:p>
    <w:p>
      <w:pPr>
        <w:rPr>
          <w:color w:val="auto"/>
          <w:highlight w:val="none"/>
        </w:rPr>
        <w:sectPr>
          <w:footerReference r:id="rId7" w:type="default"/>
          <w:pgSz w:w="11907" w:h="16840"/>
          <w:pgMar w:top="1417" w:right="1417" w:bottom="1417" w:left="1417" w:header="851" w:footer="851" w:gutter="0"/>
          <w:cols w:space="720" w:num="1"/>
          <w:docGrid w:type="lines" w:linePitch="312" w:charSpace="0"/>
        </w:sectPr>
      </w:pPr>
    </w:p>
    <w:p>
      <w:pPr>
        <w:spacing w:line="360" w:lineRule="auto"/>
        <w:outlineLvl w:val="1"/>
        <w:rPr>
          <w:color w:val="auto"/>
          <w:kern w:val="2"/>
          <w:sz w:val="21"/>
          <w:szCs w:val="21"/>
          <w:highlight w:val="none"/>
        </w:rPr>
      </w:pPr>
      <w:bookmarkStart w:id="1109" w:name="_Toc27308"/>
      <w:bookmarkStart w:id="1110" w:name="_Toc21612"/>
      <w:r>
        <w:rPr>
          <w:rFonts w:hint="eastAsia"/>
          <w:color w:val="auto"/>
          <w:kern w:val="2"/>
          <w:sz w:val="21"/>
          <w:szCs w:val="21"/>
          <w:highlight w:val="none"/>
        </w:rPr>
        <w:t>附件6：</w:t>
      </w:r>
      <w:bookmarkEnd w:id="1102"/>
      <w:bookmarkEnd w:id="1103"/>
      <w:bookmarkEnd w:id="1104"/>
      <w:bookmarkEnd w:id="1105"/>
      <w:bookmarkEnd w:id="1109"/>
      <w:bookmarkEnd w:id="1110"/>
    </w:p>
    <w:p>
      <w:pPr>
        <w:widowControl w:val="0"/>
        <w:adjustRightInd w:val="0"/>
        <w:snapToGrid w:val="0"/>
        <w:spacing w:after="200" w:line="360" w:lineRule="auto"/>
        <w:jc w:val="center"/>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安全生产、文明施工管理协议书</w:t>
      </w:r>
    </w:p>
    <w:p>
      <w:pPr>
        <w:widowControl w:val="0"/>
        <w:spacing w:line="500" w:lineRule="exact"/>
        <w:ind w:firstLine="480" w:firstLineChars="200"/>
        <w:jc w:val="both"/>
        <w:rPr>
          <w:rFonts w:cs="Times New Roman"/>
          <w:color w:val="auto"/>
          <w:kern w:val="2"/>
          <w:highlight w:val="none"/>
          <w:u w:val="single"/>
        </w:rPr>
      </w:pPr>
      <w:r>
        <w:rPr>
          <w:rFonts w:hint="eastAsia" w:cs="Times New Roman"/>
          <w:color w:val="auto"/>
          <w:kern w:val="2"/>
          <w:highlight w:val="none"/>
        </w:rPr>
        <w:t>发包人（甲方）：</w:t>
      </w:r>
      <w:r>
        <w:rPr>
          <w:rFonts w:hint="eastAsia" w:cs="Times New Roman"/>
          <w:color w:val="auto"/>
          <w:kern w:val="2"/>
          <w:highlight w:val="none"/>
          <w:u w:val="single"/>
        </w:rPr>
        <w:t>深圳市龙华高新技术产业园区开发投资有限公司</w:t>
      </w:r>
    </w:p>
    <w:p>
      <w:pPr>
        <w:widowControl w:val="0"/>
        <w:spacing w:line="500" w:lineRule="exact"/>
        <w:ind w:firstLine="480" w:firstLineChars="200"/>
        <w:jc w:val="both"/>
        <w:rPr>
          <w:rFonts w:cs="Times New Roman"/>
          <w:color w:val="auto"/>
          <w:kern w:val="2"/>
          <w:highlight w:val="none"/>
          <w:u w:val="single"/>
        </w:rPr>
      </w:pPr>
      <w:r>
        <w:rPr>
          <w:rFonts w:hint="eastAsia" w:cs="Times New Roman"/>
          <w:color w:val="auto"/>
          <w:kern w:val="2"/>
          <w:highlight w:val="none"/>
        </w:rPr>
        <w:t>承包人（乙方）：</w:t>
      </w:r>
      <w:r>
        <w:rPr>
          <w:rFonts w:hint="eastAsia"/>
          <w:bCs/>
          <w:color w:val="auto"/>
          <w:kern w:val="2"/>
          <w:szCs w:val="22"/>
          <w:highlight w:val="none"/>
          <w:u w:val="single"/>
        </w:rPr>
        <w:t xml:space="preserve">***** </w:t>
      </w:r>
    </w:p>
    <w:p>
      <w:pPr>
        <w:spacing w:line="500" w:lineRule="exact"/>
        <w:ind w:firstLine="480" w:firstLineChars="200"/>
        <w:rPr>
          <w:color w:val="auto"/>
          <w:highlight w:val="none"/>
        </w:rPr>
      </w:pPr>
      <w:r>
        <w:rPr>
          <w:rFonts w:hint="eastAsia"/>
          <w:color w:val="auto"/>
          <w:highlight w:val="none"/>
        </w:rPr>
        <w:t>甲乙双方针对，为明确甲乙双方的权利和义务，保障工程实施及相关作业人员的安全，依据国家和深圳市相关法律的规定，结合工程项目建设的实际情况，经甲乙双方协商一致，达成如下协议：</w:t>
      </w:r>
    </w:p>
    <w:p>
      <w:pPr>
        <w:widowControl w:val="0"/>
        <w:spacing w:line="360" w:lineRule="auto"/>
        <w:ind w:firstLine="480" w:firstLineChars="200"/>
        <w:jc w:val="both"/>
        <w:rPr>
          <w:rFonts w:cs="Times New Roman"/>
          <w:b/>
          <w:color w:val="auto"/>
          <w:kern w:val="2"/>
          <w:highlight w:val="none"/>
        </w:rPr>
      </w:pPr>
      <w:bookmarkStart w:id="1111" w:name="_Toc36667932"/>
      <w:r>
        <w:rPr>
          <w:rFonts w:hint="eastAsia" w:cs="Times New Roman"/>
          <w:color w:val="auto"/>
          <w:kern w:val="2"/>
          <w:highlight w:val="none"/>
        </w:rPr>
        <w:t>一、</w:t>
      </w:r>
      <w:r>
        <w:rPr>
          <w:rFonts w:hint="eastAsia" w:cs="Times New Roman"/>
          <w:b/>
          <w:color w:val="auto"/>
          <w:kern w:val="2"/>
          <w:highlight w:val="none"/>
        </w:rPr>
        <w:t>安全生产目标</w:t>
      </w:r>
      <w:bookmarkEnd w:id="1111"/>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1、不发生一般及以上安全生产责任事故；事故直接经济损失不超过50万元。</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2、安全隐患整改率100%。</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3、不发生火灾责任事故或后果严重、影响恶劣的安全、健康、环境责任事故。</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4、不发生较大群体性事件。</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5、不发生员工死亡或重伤的工伤事故。</w:t>
      </w:r>
    </w:p>
    <w:p>
      <w:pPr>
        <w:widowControl w:val="0"/>
        <w:spacing w:line="360" w:lineRule="auto"/>
        <w:ind w:firstLine="480" w:firstLineChars="200"/>
        <w:jc w:val="both"/>
        <w:rPr>
          <w:color w:val="auto"/>
          <w:highlight w:val="none"/>
        </w:rPr>
      </w:pPr>
      <w:r>
        <w:rPr>
          <w:rFonts w:hint="eastAsia" w:cs="Times New Roman"/>
          <w:color w:val="auto"/>
          <w:kern w:val="2"/>
          <w:highlight w:val="none"/>
        </w:rPr>
        <w:t>6、按合同约定实现安全文明施工创优计划。</w:t>
      </w:r>
    </w:p>
    <w:p>
      <w:pPr>
        <w:widowControl w:val="0"/>
        <w:spacing w:line="360" w:lineRule="auto"/>
        <w:ind w:firstLine="482" w:firstLineChars="200"/>
        <w:jc w:val="both"/>
        <w:rPr>
          <w:rFonts w:cs="Times New Roman"/>
          <w:b/>
          <w:color w:val="auto"/>
          <w:kern w:val="2"/>
          <w:highlight w:val="none"/>
        </w:rPr>
      </w:pPr>
      <w:r>
        <w:rPr>
          <w:rFonts w:hint="eastAsia" w:cs="Times New Roman"/>
          <w:b/>
          <w:color w:val="auto"/>
          <w:kern w:val="2"/>
          <w:highlight w:val="none"/>
        </w:rPr>
        <w:t>二、双方责任</w:t>
      </w:r>
    </w:p>
    <w:p>
      <w:pPr>
        <w:widowControl w:val="0"/>
        <w:spacing w:line="360" w:lineRule="auto"/>
        <w:ind w:firstLine="602" w:firstLineChars="250"/>
        <w:jc w:val="both"/>
        <w:rPr>
          <w:rFonts w:cs="Times New Roman"/>
          <w:b/>
          <w:color w:val="auto"/>
          <w:kern w:val="2"/>
          <w:highlight w:val="none"/>
        </w:rPr>
      </w:pPr>
      <w:r>
        <w:rPr>
          <w:rFonts w:hint="eastAsia" w:cs="Times New Roman"/>
          <w:b/>
          <w:color w:val="auto"/>
          <w:kern w:val="2"/>
          <w:highlight w:val="none"/>
        </w:rPr>
        <w:t>1、甲方责任</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（1）甲方必须遵守有关法律、法规、强制性标准和政府规范性文件，依法承担建设工程安全生产责任。</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（2）甲方必须严格执行基本建设程序，坚持先勘察、后设计、再施工的原则。</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（3）甲方应严格落实《安全生产法》“三同时”规定，建设项目的安全设施必须符合国家标准或行业标准，与主体工程同时设计、同时施工、同时投入使用。</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（4）甲方在编制工程概算时，应当确定建设工程安全作业环境及安全施工措施所需费用，并按照施工承包合同约定及时对安全文明施工措施费进行审核支付。</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44"/>
          <w:highlight w:val="none"/>
        </w:rPr>
        <w:t>（5）</w:t>
      </w:r>
      <w:r>
        <w:rPr>
          <w:rFonts w:hint="eastAsia" w:cs="Times New Roman"/>
          <w:color w:val="auto"/>
          <w:kern w:val="2"/>
          <w:highlight w:val="none"/>
        </w:rPr>
        <w:t>甲方</w:t>
      </w:r>
      <w:r>
        <w:rPr>
          <w:rFonts w:hint="eastAsia" w:cs="Times New Roman"/>
          <w:color w:val="auto"/>
          <w:kern w:val="44"/>
          <w:highlight w:val="none"/>
        </w:rPr>
        <w:t>应当组织勘察、设计等单位在施工招标文件中列出危大工程清单，要求施工单位在投标时补充完善危大工程清单并明确相应的安全管理措施。</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（6）甲方应当将工程发包给具有相应资质（含安全生产资质）的施工、设计、地勘、监理等单位，确保企业资质及经营范围符合。</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（7）甲方应与承包、承租、协作等单位签订安全生产管理协议，明确各方在项目建设中安全生产方面的责任，督促其履行安全生产职责。</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（8）甲方在工程开工前要切实做好拆、改、移工作，确保场地、水、电、交通条件满足施工要求，减少工程安全质量隐患，为项目顺利施工创造良好外部环境。</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（9）甲方应向有关的勘察、设计、施工、工程监理等单位提供与建设工程相关的真实、准确、齐全的原始资料，尤其是地下管线资料。</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（10）甲方对于按照规定需要进行第三方监测的危大工程，应当委托具有相应勘察资质的单位进行第三方监测，对工程围（支）护结构等关键部位及重要周边环境等进行监测、分析，并及时采取防范措施。</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（11）在燃气管道安全控制范围内施工的，甲方应当会同乙方与管道燃气企业签订安全保护协议，制定燃气管道安全保护方案并采取安全防护措施。</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（12）甲方不得对勘察、设计、施工、监理等单位提出不符合有关法律、法规、强制性标准和政府规范性文件的要求，不得明示或者暗示其违反上述要求，不得压缩合同约定的工期。</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（13）甲方不得明示或暗示施工单位购买、租赁、使用不符合安全施工要求的安防用具、机械设备、施工机具及配件、消防设施和器材。</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（14）甲方应将安全生产管理纳入项目管理的重要内容，并定期组织监理、施工单位开展安全隐患排查活动，督促乙方安全作业，并依照合同和本协议对不符合安全生产管理规定的行为进行处罚。</w:t>
      </w:r>
    </w:p>
    <w:p>
      <w:pPr>
        <w:widowControl w:val="0"/>
        <w:spacing w:line="360" w:lineRule="auto"/>
        <w:ind w:firstLine="480" w:firstLineChars="200"/>
        <w:jc w:val="both"/>
        <w:rPr>
          <w:rFonts w:cs="Times New Roman"/>
          <w:b/>
          <w:color w:val="auto"/>
          <w:kern w:val="2"/>
          <w:highlight w:val="none"/>
        </w:rPr>
      </w:pPr>
      <w:r>
        <w:rPr>
          <w:rFonts w:hint="eastAsia" w:cs="Times New Roman"/>
          <w:color w:val="auto"/>
          <w:kern w:val="2"/>
          <w:highlight w:val="none"/>
        </w:rPr>
        <w:t>（15）甲方应按规定进行事故的统计、报告和处理，并建立事故档案。</w:t>
      </w:r>
    </w:p>
    <w:p>
      <w:pPr>
        <w:widowControl w:val="0"/>
        <w:spacing w:line="360" w:lineRule="auto"/>
        <w:ind w:left="540"/>
        <w:jc w:val="both"/>
        <w:rPr>
          <w:rFonts w:cs="Times New Roman"/>
          <w:b/>
          <w:color w:val="auto"/>
          <w:kern w:val="2"/>
          <w:highlight w:val="none"/>
        </w:rPr>
      </w:pPr>
      <w:r>
        <w:rPr>
          <w:rFonts w:hint="eastAsia" w:cs="Times New Roman"/>
          <w:color w:val="auto"/>
          <w:kern w:val="2"/>
          <w:highlight w:val="none"/>
        </w:rPr>
        <w:t>2、</w:t>
      </w:r>
      <w:r>
        <w:rPr>
          <w:rFonts w:hint="eastAsia" w:cs="Times New Roman"/>
          <w:b/>
          <w:color w:val="auto"/>
          <w:kern w:val="2"/>
          <w:highlight w:val="none"/>
        </w:rPr>
        <w:t>乙方责任</w:t>
      </w:r>
    </w:p>
    <w:p>
      <w:pPr>
        <w:widowControl w:val="0"/>
        <w:spacing w:line="360" w:lineRule="auto"/>
        <w:ind w:left="1" w:firstLine="482" w:firstLineChars="200"/>
        <w:jc w:val="both"/>
        <w:rPr>
          <w:rFonts w:cs="Times New Roman"/>
          <w:b/>
          <w:color w:val="auto"/>
          <w:kern w:val="2"/>
          <w:highlight w:val="none"/>
        </w:rPr>
      </w:pPr>
      <w:r>
        <w:rPr>
          <w:rFonts w:hint="eastAsia" w:cs="Times New Roman"/>
          <w:b/>
          <w:color w:val="auto"/>
          <w:kern w:val="2"/>
          <w:highlight w:val="none"/>
        </w:rPr>
        <w:t>（一）工程安全管理</w:t>
      </w:r>
    </w:p>
    <w:p>
      <w:pPr>
        <w:widowControl w:val="0"/>
        <w:spacing w:line="360" w:lineRule="auto"/>
        <w:ind w:left="1" w:firstLine="480" w:firstLineChars="200"/>
        <w:jc w:val="both"/>
        <w:rPr>
          <w:rFonts w:cs="Times New Roman"/>
          <w:color w:val="auto"/>
          <w:kern w:val="2"/>
          <w:highlight w:val="none"/>
        </w:rPr>
      </w:pPr>
      <w:r>
        <w:rPr>
          <w:rFonts w:hint="eastAsia" w:cs="Times New Roman"/>
          <w:color w:val="auto"/>
          <w:kern w:val="2"/>
          <w:highlight w:val="none"/>
        </w:rPr>
        <w:t>（1）乙方必须贯彻执行建设工程安全相关法律、法规、规章和标准，以及施工承包合同有关规定和要求，服从甲方及甲方委托的第三方监理单位对安全文明施工的管理，并全面遵守甲方及甲方委托的监理单位有关工程安全的各项规定。</w:t>
      </w:r>
    </w:p>
    <w:p>
      <w:pPr>
        <w:widowControl w:val="0"/>
        <w:spacing w:line="360" w:lineRule="auto"/>
        <w:ind w:left="1" w:firstLine="480" w:firstLineChars="200"/>
        <w:jc w:val="both"/>
        <w:rPr>
          <w:rFonts w:cs="Times New Roman"/>
          <w:color w:val="auto"/>
          <w:kern w:val="2"/>
          <w:highlight w:val="none"/>
        </w:rPr>
      </w:pPr>
      <w:r>
        <w:rPr>
          <w:rFonts w:hint="eastAsia" w:cs="Times New Roman"/>
          <w:color w:val="auto"/>
          <w:kern w:val="2"/>
          <w:highlight w:val="none"/>
        </w:rPr>
        <w:t>（2）乙方应按照《建筑施工企业安全生产管理机构设置及专职安全生产管理人员配备办法》与合同条款要求，设置专业齐全、功能完善的安全管理机构，配置具有相关经验、管理能力且有较强责任心的安全管理人员。</w:t>
      </w:r>
    </w:p>
    <w:p>
      <w:pPr>
        <w:widowControl w:val="0"/>
        <w:spacing w:line="360" w:lineRule="auto"/>
        <w:ind w:left="1" w:firstLine="480" w:firstLineChars="200"/>
        <w:jc w:val="both"/>
        <w:rPr>
          <w:rFonts w:cs="Times New Roman"/>
          <w:color w:val="auto"/>
          <w:kern w:val="2"/>
          <w:highlight w:val="none"/>
        </w:rPr>
      </w:pPr>
      <w:r>
        <w:rPr>
          <w:rFonts w:hint="eastAsia" w:cs="Times New Roman"/>
          <w:color w:val="auto"/>
          <w:kern w:val="2"/>
          <w:highlight w:val="none"/>
        </w:rPr>
        <w:t>（3）乙方应向建设单位提交安全管理人员资质证明文件，如果安全管理人员不能满足岗位需求，乙方应按照建设单位的要求更换。</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（4）乙方项目部安全总监（安全主任）应具有工程师及以上职称，且有8年以上建设工程安全管理工作经验。</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（5）乙方安全管理人员若发生变动或安全总监（安全主任）请假应及时报告监理单位和建设单位，但必须确保在国家法定节假日期间，有专职安全人员在现场跟班监控。</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（6）乙方施工管理人员、专职安全员每年度应进行安全教育培训和考核，培训考核记录报监理单位审查备案。</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7）乙方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监理单位审批，法律法规、规章制度学习记录真实、完整。</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（8）乙方应按照《危险性较大的分部分项工程安全管理办法》有关规定，对危险性较大的分部分项工程编制专项施工方案，报监理单位审批。</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（9）乙方对超过一定规模的危险性较大的分部分项工程应组织专家论证，并严格按照论证方案组织施工。</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（10）乙方应加强对重大危险源的控制与管理，制定重大危险源的管理制度，对施工现场的重大危险源进行辨识、登记、公示、控制。</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（11）乙方必须严格遵循施工作业防护在先，作业在后的顺序，禁止先作业，后补防护或无防护冒险施工的情况发生。</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（12）乙方应在监理单位见证下及时将脚手架钢管、扣件、安全网、安全帽、安全带等安全用具送检，经检验合格后方可投入使用。</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（13）乙方进场的施工机具、设施设备投入使用前，应报监理单位验收。</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14）乙方应加强安全生产教育培训，对新进场、转岗工人进行三级安全教育，并按照《深圳市住房和建设局关于试行建筑从业人员安全教育数字化教材强化实名制安全教育培训的通知》，落实实名制安全教育培训工作。</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（15）乙方每天应开展班前安全交底，每月开展岗位操作规程培训，监理旁站见证。</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（16）乙方专项方案实施前，编制人员或项目技术负责人应当向现场管理人员和作业人员进行安全技术交底，需监理旁站见证。</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（17）乙方特种作业人员应持证上岗，上岗前应对其进行安全技术交底，每月对其进行安全教育培训。</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（18）乙方安全员应每日对现场进行安全巡查，并填写安全巡查日志。</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（19）乙方项目部应每周开展安全检查，每月开展安全自评。</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（20）乙方对于施工现场的外脚手架、塔吊、施工电梯、模板支撑系统、施工机具、临时用电等进行安全自检，并做好检查记录。</w:t>
      </w:r>
    </w:p>
    <w:p>
      <w:pPr>
        <w:widowControl w:val="0"/>
        <w:spacing w:line="360" w:lineRule="auto"/>
        <w:ind w:left="1" w:firstLine="480" w:firstLineChars="200"/>
        <w:jc w:val="both"/>
        <w:rPr>
          <w:rFonts w:cs="Times New Roman"/>
          <w:color w:val="auto"/>
          <w:kern w:val="2"/>
          <w:highlight w:val="none"/>
        </w:rPr>
      </w:pPr>
      <w:r>
        <w:rPr>
          <w:rFonts w:hint="eastAsia" w:cs="Times New Roman"/>
          <w:color w:val="auto"/>
          <w:kern w:val="2"/>
          <w:highlight w:val="none"/>
        </w:rPr>
        <w:t>（21）乙方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（22）乙方应参加监理单位组织的项目定期安全检查和项目安全生产专题会议，对检查发现的各项安全隐患按照“三定”原则进行整改。</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（23）乙方应严格执行工伤保险和建筑工程意外伤害险制度，依法为现场施工人员办理保险，支付保险费，做好施工现场安全保卫工作。</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（24）乙方应对安全文明措施费用专款专用，在财务管理中单独列出安全文明施工措施项目费用清单，每月报安全资金使用计划清单及上月安全资金使用情况清单，并附票据复印件。</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（25）乙方应对分包单位进行资质、安全生产许可证和相关人员安全生产资格的审查，并报监理单位审核。</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（26）乙方应与分包单位（含甲方专业分包）签订安全生产协议、消防协议，并报建设单位备案，并负责分包单位（含甲方专业分包）统一协调、管理。</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（27）乙方分包单位应按规定建立安全管理机构，配备项目经理和专职安全员，项目经理和专职安全员应具有B证、C证。</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28）乙方应对建筑工程安全文明施工措施费的使用负总责，按规定及合同约定及时向分包单位支付安全文明施工措施费，否则，因此造成分包单位不能及时落实安全防护措施导致发生事故的，由乙方负主要责任。</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29）乙方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30）乙方应严格执行深圳市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31）乙方应按规定设置劳务工维权信息牌，关心工人、加强沟通交流，保障工人的基本生活条件。时刻保持维稳工作的敏感性，发现不稳定因素密切跟踪，出现不稳定苗头及时制止，防止矛盾激化或不稳的因素扩大。</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（32）乙方应针对工程特点，制定防触电、防坍塌、防高处坠落、防起重及机械伤害、防火灾、防物体打击等主要内容的专项应急救援预案。</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（33）乙方应建立应急救援组织，培训、配备应急救援人员，定期组织员工进行应急救援演练，并做好演练记录。</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（34）乙方应按应急救援预案要求，配备应急救援器材和设备。</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（35）事故发生后，乙方应全力开展应急抢险救援，及时将事故原因、抢险措施上报政府有关部门和甲方，按“四不放过”原则做好事故调查处理工作。</w:t>
      </w:r>
    </w:p>
    <w:p>
      <w:pPr>
        <w:widowControl w:val="0"/>
        <w:spacing w:line="360" w:lineRule="auto"/>
        <w:ind w:firstLine="482" w:firstLineChars="200"/>
        <w:jc w:val="both"/>
        <w:rPr>
          <w:rFonts w:cs="Times New Roman"/>
          <w:color w:val="auto"/>
          <w:kern w:val="2"/>
          <w:highlight w:val="none"/>
        </w:rPr>
      </w:pPr>
      <w:r>
        <w:rPr>
          <w:rFonts w:hint="eastAsia" w:cs="Times New Roman"/>
          <w:b/>
          <w:color w:val="auto"/>
          <w:kern w:val="2"/>
          <w:highlight w:val="none"/>
        </w:rPr>
        <w:t>（二）文明施工管理</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（1）严格执行工程建设文明施工、城市管理、环境保护、道路交通等方面的法律、法规、规章和规范性文件，有效解决环境卫生、扬尘、噪音扰民、泥浆排放、土方外运、泥头车管理等存在的问题。</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2）乙方应当按照《深圳市建设工程现场文明施工管理办法》、《深圳市建设工程安全文明施工标准》、《深圳市建设工程扬尘污染防治专项方案》等有关规定，结合工程特点和作业环境要求，对安全施工、文明施工进行设计，编制文明施工专项方案及安全施工专项方案，报监理单位审批，并征得甲方同意，严格落实安全文明施工标准化措施。</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（3）乙方</w:t>
      </w:r>
      <w:r>
        <w:rPr>
          <w:rFonts w:hint="eastAsia" w:cs="Times New Roman"/>
          <w:color w:val="auto"/>
          <w:kern w:val="44"/>
          <w:highlight w:val="none"/>
        </w:rPr>
        <w:t>对现场安全防护、文明施工设施、现场安全文化等除严格按照</w:t>
      </w:r>
      <w:r>
        <w:rPr>
          <w:rFonts w:hint="eastAsia" w:cs="Times New Roman"/>
          <w:color w:val="auto"/>
          <w:kern w:val="2"/>
          <w:highlight w:val="none"/>
        </w:rPr>
        <w:t>《深圳市建设工程安全文明施工标准》</w:t>
      </w:r>
      <w:r>
        <w:rPr>
          <w:rFonts w:hint="eastAsia" w:cs="Times New Roman"/>
          <w:color w:val="auto"/>
          <w:kern w:val="44"/>
          <w:highlight w:val="none"/>
        </w:rPr>
        <w:t>要求进行标准化设置外，其中大门、围挡、工地制度牌、塔吊塔身公示牌及楼宇企业表示牌等应符合《深圳市人才安居集团有限公司视觉形象识别手册》的统一形象设计要求。</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（4）乙方在工地应设有铁制双开大门、洗车台、冲洗池、喷枪等设施，做好泥浆外运和泥头车管理，保证工地周边市政道路不受污染。</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（5）乙方应按规定落实场地硬化，道路畅通、不积水，各种材料分类堆放，场地容貌整洁卫生，泥浆、污水排放达标。</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（6）乙方在工地设置的“五小”设施（办公室、宿舍、厕所、浴室、食堂）应齐全，做好防暑降温、防台防汛、消灭“四害”、卫生防疫工作，杜绝中毒事件，现场办公生活区满足卫生防疫的相关规定。</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（7）乙方施工现场应对主要道路洒水降尘。</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8）乙方应根据《深圳市建设工程扬尘污染防治专项方案》的要求，做到施工围挡及外架100%全封闭，出入口及车行道100%硬底化，出入口100%安装冲洗设施，易起尘作业面100%湿法施工，裸露土及易起尘物料100%覆盖，出入口100%安装TSP在线监测和视频监控系统。</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（9）乙方生活区应明确责任人。食堂应办理卫生许可证，炊事人员应办理健康证，食物留样。宿舍应干净整洁，严禁存放易燃易爆物品。</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（10）乙方办公、生活区应绿化，并与施工区隔离，在塔吊回转半径内或外脚手架坠落半径内应搭设双层防护棚。</w:t>
      </w:r>
    </w:p>
    <w:p>
      <w:pPr>
        <w:widowControl w:val="0"/>
        <w:spacing w:line="360" w:lineRule="auto"/>
        <w:ind w:firstLine="480" w:firstLineChars="200"/>
        <w:jc w:val="both"/>
        <w:rPr>
          <w:rFonts w:cs="Times New Roman"/>
          <w:color w:val="auto"/>
          <w:kern w:val="2"/>
          <w:highlight w:val="none"/>
        </w:rPr>
      </w:pPr>
      <w:r>
        <w:rPr>
          <w:rFonts w:hint="eastAsia" w:cs="Times New Roman"/>
          <w:color w:val="auto"/>
          <w:kern w:val="2"/>
          <w:highlight w:val="none"/>
        </w:rPr>
        <w:t>（11）乙方应定期对施工现场文明施工情况进行检查，及时对检查发现问题和隐患进行整改。</w:t>
      </w:r>
    </w:p>
    <w:p>
      <w:pPr>
        <w:spacing w:line="500" w:lineRule="exact"/>
        <w:ind w:firstLine="480" w:firstLineChars="200"/>
        <w:rPr>
          <w:color w:val="auto"/>
          <w:highlight w:val="none"/>
        </w:rPr>
      </w:pPr>
      <w:r>
        <w:rPr>
          <w:rFonts w:hint="eastAsia"/>
          <w:color w:val="auto"/>
          <w:highlight w:val="none"/>
        </w:rPr>
        <w:t>（三）事故处理</w:t>
      </w:r>
    </w:p>
    <w:p>
      <w:pPr>
        <w:spacing w:line="500" w:lineRule="exact"/>
        <w:ind w:firstLine="480" w:firstLineChars="200"/>
        <w:rPr>
          <w:color w:val="auto"/>
          <w:highlight w:val="none"/>
        </w:rPr>
      </w:pPr>
      <w:r>
        <w:rPr>
          <w:rFonts w:hint="eastAsia"/>
          <w:color w:val="auto"/>
          <w:highlight w:val="none"/>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pPr>
        <w:spacing w:line="500" w:lineRule="exact"/>
        <w:ind w:firstLine="480" w:firstLineChars="200"/>
        <w:rPr>
          <w:color w:val="auto"/>
          <w:highlight w:val="none"/>
        </w:rPr>
      </w:pPr>
      <w:r>
        <w:rPr>
          <w:rFonts w:hint="eastAsia"/>
          <w:color w:val="auto"/>
          <w:highlight w:val="none"/>
        </w:rPr>
        <w:t>2．甲乙双方应按国家有关规定，及时如实地向有关部门报告事故发生的情况，以及正在采取的紧急措施等，按规定组织调查处理并统计上报，并协助政府部门事故调查组进行事故调查。</w:t>
      </w:r>
    </w:p>
    <w:p>
      <w:pPr>
        <w:spacing w:line="500" w:lineRule="exact"/>
        <w:ind w:firstLine="480" w:firstLineChars="200"/>
        <w:rPr>
          <w:color w:val="auto"/>
          <w:highlight w:val="none"/>
        </w:rPr>
      </w:pPr>
      <w:r>
        <w:rPr>
          <w:rFonts w:hint="eastAsia"/>
          <w:color w:val="auto"/>
          <w:highlight w:val="none"/>
        </w:rPr>
        <w:t>3．涉及甲乙双方的事故，按照事故处理权限由甲乙双方共同组成调查组，查明事故原因，确定主要责任者、提出事故处理意见和防范措施的建议，编制事故调查报告并提交甲乙双方备案。</w:t>
      </w:r>
    </w:p>
    <w:p>
      <w:pPr>
        <w:spacing w:line="500" w:lineRule="exact"/>
        <w:ind w:firstLine="480" w:firstLineChars="200"/>
        <w:rPr>
          <w:color w:val="auto"/>
          <w:highlight w:val="none"/>
        </w:rPr>
      </w:pPr>
      <w:r>
        <w:rPr>
          <w:rFonts w:hint="eastAsia"/>
          <w:color w:val="auto"/>
          <w:highlight w:val="none"/>
        </w:rPr>
        <w:t>三、因乙方的过错，造成甲方或他人财产或人身损害或甲方被处罚，乙方应负赔偿责任。</w:t>
      </w:r>
    </w:p>
    <w:p>
      <w:pPr>
        <w:spacing w:line="500" w:lineRule="exact"/>
        <w:ind w:firstLine="480" w:firstLineChars="200"/>
        <w:rPr>
          <w:color w:val="auto"/>
          <w:highlight w:val="none"/>
        </w:rPr>
      </w:pPr>
      <w:r>
        <w:rPr>
          <w:rFonts w:hint="eastAsia"/>
          <w:color w:val="auto"/>
          <w:highlight w:val="none"/>
        </w:rPr>
        <w:t>四、奖励与处罚：按照拆迁施工合同及发包方相关管理制度执行。</w:t>
      </w:r>
    </w:p>
    <w:p>
      <w:pPr>
        <w:spacing w:line="500" w:lineRule="exact"/>
        <w:ind w:firstLine="480" w:firstLineChars="200"/>
        <w:rPr>
          <w:color w:val="auto"/>
          <w:highlight w:val="none"/>
        </w:rPr>
      </w:pPr>
      <w:r>
        <w:rPr>
          <w:rFonts w:hint="eastAsia"/>
          <w:color w:val="auto"/>
          <w:highlight w:val="none"/>
        </w:rPr>
        <w:t>五、本协议为主合同的从合同，随主合同生效而生效，主合同解除之日起，本协议自然失效，但因乙方违背协议，造成主合同终止，不影响本协议责任条款的效力。</w:t>
      </w:r>
    </w:p>
    <w:p>
      <w:pPr>
        <w:spacing w:line="500" w:lineRule="exact"/>
        <w:ind w:firstLine="480" w:firstLineChars="200"/>
        <w:rPr>
          <w:color w:val="auto"/>
          <w:highlight w:val="none"/>
        </w:rPr>
      </w:pPr>
      <w:r>
        <w:rPr>
          <w:rFonts w:hint="eastAsia"/>
          <w:color w:val="auto"/>
          <w:highlight w:val="none"/>
        </w:rPr>
        <w:t>六、本协议一式拾陆份，甲、乙双方各持捌份。</w:t>
      </w: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17" w:hRule="atLeast"/>
          <w:jc w:val="center"/>
        </w:trPr>
        <w:tc>
          <w:tcPr>
            <w:tcW w:w="4519" w:type="dxa"/>
          </w:tcPr>
          <w:p>
            <w:pPr>
              <w:spacing w:line="500" w:lineRule="exact"/>
              <w:rPr>
                <w:color w:val="auto"/>
                <w:szCs w:val="21"/>
                <w:highlight w:val="none"/>
              </w:rPr>
            </w:pPr>
            <w:r>
              <w:rPr>
                <w:rFonts w:hint="eastAsia"/>
                <w:color w:val="auto"/>
                <w:szCs w:val="21"/>
                <w:highlight w:val="none"/>
              </w:rPr>
              <w:t>发包人</w:t>
            </w:r>
            <w:r>
              <w:rPr>
                <w:rFonts w:hint="eastAsia"/>
                <w:color w:val="auto"/>
                <w:kern w:val="18"/>
                <w:szCs w:val="21"/>
                <w:highlight w:val="none"/>
              </w:rPr>
              <w:t>：</w:t>
            </w:r>
            <w:r>
              <w:rPr>
                <w:rFonts w:hint="eastAsia"/>
                <w:color w:val="auto"/>
                <w:szCs w:val="21"/>
                <w:highlight w:val="none"/>
              </w:rPr>
              <w:t>（盖章）</w:t>
            </w:r>
          </w:p>
          <w:p>
            <w:pPr>
              <w:spacing w:line="500" w:lineRule="exact"/>
              <w:rPr>
                <w:color w:val="auto"/>
                <w:szCs w:val="21"/>
                <w:highlight w:val="none"/>
              </w:rPr>
            </w:pPr>
            <w:r>
              <w:rPr>
                <w:rFonts w:hint="eastAsia"/>
                <w:color w:val="auto"/>
                <w:szCs w:val="21"/>
                <w:highlight w:val="none"/>
                <w:u w:val="single"/>
              </w:rPr>
              <w:t>深圳市龙华高新技术产业园区开发投资有限公司</w:t>
            </w:r>
          </w:p>
        </w:tc>
        <w:tc>
          <w:tcPr>
            <w:tcW w:w="4520" w:type="dxa"/>
          </w:tcPr>
          <w:p>
            <w:pPr>
              <w:spacing w:after="240"/>
              <w:rPr>
                <w:color w:val="auto"/>
                <w:szCs w:val="21"/>
                <w:highlight w:val="none"/>
              </w:rPr>
            </w:pPr>
            <w:r>
              <w:rPr>
                <w:rFonts w:hint="eastAsia"/>
                <w:color w:val="auto"/>
                <w:szCs w:val="21"/>
                <w:highlight w:val="none"/>
              </w:rPr>
              <w:t>承包人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 xml:space="preserve">***** </w:t>
            </w:r>
          </w:p>
        </w:tc>
      </w:tr>
      <w:tr>
        <w:tblPrEx>
          <w:tblCellMar>
            <w:top w:w="0" w:type="dxa"/>
            <w:left w:w="108" w:type="dxa"/>
            <w:bottom w:w="0" w:type="dxa"/>
            <w:right w:w="108" w:type="dxa"/>
          </w:tblCellMar>
        </w:tblPrEx>
        <w:trPr>
          <w:trHeight w:val="1063" w:hRule="atLeast"/>
          <w:jc w:val="center"/>
        </w:trPr>
        <w:tc>
          <w:tcPr>
            <w:tcW w:w="4519" w:type="dxa"/>
          </w:tcPr>
          <w:p>
            <w:pPr>
              <w:spacing w:after="240"/>
              <w:rPr>
                <w:color w:val="auto"/>
                <w:highlight w:val="none"/>
              </w:rPr>
            </w:pPr>
            <w:r>
              <w:rPr>
                <w:rFonts w:hint="eastAsia"/>
                <w:color w:val="auto"/>
                <w:highlight w:val="none"/>
              </w:rPr>
              <w:t>法定代表人或其委托代理人（签名）：</w:t>
            </w:r>
          </w:p>
          <w:p>
            <w:pPr>
              <w:rPr>
                <w:color w:val="auto"/>
                <w:highlight w:val="none"/>
              </w:rPr>
            </w:pPr>
          </w:p>
        </w:tc>
        <w:tc>
          <w:tcPr>
            <w:tcW w:w="4520" w:type="dxa"/>
          </w:tcPr>
          <w:p>
            <w:pPr>
              <w:rPr>
                <w:color w:val="auto"/>
                <w:highlight w:val="none"/>
              </w:rPr>
            </w:pPr>
            <w:r>
              <w:rPr>
                <w:rFonts w:hint="eastAsia"/>
                <w:color w:val="auto"/>
                <w:highlight w:val="none"/>
              </w:rPr>
              <w:t>法定代表人或其委托代理人（签名）：</w:t>
            </w:r>
          </w:p>
          <w:p>
            <w:pPr>
              <w:ind w:firstLine="420"/>
              <w:rPr>
                <w:color w:val="auto"/>
                <w:szCs w:val="20"/>
                <w:highlight w:val="none"/>
              </w:rPr>
            </w:pPr>
          </w:p>
        </w:tc>
      </w:tr>
      <w:tr>
        <w:tblPrEx>
          <w:tblCellMar>
            <w:top w:w="0" w:type="dxa"/>
            <w:left w:w="108" w:type="dxa"/>
            <w:bottom w:w="0" w:type="dxa"/>
            <w:right w:w="108" w:type="dxa"/>
          </w:tblCellMar>
        </w:tblPrEx>
        <w:trPr>
          <w:trHeight w:val="1358" w:hRule="atLeast"/>
          <w:jc w:val="center"/>
        </w:trPr>
        <w:tc>
          <w:tcPr>
            <w:tcW w:w="4519" w:type="dxa"/>
          </w:tcPr>
          <w:p>
            <w:pPr>
              <w:spacing w:after="240"/>
              <w:rPr>
                <w:color w:val="auto"/>
                <w:szCs w:val="21"/>
                <w:highlight w:val="none"/>
              </w:rPr>
            </w:pPr>
            <w:r>
              <w:rPr>
                <w:rFonts w:hint="eastAsia"/>
                <w:color w:val="auto"/>
                <w:szCs w:val="21"/>
                <w:highlight w:val="none"/>
              </w:rPr>
              <w:t>签订时间：2025年  月  日</w:t>
            </w:r>
          </w:p>
        </w:tc>
        <w:tc>
          <w:tcPr>
            <w:tcW w:w="4520" w:type="dxa"/>
          </w:tcPr>
          <w:p>
            <w:pPr>
              <w:spacing w:after="240"/>
              <w:ind w:right="180"/>
              <w:rPr>
                <w:color w:val="auto"/>
                <w:szCs w:val="21"/>
                <w:highlight w:val="none"/>
              </w:rPr>
            </w:pPr>
            <w:r>
              <w:rPr>
                <w:rFonts w:hint="eastAsia"/>
                <w:color w:val="auto"/>
                <w:szCs w:val="21"/>
                <w:highlight w:val="none"/>
              </w:rPr>
              <w:t>签订时间：2025年  月  日</w:t>
            </w:r>
          </w:p>
        </w:tc>
      </w:tr>
    </w:tbl>
    <w:p>
      <w:pPr>
        <w:rPr>
          <w:color w:val="auto"/>
          <w:highlight w:val="none"/>
        </w:rPr>
      </w:pPr>
    </w:p>
    <w:p>
      <w:pPr>
        <w:adjustRightInd w:val="0"/>
        <w:snapToGrid w:val="0"/>
        <w:spacing w:line="500" w:lineRule="exact"/>
        <w:ind w:firstLine="420" w:firstLineChars="200"/>
        <w:rPr>
          <w:color w:val="auto"/>
          <w:sz w:val="21"/>
          <w:szCs w:val="21"/>
          <w:highlight w:val="none"/>
        </w:rPr>
      </w:pPr>
      <w:r>
        <w:rPr>
          <w:color w:val="auto"/>
          <w:sz w:val="21"/>
          <w:szCs w:val="21"/>
          <w:highlight w:val="none"/>
        </w:rPr>
        <w:br w:type="page"/>
      </w:r>
    </w:p>
    <w:p>
      <w:pPr>
        <w:spacing w:line="360" w:lineRule="auto"/>
        <w:outlineLvl w:val="1"/>
        <w:rPr>
          <w:color w:val="auto"/>
          <w:kern w:val="2"/>
          <w:sz w:val="21"/>
          <w:szCs w:val="21"/>
          <w:highlight w:val="none"/>
        </w:rPr>
      </w:pPr>
      <w:bookmarkStart w:id="1112" w:name="_Toc8285"/>
      <w:bookmarkStart w:id="1113" w:name="_Toc26338"/>
      <w:bookmarkStart w:id="1114" w:name="_Toc4744"/>
      <w:bookmarkStart w:id="1115" w:name="_Toc30549"/>
      <w:bookmarkStart w:id="1116" w:name="_Toc25272"/>
      <w:bookmarkStart w:id="1117" w:name="_Toc26985"/>
      <w:r>
        <w:rPr>
          <w:rFonts w:hint="eastAsia"/>
          <w:color w:val="auto"/>
          <w:kern w:val="2"/>
          <w:sz w:val="21"/>
          <w:szCs w:val="21"/>
          <w:highlight w:val="none"/>
        </w:rPr>
        <w:t>附件7：</w:t>
      </w:r>
      <w:bookmarkEnd w:id="1112"/>
      <w:bookmarkEnd w:id="1113"/>
      <w:bookmarkEnd w:id="1114"/>
      <w:bookmarkEnd w:id="1115"/>
      <w:bookmarkEnd w:id="1116"/>
      <w:bookmarkEnd w:id="1117"/>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安全生产管理承诺书</w:t>
      </w:r>
    </w:p>
    <w:p>
      <w:pPr>
        <w:widowControl w:val="0"/>
        <w:spacing w:line="500" w:lineRule="exact"/>
        <w:jc w:val="both"/>
        <w:rPr>
          <w:rFonts w:cs="Times New Roman"/>
          <w:color w:val="auto"/>
          <w:kern w:val="2"/>
          <w:highlight w:val="none"/>
          <w:u w:val="single"/>
        </w:rPr>
      </w:pPr>
      <w:r>
        <w:rPr>
          <w:rFonts w:hint="eastAsia" w:cs="Times New Roman"/>
          <w:color w:val="auto"/>
          <w:kern w:val="2"/>
          <w:highlight w:val="none"/>
        </w:rPr>
        <w:t>致</w:t>
      </w:r>
      <w:r>
        <w:rPr>
          <w:rFonts w:hint="eastAsia" w:cs="Times New Roman"/>
          <w:color w:val="auto"/>
          <w:kern w:val="2"/>
          <w:highlight w:val="none"/>
          <w:u w:val="single"/>
        </w:rPr>
        <w:t>：</w:t>
      </w:r>
      <w:r>
        <w:rPr>
          <w:rFonts w:hint="eastAsia"/>
          <w:color w:val="auto"/>
          <w:szCs w:val="21"/>
          <w:highlight w:val="none"/>
          <w:u w:val="single"/>
        </w:rPr>
        <w:t>深圳市龙华高新技术产业园区开发投资有限公司</w:t>
      </w:r>
      <w:r>
        <w:rPr>
          <w:rFonts w:hint="eastAsia" w:cs="Times New Roman"/>
          <w:color w:val="auto"/>
          <w:kern w:val="2"/>
          <w:highlight w:val="none"/>
          <w:u w:val="single"/>
        </w:rPr>
        <w:t xml:space="preserve"> </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 xml:space="preserve">我司承接贵司的 </w:t>
      </w:r>
      <w:r>
        <w:rPr>
          <w:rFonts w:hint="eastAsia"/>
          <w:color w:val="auto"/>
          <w:kern w:val="2"/>
          <w:szCs w:val="22"/>
          <w:highlight w:val="none"/>
          <w:u w:val="single"/>
        </w:rPr>
        <w:t xml:space="preserve">龙馨家园项目集中商业3层装修改造工程 </w:t>
      </w:r>
      <w:r>
        <w:rPr>
          <w:rFonts w:hint="eastAsia" w:cs="Times New Roman"/>
          <w:color w:val="auto"/>
          <w:kern w:val="2"/>
          <w:highlight w:val="none"/>
        </w:rPr>
        <w:t>。我司承诺：我司将认真贯彻执行国家和广东省、深圳市有关安全文明生产的法律、法规和强制性标准、安全操作规程等，遵守贵司的现场管理制度，建立安全生产责任制，健全施工现场安全文明生产保障体系，落实各项具体措施，切实履行安全文明生产责任和义务，保护职工身体健康和生命安全，以及社会公众安全，保持施工现场整齐有序，做到文明施工。</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因违反上述承诺而造成的一切人员伤亡和财产损失，均由我司承担，与贵司无关。</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特此承诺。</w:t>
      </w:r>
    </w:p>
    <w:p>
      <w:pPr>
        <w:widowControl w:val="0"/>
        <w:spacing w:line="560" w:lineRule="exact"/>
        <w:ind w:firstLine="480" w:firstLineChars="200"/>
        <w:jc w:val="both"/>
        <w:rPr>
          <w:rFonts w:cs="Times New Roman"/>
          <w:color w:val="auto"/>
          <w:kern w:val="2"/>
          <w:highlight w:val="none"/>
        </w:rPr>
      </w:pP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line="500" w:lineRule="exact"/>
              <w:rPr>
                <w:color w:val="auto"/>
                <w:szCs w:val="21"/>
                <w:highlight w:val="none"/>
              </w:rPr>
            </w:pPr>
            <w:r>
              <w:rPr>
                <w:rFonts w:hint="eastAsia"/>
                <w:color w:val="auto"/>
                <w:szCs w:val="21"/>
                <w:highlight w:val="none"/>
                <w:u w:val="single"/>
              </w:rPr>
              <w:t>深圳市龙华高新技术产业园区开发投资有限公司</w:t>
            </w:r>
          </w:p>
        </w:tc>
        <w:tc>
          <w:tcPr>
            <w:tcW w:w="4520"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rPr>
                <w:color w:val="auto"/>
                <w:highlight w:val="none"/>
              </w:rPr>
            </w:pPr>
            <w:r>
              <w:rPr>
                <w:rFonts w:hint="eastAsia"/>
                <w:color w:val="auto"/>
                <w:highlight w:val="none"/>
              </w:rPr>
              <w:t>法定代表人或其委托代理人</w:t>
            </w:r>
            <w:r>
              <w:rPr>
                <w:rFonts w:hint="eastAsia" w:cs="Times New Roman"/>
                <w:color w:val="auto"/>
                <w:kern w:val="2"/>
                <w:highlight w:val="none"/>
              </w:rPr>
              <w:t>（签名或盖章）</w:t>
            </w:r>
            <w:r>
              <w:rPr>
                <w:rFonts w:hint="eastAsia"/>
                <w:color w:val="auto"/>
                <w:highlight w:val="none"/>
              </w:rPr>
              <w:t>：</w:t>
            </w:r>
          </w:p>
          <w:p>
            <w:pPr>
              <w:rPr>
                <w:color w:val="auto"/>
                <w:highlight w:val="none"/>
              </w:rPr>
            </w:pPr>
          </w:p>
        </w:tc>
        <w:tc>
          <w:tcPr>
            <w:tcW w:w="4520" w:type="dxa"/>
          </w:tcPr>
          <w:p>
            <w:pPr>
              <w:rPr>
                <w:color w:val="auto"/>
                <w:highlight w:val="none"/>
              </w:rPr>
            </w:pPr>
            <w:r>
              <w:rPr>
                <w:rFonts w:hint="eastAsia"/>
                <w:color w:val="auto"/>
                <w:highlight w:val="none"/>
              </w:rPr>
              <w:t>法定代表人或其委托代理人</w:t>
            </w:r>
            <w:r>
              <w:rPr>
                <w:rFonts w:hint="eastAsia" w:cs="Times New Roman"/>
                <w:color w:val="auto"/>
                <w:kern w:val="2"/>
                <w:highlight w:val="none"/>
              </w:rPr>
              <w:t>（签名或盖章）</w:t>
            </w:r>
            <w:r>
              <w:rPr>
                <w:rFonts w:hint="eastAsia"/>
                <w:color w:val="auto"/>
                <w:highlight w:val="none"/>
              </w:rPr>
              <w:t>：</w:t>
            </w:r>
          </w:p>
          <w:p>
            <w:pPr>
              <w:ind w:firstLine="420"/>
              <w:rPr>
                <w:color w:val="auto"/>
                <w:szCs w:val="20"/>
                <w:highlight w:val="none"/>
              </w:rPr>
            </w:pPr>
          </w:p>
        </w:tc>
      </w:tr>
      <w:tr>
        <w:tblPrEx>
          <w:tblCellMar>
            <w:top w:w="0" w:type="dxa"/>
            <w:left w:w="108" w:type="dxa"/>
            <w:bottom w:w="0" w:type="dxa"/>
            <w:right w:w="108" w:type="dxa"/>
          </w:tblCellMar>
        </w:tblPrEx>
        <w:trPr>
          <w:trHeight w:val="512" w:hRule="atLeast"/>
          <w:jc w:val="center"/>
        </w:trPr>
        <w:tc>
          <w:tcPr>
            <w:tcW w:w="4519" w:type="dxa"/>
          </w:tcPr>
          <w:p>
            <w:pPr>
              <w:spacing w:after="240"/>
              <w:rPr>
                <w:color w:val="auto"/>
                <w:szCs w:val="21"/>
                <w:highlight w:val="none"/>
              </w:rPr>
            </w:pPr>
            <w:r>
              <w:rPr>
                <w:rFonts w:hint="eastAsia"/>
                <w:color w:val="auto"/>
                <w:szCs w:val="21"/>
                <w:highlight w:val="none"/>
              </w:rPr>
              <w:t>时间：2025年  月  日</w:t>
            </w:r>
          </w:p>
        </w:tc>
        <w:tc>
          <w:tcPr>
            <w:tcW w:w="4520" w:type="dxa"/>
          </w:tcPr>
          <w:p>
            <w:pPr>
              <w:spacing w:after="240"/>
              <w:ind w:right="180"/>
              <w:rPr>
                <w:color w:val="auto"/>
                <w:szCs w:val="21"/>
                <w:highlight w:val="none"/>
              </w:rPr>
            </w:pPr>
            <w:r>
              <w:rPr>
                <w:rFonts w:hint="eastAsia"/>
                <w:color w:val="auto"/>
                <w:szCs w:val="21"/>
                <w:highlight w:val="none"/>
              </w:rPr>
              <w:t>时间：2025年  月  日</w:t>
            </w:r>
          </w:p>
        </w:tc>
      </w:tr>
    </w:tbl>
    <w:p>
      <w:pPr>
        <w:widowControl w:val="0"/>
        <w:spacing w:line="560" w:lineRule="exact"/>
        <w:ind w:firstLine="480" w:firstLineChars="200"/>
        <w:jc w:val="both"/>
        <w:rPr>
          <w:rFonts w:cs="Times New Roman"/>
          <w:color w:val="auto"/>
          <w:kern w:val="2"/>
          <w:highlight w:val="none"/>
        </w:rPr>
      </w:pPr>
    </w:p>
    <w:p>
      <w:pPr>
        <w:widowControl w:val="0"/>
        <w:spacing w:line="560" w:lineRule="exact"/>
        <w:ind w:firstLine="480" w:firstLineChars="200"/>
        <w:jc w:val="both"/>
        <w:rPr>
          <w:rFonts w:cs="Times New Roman"/>
          <w:color w:val="auto"/>
          <w:kern w:val="2"/>
          <w:highlight w:val="none"/>
        </w:rPr>
      </w:pPr>
    </w:p>
    <w:p>
      <w:pPr>
        <w:widowControl w:val="0"/>
        <w:spacing w:line="560" w:lineRule="exact"/>
        <w:ind w:firstLine="480" w:firstLineChars="200"/>
        <w:jc w:val="both"/>
        <w:rPr>
          <w:rFonts w:cs="Times New Roman"/>
          <w:color w:val="auto"/>
          <w:kern w:val="2"/>
          <w:highlight w:val="none"/>
        </w:rPr>
      </w:pPr>
    </w:p>
    <w:p>
      <w:pPr>
        <w:rPr>
          <w:rFonts w:cs="Times New Roman"/>
          <w:color w:val="auto"/>
          <w:kern w:val="2"/>
          <w:highlight w:val="none"/>
        </w:rPr>
      </w:pPr>
      <w:r>
        <w:rPr>
          <w:rFonts w:hint="eastAsia" w:cs="Times New Roman"/>
          <w:color w:val="auto"/>
          <w:kern w:val="2"/>
          <w:highlight w:val="none"/>
        </w:rPr>
        <w:br w:type="page"/>
      </w:r>
    </w:p>
    <w:p>
      <w:pPr>
        <w:spacing w:line="360" w:lineRule="auto"/>
        <w:outlineLvl w:val="1"/>
        <w:rPr>
          <w:color w:val="auto"/>
          <w:kern w:val="2"/>
          <w:sz w:val="21"/>
          <w:szCs w:val="21"/>
          <w:highlight w:val="none"/>
        </w:rPr>
      </w:pPr>
      <w:bookmarkStart w:id="1118" w:name="_Toc3069"/>
      <w:bookmarkStart w:id="1119" w:name="_Toc7356"/>
      <w:bookmarkStart w:id="1120" w:name="_Toc28422"/>
      <w:bookmarkStart w:id="1121" w:name="_Toc15878"/>
      <w:bookmarkStart w:id="1122" w:name="_Toc29019"/>
      <w:bookmarkStart w:id="1123" w:name="_Toc9430"/>
      <w:r>
        <w:rPr>
          <w:rFonts w:hint="eastAsia"/>
          <w:color w:val="auto"/>
          <w:kern w:val="2"/>
          <w:sz w:val="21"/>
          <w:szCs w:val="21"/>
          <w:highlight w:val="none"/>
        </w:rPr>
        <w:t>附件8：</w:t>
      </w:r>
      <w:bookmarkEnd w:id="1118"/>
      <w:bookmarkEnd w:id="1119"/>
      <w:bookmarkEnd w:id="1120"/>
      <w:bookmarkEnd w:id="1121"/>
      <w:bookmarkEnd w:id="1122"/>
      <w:bookmarkEnd w:id="1123"/>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消防安全管理承诺书</w:t>
      </w:r>
    </w:p>
    <w:p>
      <w:pPr>
        <w:widowControl w:val="0"/>
        <w:spacing w:line="500" w:lineRule="exact"/>
        <w:jc w:val="both"/>
        <w:rPr>
          <w:rFonts w:cs="Times New Roman"/>
          <w:color w:val="auto"/>
          <w:kern w:val="2"/>
          <w:highlight w:val="none"/>
          <w:u w:val="single"/>
        </w:rPr>
      </w:pPr>
      <w:r>
        <w:rPr>
          <w:rFonts w:hint="eastAsia" w:cs="Times New Roman"/>
          <w:color w:val="auto"/>
          <w:kern w:val="2"/>
          <w:highlight w:val="none"/>
        </w:rPr>
        <w:t>致：</w:t>
      </w:r>
      <w:r>
        <w:rPr>
          <w:rFonts w:hint="eastAsia"/>
          <w:color w:val="auto"/>
          <w:szCs w:val="21"/>
          <w:highlight w:val="none"/>
          <w:u w:val="single"/>
        </w:rPr>
        <w:t>深圳市龙华高新技术产业园区开发投资有限公司</w:t>
      </w:r>
      <w:r>
        <w:rPr>
          <w:rFonts w:hint="eastAsia" w:cs="Times New Roman"/>
          <w:color w:val="auto"/>
          <w:kern w:val="2"/>
          <w:highlight w:val="none"/>
          <w:u w:val="single"/>
        </w:rPr>
        <w:t xml:space="preserve"> </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我司承接贵司的</w:t>
      </w:r>
      <w:r>
        <w:rPr>
          <w:rFonts w:hint="eastAsia"/>
          <w:color w:val="auto"/>
          <w:kern w:val="2"/>
          <w:szCs w:val="22"/>
          <w:highlight w:val="none"/>
          <w:u w:val="single"/>
        </w:rPr>
        <w:t>龙馨家园项目集中商业3层装修改造工程</w:t>
      </w:r>
      <w:r>
        <w:rPr>
          <w:rFonts w:hint="eastAsia" w:cs="Times New Roman"/>
          <w:color w:val="auto"/>
          <w:kern w:val="2"/>
          <w:highlight w:val="none"/>
        </w:rPr>
        <w:t>。我司承诺：我司将认真执行国家和广东省、深圳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因违反上述承诺而造成的一切消防安全事故，以及由此引发的一切人员伤亡和财产损失，均由我司承担，与贵司无关。</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特此承诺！</w:t>
      </w:r>
    </w:p>
    <w:p>
      <w:pPr>
        <w:widowControl w:val="0"/>
        <w:spacing w:line="500" w:lineRule="exact"/>
        <w:ind w:firstLine="480" w:firstLineChars="200"/>
        <w:jc w:val="both"/>
        <w:rPr>
          <w:rFonts w:cs="Times New Roman"/>
          <w:color w:val="auto"/>
          <w:kern w:val="2"/>
          <w:highlight w:val="none"/>
        </w:rPr>
      </w:pPr>
    </w:p>
    <w:p>
      <w:pPr>
        <w:widowControl w:val="0"/>
        <w:spacing w:line="500" w:lineRule="exact"/>
        <w:ind w:firstLine="480" w:firstLineChars="200"/>
        <w:jc w:val="both"/>
        <w:rPr>
          <w:rFonts w:cs="Times New Roman"/>
          <w:color w:val="auto"/>
          <w:kern w:val="2"/>
          <w:highlight w:val="none"/>
        </w:rPr>
      </w:pP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深圳市龙华高新技术产业园区开发投资有限公司</w:t>
            </w:r>
          </w:p>
        </w:tc>
        <w:tc>
          <w:tcPr>
            <w:tcW w:w="4520"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rPr>
                <w:color w:val="auto"/>
                <w:highlight w:val="none"/>
              </w:rPr>
            </w:pPr>
            <w:r>
              <w:rPr>
                <w:rFonts w:hint="eastAsia"/>
                <w:color w:val="auto"/>
                <w:highlight w:val="none"/>
              </w:rPr>
              <w:t>法定代表人或其委托代理人</w:t>
            </w:r>
            <w:r>
              <w:rPr>
                <w:rFonts w:hint="eastAsia" w:cs="Times New Roman"/>
                <w:color w:val="auto"/>
                <w:kern w:val="2"/>
                <w:highlight w:val="none"/>
              </w:rPr>
              <w:t>（签名或盖章）</w:t>
            </w:r>
            <w:r>
              <w:rPr>
                <w:rFonts w:hint="eastAsia"/>
                <w:color w:val="auto"/>
                <w:highlight w:val="none"/>
              </w:rPr>
              <w:t>：</w:t>
            </w:r>
          </w:p>
          <w:p>
            <w:pPr>
              <w:rPr>
                <w:color w:val="auto"/>
                <w:highlight w:val="none"/>
              </w:rPr>
            </w:pPr>
          </w:p>
        </w:tc>
        <w:tc>
          <w:tcPr>
            <w:tcW w:w="4520" w:type="dxa"/>
          </w:tcPr>
          <w:p>
            <w:pPr>
              <w:rPr>
                <w:color w:val="auto"/>
                <w:highlight w:val="none"/>
              </w:rPr>
            </w:pPr>
            <w:r>
              <w:rPr>
                <w:rFonts w:hint="eastAsia"/>
                <w:color w:val="auto"/>
                <w:highlight w:val="none"/>
              </w:rPr>
              <w:t>法定代表人或其委托代理人</w:t>
            </w:r>
            <w:r>
              <w:rPr>
                <w:rFonts w:hint="eastAsia" w:cs="Times New Roman"/>
                <w:color w:val="auto"/>
                <w:kern w:val="2"/>
                <w:highlight w:val="none"/>
              </w:rPr>
              <w:t>（签名或盖章）</w:t>
            </w:r>
            <w:r>
              <w:rPr>
                <w:rFonts w:hint="eastAsia"/>
                <w:color w:val="auto"/>
                <w:highlight w:val="none"/>
              </w:rPr>
              <w:t>：</w:t>
            </w:r>
          </w:p>
          <w:p>
            <w:pPr>
              <w:ind w:firstLine="420"/>
              <w:rPr>
                <w:color w:val="auto"/>
                <w:szCs w:val="20"/>
                <w:highlight w:val="none"/>
              </w:rPr>
            </w:pPr>
          </w:p>
        </w:tc>
      </w:tr>
      <w:tr>
        <w:tblPrEx>
          <w:tblCellMar>
            <w:top w:w="0" w:type="dxa"/>
            <w:left w:w="108" w:type="dxa"/>
            <w:bottom w:w="0" w:type="dxa"/>
            <w:right w:w="108" w:type="dxa"/>
          </w:tblCellMar>
        </w:tblPrEx>
        <w:trPr>
          <w:trHeight w:val="512" w:hRule="atLeast"/>
          <w:jc w:val="center"/>
        </w:trPr>
        <w:tc>
          <w:tcPr>
            <w:tcW w:w="4519" w:type="dxa"/>
          </w:tcPr>
          <w:p>
            <w:pPr>
              <w:spacing w:after="240"/>
              <w:rPr>
                <w:color w:val="auto"/>
                <w:szCs w:val="21"/>
                <w:highlight w:val="none"/>
              </w:rPr>
            </w:pPr>
            <w:r>
              <w:rPr>
                <w:rFonts w:hint="eastAsia"/>
                <w:color w:val="auto"/>
                <w:szCs w:val="21"/>
                <w:highlight w:val="none"/>
              </w:rPr>
              <w:t>时间：2025年  月  日</w:t>
            </w:r>
          </w:p>
        </w:tc>
        <w:tc>
          <w:tcPr>
            <w:tcW w:w="4520" w:type="dxa"/>
          </w:tcPr>
          <w:p>
            <w:pPr>
              <w:spacing w:after="240"/>
              <w:ind w:right="180"/>
              <w:rPr>
                <w:color w:val="auto"/>
                <w:szCs w:val="21"/>
                <w:highlight w:val="none"/>
              </w:rPr>
            </w:pPr>
            <w:r>
              <w:rPr>
                <w:rFonts w:hint="eastAsia"/>
                <w:color w:val="auto"/>
                <w:szCs w:val="21"/>
                <w:highlight w:val="none"/>
              </w:rPr>
              <w:t>时间：2025年  月  日</w:t>
            </w:r>
          </w:p>
        </w:tc>
      </w:tr>
    </w:tbl>
    <w:p>
      <w:pPr>
        <w:widowControl w:val="0"/>
        <w:spacing w:line="500" w:lineRule="exact"/>
        <w:ind w:firstLine="420" w:firstLineChars="200"/>
        <w:jc w:val="both"/>
        <w:rPr>
          <w:rFonts w:cs="Times New Roman"/>
          <w:color w:val="auto"/>
          <w:kern w:val="2"/>
          <w:sz w:val="21"/>
          <w:szCs w:val="21"/>
          <w:highlight w:val="none"/>
        </w:rPr>
      </w:pPr>
      <w:r>
        <w:rPr>
          <w:rFonts w:cs="Times New Roman"/>
          <w:color w:val="auto"/>
          <w:kern w:val="2"/>
          <w:sz w:val="21"/>
          <w:szCs w:val="21"/>
          <w:highlight w:val="none"/>
        </w:rPr>
        <w:br w:type="page"/>
      </w:r>
    </w:p>
    <w:p>
      <w:pPr>
        <w:spacing w:line="360" w:lineRule="auto"/>
        <w:outlineLvl w:val="1"/>
        <w:rPr>
          <w:color w:val="auto"/>
          <w:kern w:val="2"/>
          <w:sz w:val="21"/>
          <w:szCs w:val="21"/>
          <w:highlight w:val="none"/>
        </w:rPr>
      </w:pPr>
      <w:bookmarkStart w:id="1124" w:name="_Toc8417"/>
      <w:bookmarkStart w:id="1125" w:name="_Toc22261"/>
      <w:bookmarkStart w:id="1126" w:name="_Toc21222"/>
      <w:bookmarkStart w:id="1127" w:name="_Toc17853"/>
      <w:bookmarkStart w:id="1128" w:name="_Toc15928"/>
      <w:bookmarkStart w:id="1129" w:name="_Toc3605"/>
      <w:r>
        <w:rPr>
          <w:rFonts w:hint="eastAsia"/>
          <w:color w:val="auto"/>
          <w:kern w:val="2"/>
          <w:sz w:val="21"/>
          <w:szCs w:val="21"/>
          <w:highlight w:val="none"/>
        </w:rPr>
        <w:t>附件9：</w:t>
      </w:r>
      <w:bookmarkEnd w:id="1124"/>
      <w:bookmarkEnd w:id="1125"/>
      <w:bookmarkEnd w:id="1126"/>
      <w:bookmarkEnd w:id="1127"/>
      <w:bookmarkEnd w:id="1128"/>
      <w:bookmarkEnd w:id="1129"/>
    </w:p>
    <w:p>
      <w:pPr>
        <w:widowControl w:val="0"/>
        <w:adjustRightInd w:val="0"/>
        <w:snapToGrid w:val="0"/>
        <w:spacing w:after="200" w:line="360" w:lineRule="auto"/>
        <w:jc w:val="center"/>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项目开发建设廉洁协议书</w:t>
      </w:r>
    </w:p>
    <w:p>
      <w:pPr>
        <w:widowControl w:val="0"/>
        <w:snapToGrid w:val="0"/>
        <w:spacing w:line="500" w:lineRule="exact"/>
        <w:ind w:firstLine="480" w:firstLineChars="200"/>
        <w:jc w:val="both"/>
        <w:rPr>
          <w:rFonts w:cs="Times New Roman"/>
          <w:color w:val="auto"/>
          <w:kern w:val="2"/>
          <w:highlight w:val="none"/>
          <w:u w:val="single"/>
        </w:rPr>
      </w:pPr>
      <w:r>
        <w:rPr>
          <w:rFonts w:hint="eastAsia" w:cs="Times New Roman"/>
          <w:color w:val="auto"/>
          <w:kern w:val="2"/>
          <w:highlight w:val="none"/>
        </w:rPr>
        <w:t>发包人</w:t>
      </w:r>
      <w:r>
        <w:rPr>
          <w:rFonts w:cs="Times New Roman"/>
          <w:color w:val="auto"/>
          <w:kern w:val="2"/>
          <w:highlight w:val="none"/>
        </w:rPr>
        <w:t>(</w:t>
      </w:r>
      <w:r>
        <w:rPr>
          <w:rFonts w:hint="eastAsia" w:cs="Times New Roman"/>
          <w:color w:val="auto"/>
          <w:kern w:val="2"/>
          <w:highlight w:val="none"/>
        </w:rPr>
        <w:t>甲方</w:t>
      </w:r>
      <w:r>
        <w:rPr>
          <w:rFonts w:cs="Times New Roman"/>
          <w:color w:val="auto"/>
          <w:kern w:val="2"/>
          <w:highlight w:val="none"/>
        </w:rPr>
        <w:t>)：</w:t>
      </w:r>
      <w:r>
        <w:rPr>
          <w:rFonts w:hint="eastAsia" w:cs="Times New Roman"/>
          <w:color w:val="auto"/>
          <w:kern w:val="2"/>
          <w:highlight w:val="none"/>
          <w:u w:val="single"/>
        </w:rPr>
        <w:t>深圳市龙华高新技术产业园区开发投资有限公司</w:t>
      </w:r>
    </w:p>
    <w:p>
      <w:pPr>
        <w:widowControl w:val="0"/>
        <w:snapToGrid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承包人</w:t>
      </w:r>
      <w:r>
        <w:rPr>
          <w:rFonts w:cs="Times New Roman"/>
          <w:color w:val="auto"/>
          <w:kern w:val="2"/>
          <w:highlight w:val="none"/>
        </w:rPr>
        <w:t>(</w:t>
      </w:r>
      <w:r>
        <w:rPr>
          <w:rFonts w:hint="eastAsia" w:cs="Times New Roman"/>
          <w:color w:val="auto"/>
          <w:kern w:val="2"/>
          <w:highlight w:val="none"/>
        </w:rPr>
        <w:t>乙方</w:t>
      </w:r>
      <w:r>
        <w:rPr>
          <w:rFonts w:cs="Times New Roman"/>
          <w:color w:val="auto"/>
          <w:kern w:val="2"/>
          <w:highlight w:val="none"/>
        </w:rPr>
        <w:t>)：</w:t>
      </w:r>
      <w:r>
        <w:rPr>
          <w:rFonts w:hint="eastAsia"/>
          <w:bCs/>
          <w:color w:val="auto"/>
          <w:kern w:val="2"/>
          <w:szCs w:val="22"/>
          <w:highlight w:val="none"/>
          <w:u w:val="single"/>
        </w:rPr>
        <w:t xml:space="preserve">***** </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为加强廉洁建设，规范双方的活动，防止发生各种谋取不正当利益的违法违纪行为，保护双方的合法权益，保证国有资产的安全和有效使用，根据国家有关规定和廉洁从业的各项要求，双方签订本廉洁协议。</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第一条 双方的权利和责任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（一）严格遵守国家法律法规、廉洁从业规定以及相关行业规定。</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（二）严格执行一切合同文件及本协议条款，自觉履行权利和责任。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（三）双方的业务活动应坚持公平、公开、公正和诚信的原则（法律法规另有规定除外），不得损害国家、集体和对方利益，不得违反项目开发建设管理的有关规章制度。</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（四）建立健全廉洁制度，开展廉洁教育，公布监督部门和电话，监督并认真查处违纪违法行为。</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（五）发现对方在业务活动中有违反本协议的行为倾向，有权利和义务及时给予提醒和纠正。</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（六）发现对方有违反本协议的行为，应及时向指定的监督部门举报控告，也有权向纪检监察或司法机关举报控告。</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（七）双方应互相配合，积极开展廉洁教育、学习和宣传活动，有配合对方履行本协议的责任。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（八）一方有不履行或不完全履行廉洁宣传教育责任的，另一方有权利和责任要求对方履行和督促改进。</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第二条 甲方的责任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（一）甲方作为项目的建设单位，全面负责项目开发建设的进度、质量和资金管理，认真履行合同规定的甲方责任。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二）甲方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（三）甲方人员不得要求项目承担单位购买合同约定以外的商品、物品、设备和服务等。</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（四）甲方人员不得索要、接受项目承担单位违反法规赠送的现金、有价证券、支付凭证或股份等各种财物；不得索要、接受项目承担单位违反法规提供的通讯工具、交通工具、高档办公用品。</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（五）甲方人员不得索要、接受乙方对个人或配偶子女等亲属亲友的馈赠、赞助、费用报销、装修、旅游、疗养、健身以及各种高消费娱乐等活动。</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六）甲方人员不得索要、接受项目承担单位为本人配偶子女等亲属亲友提供工作的安排、照顾和便利等；本人及配偶子女等亲属亲友不得从事与项目承担单位有关的工程材料设备供应、工程分包与施工、劳务等经济活动。</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第三条 乙方的责任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（一）乙方作为项目的施工责任主体，严格执行工程建设法律、法规和强制性标准与规范，依照合同负责承担项目开发建设工程的进度、质量、资金控制。</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二）乙方不得违反规定变更规划设计、材料设备供应或改变项目开发建设的投资规模、变更工程量等；不得违反规定与建设单位商谈项目施工、资金拨付、工程验收、工程质量处理、工程决算等事项，也不得违反规定干预、决定。</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（三）乙方不得接受建设单位要求购买合同约定以外的商品、物品、设备和服务等要求。</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（四）乙方不得以任何理由违反法规向甲方人员赠送现金、有价证券、支付凭证或股份等各种财物；不得违反法规向甲方人员提供通讯工具、交通工具、高档办公用品等。</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（五）乙方不得对甲方人员个人或其配偶子女等亲属亲友提供馈赠、赞助、费用报销、装修、旅游、疗养、健身以及各种高消费娱乐等活动。</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六）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第四条 违约责任</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（一）甲方人员违反本协议第一条和第二条规定的，由甲方按照管理权限，依据有关法律和规定给予党纪、政纪处分或组织处理，涉嫌犯罪的，移交司法机关追究刑事责任；给乙方造成经济损失的，应予赔偿。</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（二）乙方人员违反本协议第一条和第三条规定的，由乙方按照管理权限，依据有关法律和规定给予党纪、政纪处分或组织处理，涉嫌犯罪的，移交司法机关追究刑事责任；给甲方造成经济损失的，应予赔偿。</w:t>
      </w:r>
    </w:p>
    <w:p>
      <w:pPr>
        <w:widowControl w:val="0"/>
        <w:spacing w:line="500" w:lineRule="exact"/>
        <w:ind w:firstLine="480" w:firstLineChars="200"/>
        <w:jc w:val="both"/>
        <w:rPr>
          <w:rFonts w:cs="Times New Roman"/>
          <w:color w:val="auto"/>
          <w:kern w:val="2"/>
          <w:highlight w:val="none"/>
        </w:rPr>
      </w:pPr>
      <w:r>
        <w:rPr>
          <w:rFonts w:hint="eastAsia" w:cs="Times New Roman"/>
          <w:color w:val="auto"/>
          <w:kern w:val="2"/>
          <w:highlight w:val="none"/>
        </w:rPr>
        <w:t>第五条 本协议书作为项目开发建设工程合同的附件，在双方签署工程合同的同时签署本协议，经双方签署后生效，有效时间以双方签订的工程施工合同的有效期限为准。</w:t>
      </w:r>
    </w:p>
    <w:tbl>
      <w:tblPr>
        <w:tblStyle w:val="18"/>
        <w:tblW w:w="9039" w:type="dxa"/>
        <w:jc w:val="center"/>
        <w:tblLayout w:type="fixed"/>
        <w:tblCellMar>
          <w:top w:w="0" w:type="dxa"/>
          <w:left w:w="108" w:type="dxa"/>
          <w:bottom w:w="0" w:type="dxa"/>
          <w:right w:w="108" w:type="dxa"/>
        </w:tblCellMar>
      </w:tblPr>
      <w:tblGrid>
        <w:gridCol w:w="4519"/>
        <w:gridCol w:w="4520"/>
      </w:tblGrid>
      <w:tr>
        <w:trPr>
          <w:trHeight w:val="1217" w:hRule="atLeast"/>
          <w:jc w:val="center"/>
        </w:trPr>
        <w:tc>
          <w:tcPr>
            <w:tcW w:w="4519" w:type="dxa"/>
          </w:tcPr>
          <w:p>
            <w:pPr>
              <w:spacing w:line="500" w:lineRule="exact"/>
              <w:rPr>
                <w:color w:val="auto"/>
                <w:szCs w:val="21"/>
                <w:highlight w:val="none"/>
              </w:rPr>
            </w:pPr>
            <w:r>
              <w:rPr>
                <w:rFonts w:hint="eastAsia"/>
                <w:color w:val="auto"/>
                <w:szCs w:val="21"/>
                <w:highlight w:val="none"/>
              </w:rPr>
              <w:t>发包人</w:t>
            </w:r>
            <w:r>
              <w:rPr>
                <w:rFonts w:hint="eastAsia"/>
                <w:color w:val="auto"/>
                <w:kern w:val="18"/>
                <w:szCs w:val="21"/>
                <w:highlight w:val="none"/>
              </w:rPr>
              <w:t>：</w:t>
            </w:r>
            <w:r>
              <w:rPr>
                <w:rFonts w:hint="eastAsia"/>
                <w:color w:val="auto"/>
                <w:szCs w:val="21"/>
                <w:highlight w:val="none"/>
              </w:rPr>
              <w:t>（盖章）</w:t>
            </w:r>
          </w:p>
          <w:p>
            <w:pPr>
              <w:spacing w:line="500" w:lineRule="exact"/>
              <w:rPr>
                <w:color w:val="auto"/>
                <w:szCs w:val="21"/>
                <w:highlight w:val="none"/>
              </w:rPr>
            </w:pPr>
            <w:r>
              <w:rPr>
                <w:rFonts w:hint="eastAsia"/>
                <w:color w:val="auto"/>
                <w:szCs w:val="21"/>
                <w:highlight w:val="none"/>
                <w:u w:val="single"/>
              </w:rPr>
              <w:t>深圳市龙华高新技术产业园区开发投资有限公司</w:t>
            </w:r>
          </w:p>
        </w:tc>
        <w:tc>
          <w:tcPr>
            <w:tcW w:w="4520" w:type="dxa"/>
          </w:tcPr>
          <w:p>
            <w:pPr>
              <w:spacing w:after="240"/>
              <w:rPr>
                <w:color w:val="auto"/>
                <w:szCs w:val="21"/>
                <w:highlight w:val="none"/>
              </w:rPr>
            </w:pPr>
            <w:r>
              <w:rPr>
                <w:rFonts w:hint="eastAsia"/>
                <w:color w:val="auto"/>
                <w:szCs w:val="21"/>
                <w:highlight w:val="none"/>
              </w:rPr>
              <w:t>承包人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 xml:space="preserve">***** </w:t>
            </w:r>
          </w:p>
        </w:tc>
      </w:tr>
      <w:tr>
        <w:trPr>
          <w:trHeight w:val="1063" w:hRule="atLeast"/>
          <w:jc w:val="center"/>
        </w:trPr>
        <w:tc>
          <w:tcPr>
            <w:tcW w:w="4519" w:type="dxa"/>
          </w:tcPr>
          <w:p>
            <w:pPr>
              <w:spacing w:after="240"/>
              <w:rPr>
                <w:color w:val="auto"/>
                <w:highlight w:val="none"/>
              </w:rPr>
            </w:pPr>
            <w:r>
              <w:rPr>
                <w:rFonts w:hint="eastAsia"/>
                <w:color w:val="auto"/>
                <w:highlight w:val="none"/>
              </w:rPr>
              <w:t>法定代表人或其委托代理人（签名）：</w:t>
            </w:r>
          </w:p>
          <w:p>
            <w:pPr>
              <w:rPr>
                <w:color w:val="auto"/>
                <w:highlight w:val="none"/>
              </w:rPr>
            </w:pPr>
          </w:p>
        </w:tc>
        <w:tc>
          <w:tcPr>
            <w:tcW w:w="4520" w:type="dxa"/>
          </w:tcPr>
          <w:p>
            <w:pPr>
              <w:rPr>
                <w:color w:val="auto"/>
                <w:highlight w:val="none"/>
              </w:rPr>
            </w:pPr>
            <w:r>
              <w:rPr>
                <w:rFonts w:hint="eastAsia"/>
                <w:color w:val="auto"/>
                <w:highlight w:val="none"/>
              </w:rPr>
              <w:t>法定代表人或其委托代理人（签名）：</w:t>
            </w:r>
          </w:p>
          <w:p>
            <w:pPr>
              <w:ind w:firstLine="420"/>
              <w:rPr>
                <w:color w:val="auto"/>
                <w:szCs w:val="20"/>
                <w:highlight w:val="none"/>
              </w:rPr>
            </w:pPr>
          </w:p>
        </w:tc>
      </w:tr>
      <w:tr>
        <w:tblPrEx>
          <w:tblCellMar>
            <w:top w:w="0" w:type="dxa"/>
            <w:left w:w="108" w:type="dxa"/>
            <w:bottom w:w="0" w:type="dxa"/>
            <w:right w:w="108" w:type="dxa"/>
          </w:tblCellMar>
        </w:tblPrEx>
        <w:trPr>
          <w:trHeight w:val="1358" w:hRule="atLeast"/>
          <w:jc w:val="center"/>
        </w:trPr>
        <w:tc>
          <w:tcPr>
            <w:tcW w:w="4519" w:type="dxa"/>
          </w:tcPr>
          <w:p>
            <w:pPr>
              <w:spacing w:after="240"/>
              <w:rPr>
                <w:color w:val="auto"/>
                <w:szCs w:val="21"/>
                <w:highlight w:val="none"/>
              </w:rPr>
            </w:pPr>
            <w:r>
              <w:rPr>
                <w:rFonts w:hint="eastAsia"/>
                <w:color w:val="auto"/>
                <w:szCs w:val="21"/>
                <w:highlight w:val="none"/>
              </w:rPr>
              <w:t>签订时间：2025年  月  日</w:t>
            </w:r>
          </w:p>
        </w:tc>
        <w:tc>
          <w:tcPr>
            <w:tcW w:w="4520" w:type="dxa"/>
          </w:tcPr>
          <w:p>
            <w:pPr>
              <w:spacing w:after="240"/>
              <w:ind w:right="180"/>
              <w:rPr>
                <w:color w:val="auto"/>
                <w:szCs w:val="21"/>
                <w:highlight w:val="none"/>
              </w:rPr>
            </w:pPr>
            <w:r>
              <w:rPr>
                <w:rFonts w:hint="eastAsia"/>
                <w:color w:val="auto"/>
                <w:szCs w:val="21"/>
                <w:highlight w:val="none"/>
              </w:rPr>
              <w:t>签订时间：2025年  月  日</w:t>
            </w:r>
          </w:p>
        </w:tc>
      </w:tr>
    </w:tbl>
    <w:p>
      <w:pPr>
        <w:adjustRightInd w:val="0"/>
        <w:snapToGrid w:val="0"/>
        <w:spacing w:line="500" w:lineRule="exact"/>
        <w:ind w:firstLine="480" w:firstLineChars="200"/>
        <w:rPr>
          <w:color w:val="auto"/>
          <w:highlight w:val="none"/>
        </w:rPr>
      </w:pPr>
      <w:r>
        <w:rPr>
          <w:color w:val="auto"/>
          <w:highlight w:val="none"/>
        </w:rPr>
        <w:br w:type="page"/>
      </w:r>
    </w:p>
    <w:p>
      <w:pPr>
        <w:spacing w:line="360" w:lineRule="auto"/>
        <w:outlineLvl w:val="1"/>
        <w:rPr>
          <w:color w:val="auto"/>
          <w:kern w:val="2"/>
          <w:sz w:val="21"/>
          <w:szCs w:val="21"/>
          <w:highlight w:val="none"/>
        </w:rPr>
      </w:pPr>
      <w:bookmarkStart w:id="1130" w:name="_Toc10920"/>
      <w:bookmarkStart w:id="1131" w:name="_Toc18742"/>
      <w:bookmarkStart w:id="1132" w:name="_Toc22736"/>
      <w:bookmarkStart w:id="1133" w:name="_Toc30477"/>
      <w:bookmarkStart w:id="1134" w:name="_Toc7105"/>
      <w:bookmarkStart w:id="1135" w:name="_Toc2801"/>
      <w:r>
        <w:rPr>
          <w:rFonts w:hint="eastAsia"/>
          <w:color w:val="auto"/>
          <w:kern w:val="2"/>
          <w:sz w:val="21"/>
          <w:szCs w:val="21"/>
          <w:highlight w:val="none"/>
        </w:rPr>
        <w:t>附件10：</w:t>
      </w:r>
      <w:bookmarkEnd w:id="1130"/>
      <w:bookmarkEnd w:id="1131"/>
      <w:bookmarkEnd w:id="1132"/>
      <w:bookmarkEnd w:id="1133"/>
      <w:bookmarkEnd w:id="1134"/>
      <w:bookmarkEnd w:id="1135"/>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项目管理机构配备情况表</w:t>
      </w:r>
    </w:p>
    <w:p>
      <w:pPr>
        <w:adjustRightInd w:val="0"/>
        <w:snapToGrid w:val="0"/>
        <w:spacing w:line="440" w:lineRule="exact"/>
        <w:ind w:firstLine="420" w:firstLineChars="200"/>
        <w:rPr>
          <w:rFonts w:cs="KaiTi_GB2312"/>
          <w:color w:val="auto"/>
          <w:sz w:val="21"/>
          <w:szCs w:val="21"/>
          <w:highlight w:val="none"/>
        </w:rPr>
      </w:pPr>
      <w:r>
        <w:rPr>
          <w:rFonts w:hint="eastAsia" w:cs="KaiTi_GB2312"/>
          <w:color w:val="auto"/>
          <w:sz w:val="21"/>
          <w:szCs w:val="21"/>
          <w:highlight w:val="none"/>
        </w:rPr>
        <w:t>注：1.本表填报项目管理机构应与提交投标文件时投标填报一致。</w:t>
      </w:r>
    </w:p>
    <w:p>
      <w:pPr>
        <w:spacing w:after="160" w:line="360" w:lineRule="auto"/>
        <w:jc w:val="center"/>
        <w:outlineLvl w:val="0"/>
        <w:rPr>
          <w:rFonts w:ascii="仿宋" w:hAnsi="仿宋" w:eastAsia="仿宋" w:cs="仿宋"/>
          <w:b/>
          <w:bCs/>
          <w:color w:val="auto"/>
          <w:sz w:val="28"/>
          <w:szCs w:val="28"/>
          <w:highlight w:val="none"/>
        </w:rPr>
      </w:pPr>
      <w:bookmarkStart w:id="1136" w:name="_Toc30806"/>
      <w:r>
        <w:rPr>
          <w:rFonts w:hint="eastAsia" w:ascii="仿宋" w:hAnsi="仿宋" w:eastAsia="仿宋" w:cs="仿宋"/>
          <w:b/>
          <w:bCs/>
          <w:color w:val="auto"/>
          <w:sz w:val="28"/>
          <w:szCs w:val="28"/>
          <w:highlight w:val="none"/>
        </w:rPr>
        <w:t>拟派项目团队主要管理人员一览表</w:t>
      </w:r>
      <w:bookmarkEnd w:id="1136"/>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1618"/>
        <w:gridCol w:w="557"/>
        <w:gridCol w:w="860"/>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1027" w:type="dxa"/>
            <w:vMerge w:val="restart"/>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职务</w:t>
            </w:r>
          </w:p>
        </w:tc>
        <w:tc>
          <w:tcPr>
            <w:tcW w:w="970" w:type="dxa"/>
            <w:vMerge w:val="restart"/>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姓名</w:t>
            </w:r>
          </w:p>
        </w:tc>
        <w:tc>
          <w:tcPr>
            <w:tcW w:w="972" w:type="dxa"/>
            <w:vMerge w:val="restart"/>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职称</w:t>
            </w:r>
          </w:p>
        </w:tc>
        <w:tc>
          <w:tcPr>
            <w:tcW w:w="4423" w:type="dxa"/>
            <w:gridSpan w:val="4"/>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上岗资格证明</w:t>
            </w:r>
          </w:p>
        </w:tc>
        <w:tc>
          <w:tcPr>
            <w:tcW w:w="852" w:type="dxa"/>
            <w:vMerge w:val="restart"/>
            <w:tcBorders>
              <w:tl2br w:val="nil"/>
              <w:tr2bl w:val="nil"/>
            </w:tcBorders>
            <w:vAlign w:val="center"/>
          </w:tcPr>
          <w:p>
            <w:pPr>
              <w:adjustRightInd w:val="0"/>
              <w:snapToGrid w:val="0"/>
              <w:jc w:val="center"/>
              <w:rPr>
                <w:rFonts w:ascii="仿宋" w:hAnsi="仿宋" w:eastAsia="仿宋" w:cs="仿宋"/>
                <w:b/>
                <w:color w:val="auto"/>
                <w:highlight w:val="none"/>
              </w:rPr>
            </w:pPr>
            <w:r>
              <w:rPr>
                <w:rFonts w:hint="eastAsia" w:ascii="仿宋" w:hAnsi="仿宋" w:eastAsia="仿宋" w:cs="仿宋"/>
                <w:bCs/>
                <w:color w:val="auto"/>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027" w:type="dxa"/>
            <w:vMerge w:val="continue"/>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vMerge w:val="continue"/>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vMerge w:val="continue"/>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证明名称</w:t>
            </w: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证号</w:t>
            </w: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级别</w:t>
            </w: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r>
              <w:rPr>
                <w:rFonts w:hint="eastAsia" w:ascii="仿宋" w:hAnsi="仿宋" w:eastAsia="仿宋" w:cs="仿宋"/>
                <w:bCs/>
                <w:color w:val="auto"/>
                <w:highlight w:val="none"/>
              </w:rPr>
              <w:t>专业</w:t>
            </w:r>
          </w:p>
        </w:tc>
        <w:tc>
          <w:tcPr>
            <w:tcW w:w="852" w:type="dxa"/>
            <w:vMerge w:val="continue"/>
            <w:tcBorders>
              <w:tl2br w:val="nil"/>
              <w:tr2bl w:val="nil"/>
            </w:tcBorders>
            <w:vAlign w:val="center"/>
          </w:tcPr>
          <w:p>
            <w:pPr>
              <w:adjustRightInd w:val="0"/>
              <w:snapToGrid w:val="0"/>
              <w:jc w:val="center"/>
              <w:rPr>
                <w:rFonts w:ascii="仿宋" w:hAnsi="仿宋" w:eastAsia="仿宋" w:cs="仿宋"/>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ascii="仿宋" w:hAnsi="仿宋" w:eastAsia="仿宋" w:cs="仿宋"/>
                <w:color w:val="auto"/>
                <w:highlight w:val="none"/>
              </w:rPr>
            </w:pPr>
          </w:p>
        </w:tc>
        <w:tc>
          <w:tcPr>
            <w:tcW w:w="102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972"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38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1618"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557"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60" w:type="dxa"/>
            <w:tcBorders>
              <w:tl2br w:val="nil"/>
              <w:tr2bl w:val="nil"/>
            </w:tcBorders>
            <w:vAlign w:val="center"/>
          </w:tcPr>
          <w:p>
            <w:pPr>
              <w:adjustRightInd w:val="0"/>
              <w:snapToGrid w:val="0"/>
              <w:jc w:val="center"/>
              <w:rPr>
                <w:rFonts w:ascii="仿宋" w:hAnsi="仿宋" w:eastAsia="仿宋" w:cs="仿宋"/>
                <w:bCs/>
                <w:color w:val="auto"/>
                <w:highlight w:val="none"/>
              </w:rPr>
            </w:pPr>
          </w:p>
        </w:tc>
        <w:tc>
          <w:tcPr>
            <w:tcW w:w="852" w:type="dxa"/>
            <w:tcBorders>
              <w:tl2br w:val="nil"/>
              <w:tr2bl w:val="nil"/>
            </w:tcBorders>
            <w:vAlign w:val="center"/>
          </w:tcPr>
          <w:p>
            <w:pPr>
              <w:adjustRightInd w:val="0"/>
              <w:snapToGrid w:val="0"/>
              <w:jc w:val="center"/>
              <w:rPr>
                <w:rFonts w:ascii="仿宋" w:hAnsi="仿宋" w:eastAsia="仿宋" w:cs="仿宋"/>
                <w:bCs/>
                <w:color w:val="auto"/>
                <w:highlight w:val="none"/>
              </w:rPr>
            </w:pPr>
          </w:p>
        </w:tc>
      </w:tr>
    </w:tbl>
    <w:p>
      <w:pPr>
        <w:adjustRightInd w:val="0"/>
        <w:snapToGrid w:val="0"/>
        <w:spacing w:line="440" w:lineRule="exact"/>
        <w:ind w:firstLine="420" w:firstLineChars="200"/>
        <w:rPr>
          <w:rFonts w:cs="KaiTi_GB2312"/>
          <w:color w:val="auto"/>
          <w:sz w:val="21"/>
          <w:szCs w:val="21"/>
          <w:highlight w:val="none"/>
        </w:rPr>
      </w:pPr>
    </w:p>
    <w:p>
      <w:pPr>
        <w:numPr>
          <w:ilvl w:val="12"/>
          <w:numId w:val="0"/>
        </w:numPr>
        <w:rPr>
          <w:rFonts w:cs="Times New Roman"/>
          <w:b/>
          <w:color w:val="auto"/>
          <w:kern w:val="2"/>
          <w:sz w:val="21"/>
          <w:szCs w:val="21"/>
          <w:highlight w:val="none"/>
        </w:rPr>
      </w:pPr>
      <w:r>
        <w:rPr>
          <w:rFonts w:hint="eastAsia" w:cs="Times New Roman"/>
          <w:b/>
          <w:color w:val="auto"/>
          <w:kern w:val="2"/>
          <w:sz w:val="21"/>
          <w:szCs w:val="21"/>
          <w:highlight w:val="none"/>
        </w:rPr>
        <w:br w:type="page"/>
      </w:r>
    </w:p>
    <w:p>
      <w:pPr>
        <w:spacing w:line="360" w:lineRule="auto"/>
        <w:outlineLvl w:val="1"/>
        <w:rPr>
          <w:color w:val="auto"/>
          <w:kern w:val="2"/>
          <w:sz w:val="21"/>
          <w:szCs w:val="21"/>
          <w:highlight w:val="none"/>
        </w:rPr>
      </w:pPr>
      <w:bookmarkStart w:id="1137" w:name="_Toc71"/>
      <w:bookmarkStart w:id="1138" w:name="_Toc32171"/>
      <w:bookmarkStart w:id="1139" w:name="_Toc20786"/>
      <w:bookmarkStart w:id="1140" w:name="_Toc25236"/>
      <w:bookmarkStart w:id="1141" w:name="_Toc14592"/>
      <w:bookmarkStart w:id="1142" w:name="_Toc28411"/>
      <w:r>
        <w:rPr>
          <w:rFonts w:hint="eastAsia"/>
          <w:color w:val="auto"/>
          <w:kern w:val="2"/>
          <w:sz w:val="21"/>
          <w:szCs w:val="21"/>
          <w:highlight w:val="none"/>
        </w:rPr>
        <w:t>附件11：</w:t>
      </w:r>
      <w:bookmarkEnd w:id="1137"/>
      <w:bookmarkEnd w:id="1138"/>
      <w:bookmarkEnd w:id="1139"/>
      <w:bookmarkEnd w:id="1140"/>
      <w:bookmarkEnd w:id="1141"/>
      <w:bookmarkEnd w:id="1142"/>
    </w:p>
    <w:p>
      <w:pPr>
        <w:adjustRightInd w:val="0"/>
        <w:snapToGrid w:val="0"/>
        <w:spacing w:after="200" w:line="360" w:lineRule="auto"/>
        <w:jc w:val="center"/>
        <w:textAlignment w:val="baseline"/>
        <w:outlineLvl w:val="4"/>
        <w:rPr>
          <w:rFonts w:ascii="Times New Roman" w:hAnsi="Times New Roman"/>
          <w:b/>
          <w:color w:val="auto"/>
          <w:sz w:val="30"/>
          <w:szCs w:val="22"/>
          <w:highlight w:val="none"/>
        </w:rPr>
      </w:pPr>
      <w:r>
        <w:rPr>
          <w:rFonts w:hint="eastAsia" w:ascii="Times New Roman" w:hAnsi="Times New Roman" w:cs="Times New Roman"/>
          <w:b/>
          <w:color w:val="auto"/>
          <w:kern w:val="2"/>
          <w:sz w:val="30"/>
          <w:szCs w:val="22"/>
          <w:highlight w:val="none"/>
        </w:rPr>
        <w:t>维护农民工合法权益承诺书</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农民工合法权益，事关人民群众切身利益，事关社会公平正义，事关社会和谐稳定，事关经济和社会发展全局。为维护建设市场秩序，构建行业自律环境，提高社会公德力和企业诚信度，在本单位承建的工程建设中，我们承诺:</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一、严格按照《中华人民共和国劳动法》、《中华人民共和国劳动合同法》和有关规定，经平等协商一致，与所雇佣农民工签订劳动合同。合同条款应包括:劳动合同期限、工作内容和工作时间、劳动保护和劳动条件、劳动报酬、劳动纪律、违反劳动合同的责任等。</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二、严格按照《中华人民共和国劳动法》、《中华人民共和国劳动合同法》、《建设领域农民工工资支付管理暂行办法》、《工资支付暂行规定》等有关规定雇用农民工，按时、足额向履约农民工支付工资报酬（包括加班、加点工资），支付给农民工的工资不得低于深圳市最低工资标准，不得无故拖欠或克扣农民工工资。拖欠农民工薪酬相关费用一经查实，发包方有权扣回工程款用于直接支付农民工工资。</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三、将工资直接发放给农民工本人，本人因故不能领取工资时，可由其亲属或委托他人代领，也可委托银行发放农民工工资。严禁发放给“包工头”或其他不具备用工主体资格的组织和个人。</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(一)支付农民工工资应编制工资支付表，如实记录支付单位、支付时间、支付对象、支付数额等工资支付情况，并保存备查。</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(二)按深圳市政府规定的标准为履约农民工缴纳社会保险（包括基本养老、医疗保险及工伤保险等），同时须为所雇用农民工办理建筑工程人身意外伤害保险。</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(三)按政策规定和行业要求向履约农民工发放劳动保护器具和费用（包括高温、高危津贴等）；</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(四)采取安全生产和保卫措施，确保履约农民工照章操作和人身安全。</w:t>
      </w:r>
    </w:p>
    <w:p>
      <w:pPr>
        <w:widowControl w:val="0"/>
        <w:spacing w:line="360" w:lineRule="auto"/>
        <w:ind w:firstLine="470" w:firstLineChars="196"/>
        <w:jc w:val="both"/>
        <w:rPr>
          <w:rFonts w:cs="Times New Roman"/>
          <w:color w:val="auto"/>
          <w:kern w:val="2"/>
          <w:highlight w:val="none"/>
        </w:rPr>
      </w:pPr>
      <w:r>
        <w:rPr>
          <w:rFonts w:hint="eastAsia" w:cs="Times New Roman"/>
          <w:color w:val="auto"/>
          <w:kern w:val="2"/>
          <w:highlight w:val="none"/>
        </w:rPr>
        <w:t>四、主动接受发包人及建设主管部门的全方位监督，若发生因我单位违反上述保证事项造成拖欠农民工工资的，我单位承担全部责任，并无条件同意发包人用我单位应得进度款先行垫付农民工工资，并自愿接受建设单位及建设主管部门的处罚。</w:t>
      </w:r>
    </w:p>
    <w:p>
      <w:pPr>
        <w:widowControl w:val="0"/>
        <w:spacing w:line="360" w:lineRule="auto"/>
        <w:ind w:firstLine="470" w:firstLineChars="196"/>
        <w:jc w:val="both"/>
        <w:rPr>
          <w:rFonts w:cs="Times New Roman"/>
          <w:color w:val="auto"/>
          <w:kern w:val="2"/>
          <w:highlight w:val="none"/>
        </w:rPr>
      </w:pP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深圳市龙华高新技术产业园区开发投资有限公司</w:t>
            </w:r>
          </w:p>
        </w:tc>
        <w:tc>
          <w:tcPr>
            <w:tcW w:w="4520"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rPr>
                <w:color w:val="auto"/>
                <w:highlight w:val="none"/>
              </w:rPr>
            </w:pPr>
            <w:r>
              <w:rPr>
                <w:rFonts w:hint="eastAsia"/>
                <w:color w:val="auto"/>
                <w:highlight w:val="none"/>
              </w:rPr>
              <w:t>法定代表人</w:t>
            </w:r>
            <w:r>
              <w:rPr>
                <w:rFonts w:hint="eastAsia" w:cs="Times New Roman"/>
                <w:color w:val="auto"/>
                <w:kern w:val="2"/>
                <w:highlight w:val="none"/>
              </w:rPr>
              <w:t>（签名）</w:t>
            </w:r>
            <w:r>
              <w:rPr>
                <w:rFonts w:hint="eastAsia"/>
                <w:color w:val="auto"/>
                <w:highlight w:val="none"/>
              </w:rPr>
              <w:t>：</w:t>
            </w:r>
          </w:p>
          <w:p>
            <w:pPr>
              <w:rPr>
                <w:color w:val="auto"/>
                <w:highlight w:val="none"/>
              </w:rPr>
            </w:pPr>
          </w:p>
        </w:tc>
        <w:tc>
          <w:tcPr>
            <w:tcW w:w="4520" w:type="dxa"/>
          </w:tcPr>
          <w:p>
            <w:pPr>
              <w:rPr>
                <w:color w:val="auto"/>
                <w:highlight w:val="none"/>
              </w:rPr>
            </w:pPr>
            <w:r>
              <w:rPr>
                <w:rFonts w:hint="eastAsia"/>
                <w:color w:val="auto"/>
                <w:highlight w:val="none"/>
              </w:rPr>
              <w:t>法定代表人</w:t>
            </w:r>
            <w:r>
              <w:rPr>
                <w:rFonts w:hint="eastAsia" w:cs="Times New Roman"/>
                <w:color w:val="auto"/>
                <w:kern w:val="2"/>
                <w:highlight w:val="none"/>
              </w:rPr>
              <w:t>（签名）</w:t>
            </w:r>
            <w:r>
              <w:rPr>
                <w:rFonts w:hint="eastAsia"/>
                <w:color w:val="auto"/>
                <w:highlight w:val="none"/>
              </w:rPr>
              <w:t>：</w:t>
            </w:r>
          </w:p>
          <w:p>
            <w:pPr>
              <w:ind w:firstLine="420"/>
              <w:rPr>
                <w:color w:val="auto"/>
                <w:szCs w:val="20"/>
                <w:highlight w:val="none"/>
              </w:rPr>
            </w:pPr>
          </w:p>
        </w:tc>
      </w:tr>
      <w:tr>
        <w:tblPrEx>
          <w:tblCellMar>
            <w:top w:w="0" w:type="dxa"/>
            <w:left w:w="108" w:type="dxa"/>
            <w:bottom w:w="0" w:type="dxa"/>
            <w:right w:w="108" w:type="dxa"/>
          </w:tblCellMar>
        </w:tblPrEx>
        <w:trPr>
          <w:trHeight w:val="512" w:hRule="atLeast"/>
          <w:jc w:val="center"/>
        </w:trPr>
        <w:tc>
          <w:tcPr>
            <w:tcW w:w="4519" w:type="dxa"/>
          </w:tcPr>
          <w:p>
            <w:pPr>
              <w:spacing w:after="240"/>
              <w:rPr>
                <w:color w:val="auto"/>
                <w:szCs w:val="21"/>
                <w:highlight w:val="none"/>
              </w:rPr>
            </w:pPr>
            <w:r>
              <w:rPr>
                <w:rFonts w:hint="eastAsia"/>
                <w:color w:val="auto"/>
                <w:szCs w:val="21"/>
                <w:highlight w:val="none"/>
              </w:rPr>
              <w:t>时间：2025年  月  日</w:t>
            </w:r>
          </w:p>
        </w:tc>
        <w:tc>
          <w:tcPr>
            <w:tcW w:w="4520" w:type="dxa"/>
          </w:tcPr>
          <w:p>
            <w:pPr>
              <w:spacing w:after="240"/>
              <w:ind w:right="180"/>
              <w:rPr>
                <w:color w:val="auto"/>
                <w:szCs w:val="21"/>
                <w:highlight w:val="none"/>
              </w:rPr>
            </w:pPr>
            <w:r>
              <w:rPr>
                <w:rFonts w:hint="eastAsia"/>
                <w:color w:val="auto"/>
                <w:szCs w:val="21"/>
                <w:highlight w:val="none"/>
              </w:rPr>
              <w:t>时间：2025年  月  日</w:t>
            </w:r>
          </w:p>
        </w:tc>
      </w:tr>
    </w:tbl>
    <w:p>
      <w:pPr>
        <w:rPr>
          <w:color w:val="auto"/>
          <w:highlight w:val="none"/>
        </w:rPr>
      </w:pPr>
      <w:r>
        <w:rPr>
          <w:color w:val="auto"/>
          <w:highlight w:val="none"/>
        </w:rPr>
        <w:br w:type="page"/>
      </w:r>
    </w:p>
    <w:p>
      <w:pPr>
        <w:spacing w:line="360" w:lineRule="auto"/>
        <w:outlineLvl w:val="1"/>
        <w:rPr>
          <w:color w:val="auto"/>
          <w:kern w:val="2"/>
          <w:sz w:val="21"/>
          <w:szCs w:val="21"/>
          <w:highlight w:val="none"/>
        </w:rPr>
      </w:pPr>
      <w:bookmarkStart w:id="1143" w:name="_Toc4023"/>
      <w:bookmarkStart w:id="1144" w:name="_Toc14125"/>
      <w:bookmarkStart w:id="1145" w:name="_Toc5539"/>
      <w:bookmarkStart w:id="1146" w:name="_Toc11748"/>
      <w:bookmarkStart w:id="1147" w:name="_Toc31881"/>
      <w:bookmarkStart w:id="1148" w:name="_Toc27012"/>
      <w:r>
        <w:rPr>
          <w:rFonts w:hint="eastAsia"/>
          <w:color w:val="auto"/>
          <w:kern w:val="2"/>
          <w:sz w:val="21"/>
          <w:szCs w:val="21"/>
          <w:highlight w:val="none"/>
        </w:rPr>
        <w:t>附件12：</w:t>
      </w:r>
      <w:bookmarkEnd w:id="1143"/>
      <w:bookmarkEnd w:id="1144"/>
      <w:bookmarkEnd w:id="1145"/>
      <w:bookmarkEnd w:id="1146"/>
      <w:bookmarkEnd w:id="1147"/>
      <w:bookmarkEnd w:id="1148"/>
    </w:p>
    <w:p>
      <w:pPr>
        <w:adjustRightInd w:val="0"/>
        <w:snapToGrid w:val="0"/>
        <w:spacing w:after="200" w:line="360" w:lineRule="auto"/>
        <w:jc w:val="center"/>
        <w:textAlignment w:val="baseline"/>
        <w:outlineLvl w:val="4"/>
        <w:rPr>
          <w:rFonts w:ascii="Times New Roman" w:hAnsi="Times New Roman" w:cs="Times New Roman"/>
          <w:b/>
          <w:color w:val="auto"/>
          <w:kern w:val="2"/>
          <w:sz w:val="30"/>
          <w:szCs w:val="22"/>
          <w:highlight w:val="none"/>
        </w:rPr>
      </w:pPr>
      <w:r>
        <w:rPr>
          <w:rFonts w:hint="eastAsia" w:ascii="Times New Roman" w:hAnsi="Times New Roman" w:cs="Times New Roman"/>
          <w:b/>
          <w:color w:val="auto"/>
          <w:kern w:val="2"/>
          <w:sz w:val="30"/>
          <w:szCs w:val="22"/>
          <w:highlight w:val="none"/>
        </w:rPr>
        <w:t>《关于设计文件审核及变更管理的投标承诺函》</w:t>
      </w:r>
    </w:p>
    <w:p>
      <w:pPr>
        <w:widowControl w:val="0"/>
        <w:spacing w:line="360" w:lineRule="auto"/>
        <w:jc w:val="both"/>
        <w:rPr>
          <w:rFonts w:cs="Times New Roman"/>
          <w:color w:val="auto"/>
          <w:kern w:val="2"/>
          <w:szCs w:val="22"/>
          <w:highlight w:val="none"/>
        </w:rPr>
      </w:pPr>
      <w:r>
        <w:rPr>
          <w:rFonts w:hint="eastAsia" w:cs="Times New Roman"/>
          <w:color w:val="auto"/>
          <w:kern w:val="2"/>
          <w:szCs w:val="22"/>
          <w:highlight w:val="none"/>
        </w:rPr>
        <w:t>致：</w:t>
      </w:r>
      <w:r>
        <w:rPr>
          <w:rFonts w:hint="eastAsia"/>
          <w:color w:val="auto"/>
          <w:szCs w:val="21"/>
          <w:highlight w:val="none"/>
          <w:u w:val="single"/>
        </w:rPr>
        <w:t>深圳市龙华高新技术产业园区开发投资有限公司</w:t>
      </w:r>
    </w:p>
    <w:p>
      <w:pPr>
        <w:widowControl w:val="0"/>
        <w:spacing w:line="360" w:lineRule="auto"/>
        <w:ind w:firstLine="480" w:firstLineChars="200"/>
        <w:jc w:val="both"/>
        <w:rPr>
          <w:rFonts w:cs="Times New Roman"/>
          <w:color w:val="auto"/>
          <w:kern w:val="2"/>
          <w:szCs w:val="22"/>
          <w:highlight w:val="none"/>
        </w:rPr>
      </w:pPr>
      <w:r>
        <w:rPr>
          <w:rFonts w:hint="eastAsia" w:cs="Times New Roman"/>
          <w:color w:val="auto"/>
          <w:kern w:val="2"/>
          <w:szCs w:val="22"/>
          <w:highlight w:val="none"/>
        </w:rPr>
        <w:t>根据已收到贵公司项目的招标文件，我公司已详细审核全部招标文件，包括修改文件，及有关附件，对设计文件进行了全面审核，并对设计的完备性和功能性问题全部以招标答疑方式进行了质询，对贵公司的答疑文件也已全面理解。一旦我公司中标，我公司承诺如下：</w:t>
      </w:r>
    </w:p>
    <w:p>
      <w:pPr>
        <w:widowControl w:val="0"/>
        <w:spacing w:line="360" w:lineRule="auto"/>
        <w:ind w:firstLine="480" w:firstLineChars="200"/>
        <w:jc w:val="both"/>
        <w:rPr>
          <w:rFonts w:cs="Times New Roman"/>
          <w:color w:val="auto"/>
          <w:kern w:val="2"/>
          <w:szCs w:val="22"/>
          <w:highlight w:val="none"/>
        </w:rPr>
      </w:pPr>
      <w:r>
        <w:rPr>
          <w:rFonts w:hint="eastAsia" w:cs="Times New Roman"/>
          <w:color w:val="auto"/>
          <w:kern w:val="2"/>
          <w:szCs w:val="22"/>
          <w:highlight w:val="none"/>
        </w:rPr>
        <w:t>后续施工过程中如果我公司承包范围内施工图纸存在错误，包括且不限于节点和大样冲突、不同图号间尺寸偏差和冲突、节点深化、地质及水文资料、施工工法要求等能在审图阶段发现的设计错误，则由此而引起的一切工程变更的损失与费用（包括对其它专业设计的修正与变更费用）和工期损失均由我公司自行承担。</w:t>
      </w:r>
    </w:p>
    <w:p>
      <w:pPr>
        <w:widowControl w:val="0"/>
        <w:spacing w:line="360" w:lineRule="auto"/>
        <w:ind w:firstLine="424" w:firstLineChars="177"/>
        <w:jc w:val="both"/>
        <w:rPr>
          <w:rFonts w:cs="Times New Roman"/>
          <w:color w:val="auto"/>
          <w:kern w:val="2"/>
          <w:szCs w:val="22"/>
          <w:highlight w:val="none"/>
        </w:rPr>
      </w:pPr>
      <w:r>
        <w:rPr>
          <w:rFonts w:hint="eastAsia" w:cs="Times New Roman"/>
          <w:color w:val="auto"/>
          <w:kern w:val="2"/>
          <w:szCs w:val="22"/>
          <w:highlight w:val="none"/>
        </w:rPr>
        <w:t>我公司保证所递交的投标文件所反映的内容真实可靠，否则将承担由此引起的一切后果和相应的法律责任。</w:t>
      </w: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深圳市龙华高新技术产业园区开发投资有限公司</w:t>
            </w:r>
          </w:p>
        </w:tc>
        <w:tc>
          <w:tcPr>
            <w:tcW w:w="4520" w:type="dxa"/>
          </w:tcPr>
          <w:p>
            <w:pPr>
              <w:spacing w:after="240"/>
              <w:rPr>
                <w:color w:val="auto"/>
                <w:szCs w:val="21"/>
                <w:highlight w:val="none"/>
              </w:rPr>
            </w:pPr>
            <w:r>
              <w:rPr>
                <w:rFonts w:hint="eastAsia"/>
                <w:color w:val="auto"/>
                <w:szCs w:val="21"/>
                <w:highlight w:val="none"/>
              </w:rPr>
              <w:t>承诺人</w:t>
            </w:r>
            <w:r>
              <w:rPr>
                <w:rFonts w:hint="eastAsia"/>
                <w:color w:val="auto"/>
                <w:kern w:val="18"/>
                <w:szCs w:val="21"/>
                <w:highlight w:val="none"/>
              </w:rPr>
              <w:t>：</w:t>
            </w:r>
            <w:r>
              <w:rPr>
                <w:rFonts w:hint="eastAsia"/>
                <w:color w:val="auto"/>
                <w:szCs w:val="21"/>
                <w:highlight w:val="none"/>
              </w:rPr>
              <w:t>（盖章）</w:t>
            </w:r>
          </w:p>
          <w:p>
            <w:pPr>
              <w:spacing w:after="240"/>
              <w:rPr>
                <w:color w:val="auto"/>
                <w:szCs w:val="21"/>
                <w:highlight w:val="none"/>
              </w:rPr>
            </w:pPr>
            <w:r>
              <w:rPr>
                <w:rFonts w:hint="eastAsia"/>
                <w:color w:val="auto"/>
                <w:szCs w:val="21"/>
                <w:highlight w:val="none"/>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rPr>
                <w:color w:val="auto"/>
                <w:highlight w:val="none"/>
              </w:rPr>
            </w:pPr>
            <w:r>
              <w:rPr>
                <w:rFonts w:hint="eastAsia"/>
                <w:color w:val="auto"/>
                <w:highlight w:val="none"/>
              </w:rPr>
              <w:t>法定代表人或其委托代理人（签名）：</w:t>
            </w:r>
          </w:p>
          <w:p>
            <w:pPr>
              <w:rPr>
                <w:color w:val="auto"/>
                <w:highlight w:val="none"/>
              </w:rPr>
            </w:pPr>
          </w:p>
        </w:tc>
        <w:tc>
          <w:tcPr>
            <w:tcW w:w="4520" w:type="dxa"/>
          </w:tcPr>
          <w:p>
            <w:pPr>
              <w:rPr>
                <w:color w:val="auto"/>
                <w:highlight w:val="none"/>
              </w:rPr>
            </w:pPr>
            <w:r>
              <w:rPr>
                <w:rFonts w:hint="eastAsia"/>
                <w:color w:val="auto"/>
                <w:highlight w:val="none"/>
              </w:rPr>
              <w:t>法定代表人或其委托代理人（签名）：</w:t>
            </w:r>
          </w:p>
          <w:p>
            <w:pPr>
              <w:ind w:firstLine="420"/>
              <w:rPr>
                <w:color w:val="auto"/>
                <w:szCs w:val="20"/>
                <w:highlight w:val="none"/>
              </w:rPr>
            </w:pPr>
          </w:p>
        </w:tc>
      </w:tr>
      <w:tr>
        <w:tblPrEx>
          <w:tblCellMar>
            <w:top w:w="0" w:type="dxa"/>
            <w:left w:w="108" w:type="dxa"/>
            <w:bottom w:w="0" w:type="dxa"/>
            <w:right w:w="108" w:type="dxa"/>
          </w:tblCellMar>
        </w:tblPrEx>
        <w:trPr>
          <w:trHeight w:val="512" w:hRule="atLeast"/>
          <w:jc w:val="center"/>
        </w:trPr>
        <w:tc>
          <w:tcPr>
            <w:tcW w:w="4519" w:type="dxa"/>
          </w:tcPr>
          <w:p>
            <w:pPr>
              <w:spacing w:after="240"/>
              <w:rPr>
                <w:color w:val="auto"/>
                <w:szCs w:val="21"/>
                <w:highlight w:val="none"/>
              </w:rPr>
            </w:pPr>
            <w:r>
              <w:rPr>
                <w:rFonts w:hint="eastAsia"/>
                <w:color w:val="auto"/>
                <w:szCs w:val="21"/>
                <w:highlight w:val="none"/>
              </w:rPr>
              <w:t>签订时间：2025年  月  日</w:t>
            </w:r>
          </w:p>
        </w:tc>
        <w:tc>
          <w:tcPr>
            <w:tcW w:w="4520" w:type="dxa"/>
          </w:tcPr>
          <w:p>
            <w:pPr>
              <w:spacing w:after="240"/>
              <w:ind w:right="180"/>
              <w:rPr>
                <w:color w:val="auto"/>
                <w:szCs w:val="21"/>
                <w:highlight w:val="none"/>
              </w:rPr>
            </w:pPr>
            <w:r>
              <w:rPr>
                <w:rFonts w:hint="eastAsia"/>
                <w:color w:val="auto"/>
                <w:szCs w:val="21"/>
                <w:highlight w:val="none"/>
              </w:rPr>
              <w:t>签订时间：2025年  月  日</w:t>
            </w:r>
          </w:p>
        </w:tc>
      </w:tr>
    </w:tbl>
    <w:p>
      <w:pPr>
        <w:widowControl w:val="0"/>
        <w:jc w:val="both"/>
        <w:rPr>
          <w:rFonts w:ascii="Calibri" w:hAnsi="Calibri" w:cs="Times New Roman"/>
          <w:color w:val="auto"/>
          <w:kern w:val="2"/>
          <w:sz w:val="21"/>
          <w:szCs w:val="22"/>
          <w:highlight w:val="none"/>
        </w:rPr>
      </w:pPr>
    </w:p>
    <w:p>
      <w:pPr>
        <w:adjustRightInd w:val="0"/>
        <w:snapToGrid w:val="0"/>
        <w:spacing w:line="360" w:lineRule="auto"/>
        <w:rPr>
          <w:snapToGrid w:val="0"/>
          <w:color w:val="auto"/>
          <w:szCs w:val="21"/>
          <w:highlight w:val="none"/>
        </w:rPr>
      </w:pPr>
      <w:r>
        <w:rPr>
          <w:snapToGrid w:val="0"/>
          <w:color w:val="auto"/>
          <w:szCs w:val="21"/>
          <w:highlight w:val="none"/>
        </w:rPr>
        <w:fldChar w:fldCharType="begin"/>
      </w:r>
      <w:r>
        <w:rPr>
          <w:snapToGrid w:val="0"/>
          <w:color w:val="auto"/>
          <w:szCs w:val="21"/>
          <w:highlight w:val="none"/>
        </w:rPr>
        <w:instrText xml:space="preserve"> </w:instrText>
      </w:r>
      <w:r>
        <w:rPr>
          <w:rFonts w:hint="eastAsia"/>
          <w:snapToGrid w:val="0"/>
          <w:color w:val="auto"/>
          <w:szCs w:val="21"/>
          <w:highlight w:val="none"/>
        </w:rPr>
        <w:instrText xml:space="preserve">AUTOTEXT  补充条款 \* MERGEFORMAT</w:instrText>
      </w:r>
      <w:r>
        <w:rPr>
          <w:snapToGrid w:val="0"/>
          <w:color w:val="auto"/>
          <w:szCs w:val="21"/>
          <w:highlight w:val="none"/>
        </w:rPr>
        <w:instrText xml:space="preserve"> </w:instrText>
      </w:r>
      <w:r>
        <w:rPr>
          <w:snapToGrid w:val="0"/>
          <w:color w:val="auto"/>
          <w:szCs w:val="21"/>
          <w:highlight w:val="none"/>
        </w:rPr>
        <w:fldChar w:fldCharType="separate"/>
      </w:r>
      <w:r>
        <w:rPr>
          <w:snapToGrid w:val="0"/>
          <w:color w:val="auto"/>
          <w:szCs w:val="21"/>
          <w:highlight w:val="none"/>
        </w:rPr>
        <w:fldChar w:fldCharType="end"/>
      </w:r>
      <w:r>
        <w:rPr>
          <w:snapToGrid w:val="0"/>
          <w:color w:val="auto"/>
          <w:szCs w:val="21"/>
          <w:highlight w:val="none"/>
        </w:rPr>
        <w:br w:type="page"/>
      </w:r>
    </w:p>
    <w:p>
      <w:pPr>
        <w:spacing w:line="360" w:lineRule="auto"/>
        <w:jc w:val="center"/>
        <w:outlineLvl w:val="0"/>
        <w:rPr>
          <w:rFonts w:ascii="黑体" w:hAnsi="黑体" w:eastAsia="黑体"/>
          <w:color w:val="auto"/>
          <w:sz w:val="32"/>
          <w:highlight w:val="none"/>
        </w:rPr>
      </w:pPr>
      <w:bookmarkStart w:id="1149" w:name="_Toc27297"/>
      <w:bookmarkStart w:id="1150" w:name="_Toc11542"/>
      <w:bookmarkStart w:id="1151" w:name="_Toc31873"/>
      <w:bookmarkStart w:id="1152" w:name="_Toc24967"/>
      <w:bookmarkStart w:id="1153" w:name="_Toc30788"/>
      <w:r>
        <w:rPr>
          <w:rFonts w:hint="eastAsia" w:ascii="黑体" w:hAnsi="黑体" w:eastAsia="黑体"/>
          <w:color w:val="auto"/>
          <w:sz w:val="32"/>
          <w:highlight w:val="none"/>
        </w:rPr>
        <w:t>第五部分  其他附件</w:t>
      </w:r>
    </w:p>
    <w:p>
      <w:pPr>
        <w:outlineLvl w:val="1"/>
        <w:rPr>
          <w:rFonts w:ascii="Arial" w:hAnsi="Arial" w:eastAsia="KaiTi_GB2312" w:cs="Arial"/>
          <w:b/>
          <w:bCs/>
          <w:color w:val="auto"/>
          <w:szCs w:val="32"/>
          <w:highlight w:val="none"/>
          <w:lang w:val="sq-AL"/>
        </w:rPr>
      </w:pPr>
      <w:r>
        <w:rPr>
          <w:rFonts w:hint="eastAsia" w:ascii="Arial" w:hAnsi="Arial" w:eastAsia="KaiTi_GB2312" w:cs="Arial"/>
          <w:b/>
          <w:bCs/>
          <w:color w:val="auto"/>
          <w:szCs w:val="32"/>
          <w:highlight w:val="none"/>
          <w:lang w:val="sq-AL"/>
        </w:rPr>
        <w:t>附件</w:t>
      </w:r>
      <w:r>
        <w:rPr>
          <w:rFonts w:hint="eastAsia" w:ascii="Arial" w:hAnsi="Arial" w:eastAsia="KaiTi_GB2312" w:cs="Arial"/>
          <w:b/>
          <w:bCs/>
          <w:color w:val="auto"/>
          <w:szCs w:val="32"/>
          <w:highlight w:val="none"/>
        </w:rPr>
        <w:t>1</w:t>
      </w:r>
      <w:r>
        <w:rPr>
          <w:rFonts w:hint="eastAsia" w:ascii="Arial" w:hAnsi="Arial" w:eastAsia="KaiTi_GB2312" w:cs="Arial"/>
          <w:b/>
          <w:bCs/>
          <w:color w:val="auto"/>
          <w:szCs w:val="32"/>
          <w:highlight w:val="none"/>
          <w:lang w:val="sq-AL"/>
        </w:rPr>
        <w:t>：不可撤销的预付款保函</w:t>
      </w:r>
      <w:bookmarkEnd w:id="1149"/>
      <w:bookmarkEnd w:id="1150"/>
      <w:bookmarkEnd w:id="1151"/>
      <w:bookmarkEnd w:id="1152"/>
      <w:bookmarkEnd w:id="1153"/>
    </w:p>
    <w:p>
      <w:pPr>
        <w:ind w:firstLine="420"/>
        <w:rPr>
          <w:color w:val="auto"/>
          <w:szCs w:val="20"/>
          <w:highlight w:val="none"/>
          <w:lang w:val="sq-AL"/>
        </w:rPr>
      </w:pPr>
    </w:p>
    <w:p>
      <w:pPr>
        <w:snapToGrid w:val="0"/>
        <w:spacing w:line="345" w:lineRule="auto"/>
        <w:jc w:val="center"/>
        <w:rPr>
          <w:rFonts w:cs="Courier New"/>
          <w:b/>
          <w:bCs/>
          <w:iCs/>
          <w:color w:val="auto"/>
          <w:highlight w:val="none"/>
        </w:rPr>
      </w:pPr>
      <w:bookmarkStart w:id="1154" w:name="_Toc517531946"/>
      <w:bookmarkStart w:id="1155" w:name="_Toc517529708"/>
      <w:bookmarkStart w:id="1156" w:name="_Toc517528615"/>
      <w:bookmarkStart w:id="1157" w:name="_Toc405968565"/>
      <w:bookmarkStart w:id="1158" w:name="_Toc517530670"/>
      <w:r>
        <w:rPr>
          <w:rFonts w:hint="eastAsia" w:cs="Courier New"/>
          <w:b/>
          <w:iCs/>
          <w:color w:val="auto"/>
          <w:highlight w:val="none"/>
        </w:rPr>
        <w:t>不可撤销预付款保函</w:t>
      </w:r>
      <w:bookmarkEnd w:id="1154"/>
      <w:bookmarkEnd w:id="1155"/>
      <w:bookmarkEnd w:id="1156"/>
      <w:bookmarkEnd w:id="1157"/>
      <w:bookmarkEnd w:id="1158"/>
      <w:r>
        <w:rPr>
          <w:rFonts w:hint="eastAsia" w:cs="Courier New"/>
          <w:b/>
          <w:bCs/>
          <w:iCs/>
          <w:color w:val="auto"/>
          <w:highlight w:val="none"/>
        </w:rPr>
        <w:t>（格式）</w:t>
      </w:r>
    </w:p>
    <w:p>
      <w:pPr>
        <w:spacing w:line="360" w:lineRule="auto"/>
        <w:jc w:val="center"/>
        <w:rPr>
          <w:b/>
          <w:iCs/>
          <w:color w:val="auto"/>
          <w:highlight w:val="none"/>
        </w:rPr>
      </w:pPr>
    </w:p>
    <w:p>
      <w:pPr>
        <w:spacing w:line="360" w:lineRule="auto"/>
        <w:ind w:left="648" w:leftChars="270" w:right="-4" w:firstLine="5760" w:firstLineChars="2400"/>
        <w:rPr>
          <w:b/>
          <w:iCs/>
          <w:color w:val="auto"/>
          <w:highlight w:val="none"/>
        </w:rPr>
      </w:pPr>
      <w:r>
        <w:rPr>
          <w:rFonts w:hint="eastAsia"/>
          <w:iCs/>
          <w:color w:val="auto"/>
          <w:highlight w:val="none"/>
        </w:rPr>
        <w:t>编号：</w:t>
      </w:r>
    </w:p>
    <w:p>
      <w:pPr>
        <w:spacing w:line="360" w:lineRule="auto"/>
        <w:rPr>
          <w:iCs/>
          <w:color w:val="auto"/>
          <w:highlight w:val="none"/>
        </w:rPr>
      </w:pPr>
      <w:r>
        <w:rPr>
          <w:rFonts w:hint="eastAsia"/>
          <w:bCs/>
          <w:iCs/>
          <w:color w:val="auto"/>
          <w:highlight w:val="none"/>
        </w:rPr>
        <w:t>致（下称受益人）：</w:t>
      </w:r>
    </w:p>
    <w:p>
      <w:pPr>
        <w:spacing w:line="360" w:lineRule="auto"/>
        <w:ind w:firstLine="480" w:firstLineChars="200"/>
        <w:rPr>
          <w:iCs/>
          <w:color w:val="auto"/>
          <w:spacing w:val="-8"/>
          <w:highlight w:val="none"/>
        </w:rPr>
      </w:pPr>
      <w:r>
        <w:rPr>
          <w:rFonts w:hint="eastAsia"/>
          <w:iCs/>
          <w:color w:val="auto"/>
          <w:highlight w:val="none"/>
        </w:rPr>
        <w:t>鉴于（下称“被保证人”）同意与受益人签订的合同协议书。我行愿意出具保函为被保证人担保，担保金额为（与预付款等额）人民币（大写）</w:t>
      </w:r>
      <w:r>
        <w:rPr>
          <w:rFonts w:hint="eastAsia"/>
          <w:iCs/>
          <w:color w:val="auto"/>
          <w:spacing w:val="-8"/>
          <w:highlight w:val="none"/>
        </w:rPr>
        <w:t>元（小写）￥元。</w:t>
      </w:r>
    </w:p>
    <w:p>
      <w:pPr>
        <w:spacing w:line="360" w:lineRule="auto"/>
        <w:ind w:firstLine="480" w:firstLineChars="200"/>
        <w:rPr>
          <w:iCs/>
          <w:color w:val="auto"/>
          <w:highlight w:val="none"/>
        </w:rPr>
      </w:pPr>
      <w:r>
        <w:rPr>
          <w:rFonts w:hint="eastAsia"/>
          <w:iCs/>
          <w:color w:val="auto"/>
          <w:highlight w:val="none"/>
        </w:rPr>
        <w:t>本保函的义务是：本行在收到受益人提出的因被保证人在履行合同过程中未能履约或违背合同规定的责任和义务而要求索赔的书面通知和付款凭证后的</w:t>
      </w:r>
      <w:r>
        <w:rPr>
          <w:iCs/>
          <w:color w:val="auto"/>
          <w:highlight w:val="none"/>
        </w:rPr>
        <w:t>28天内，在上述担保金的限额内向受益人支付任何数量的金额，无须受益人出具证明或陈述理由，也无须受益人事先办理法律或行政手续。本行立即支付所要求的金额，决不拖迟。</w:t>
      </w:r>
    </w:p>
    <w:p>
      <w:pPr>
        <w:spacing w:line="360" w:lineRule="auto"/>
        <w:ind w:firstLine="480" w:firstLineChars="200"/>
        <w:rPr>
          <w:iCs/>
          <w:color w:val="auto"/>
          <w:highlight w:val="none"/>
        </w:rPr>
      </w:pPr>
      <w:r>
        <w:rPr>
          <w:rFonts w:hint="eastAsia"/>
          <w:iCs/>
          <w:color w:val="auto"/>
          <w:highlight w:val="none"/>
        </w:rPr>
        <w:t>本行并不坚持受益人向本行提出付款要求之前，首先应向被保证人索要上述欠款。</w:t>
      </w:r>
    </w:p>
    <w:p>
      <w:pPr>
        <w:spacing w:line="360" w:lineRule="auto"/>
        <w:ind w:firstLine="480" w:firstLineChars="200"/>
        <w:rPr>
          <w:iCs/>
          <w:color w:val="auto"/>
          <w:highlight w:val="none"/>
        </w:rPr>
      </w:pPr>
      <w:r>
        <w:rPr>
          <w:rFonts w:hint="eastAsia"/>
          <w:iCs/>
          <w:color w:val="auto"/>
          <w:highlight w:val="none"/>
        </w:rPr>
        <w:t>本行确认：合同条款的任何更改和修正，都不能免除本行根据本保函所应承担的责任。因此，我们并不坚持一定要得到有关上述更改、修正的通知。</w:t>
      </w:r>
    </w:p>
    <w:p>
      <w:pPr>
        <w:spacing w:line="360" w:lineRule="auto"/>
        <w:ind w:firstLine="240" w:firstLineChars="100"/>
        <w:rPr>
          <w:iCs/>
          <w:color w:val="auto"/>
          <w:highlight w:val="none"/>
        </w:rPr>
      </w:pPr>
      <w:r>
        <w:rPr>
          <w:rFonts w:hint="eastAsia"/>
          <w:iCs/>
          <w:color w:val="auto"/>
          <w:highlight w:val="none"/>
        </w:rPr>
        <w:t>本保函自我行签字盖章之日起生效，在担保金额支付完毕，或预付款按合同条款抵扣完毕之前，并在  年   月   日（合同中约定的竣工日期）前一直有效。</w:t>
      </w:r>
    </w:p>
    <w:p>
      <w:pPr>
        <w:spacing w:line="360" w:lineRule="auto"/>
        <w:ind w:firstLine="480" w:firstLineChars="200"/>
        <w:rPr>
          <w:iCs/>
          <w:color w:val="auto"/>
          <w:highlight w:val="none"/>
        </w:rPr>
      </w:pPr>
      <w:r>
        <w:rPr>
          <w:rFonts w:hint="eastAsia"/>
          <w:iCs/>
          <w:color w:val="auto"/>
          <w:highlight w:val="none"/>
        </w:rPr>
        <w:t>为此，本行签字盖章，以资证明。</w:t>
      </w:r>
    </w:p>
    <w:p>
      <w:pPr>
        <w:spacing w:line="360" w:lineRule="auto"/>
        <w:rPr>
          <w:iCs/>
          <w:color w:val="auto"/>
          <w:highlight w:val="none"/>
        </w:rPr>
      </w:pPr>
    </w:p>
    <w:p>
      <w:pPr>
        <w:spacing w:line="360" w:lineRule="auto"/>
        <w:ind w:firstLine="3360" w:firstLineChars="1400"/>
        <w:rPr>
          <w:iCs/>
          <w:color w:val="auto"/>
          <w:highlight w:val="none"/>
        </w:rPr>
      </w:pPr>
      <w:r>
        <w:rPr>
          <w:rFonts w:hint="eastAsia"/>
          <w:iCs/>
          <w:color w:val="auto"/>
          <w:highlight w:val="none"/>
        </w:rPr>
        <w:t>保证人：银行深圳市分行（盖章）</w:t>
      </w:r>
    </w:p>
    <w:p>
      <w:pPr>
        <w:spacing w:line="360" w:lineRule="auto"/>
        <w:ind w:firstLine="3360" w:firstLineChars="1400"/>
        <w:rPr>
          <w:iCs/>
          <w:color w:val="auto"/>
          <w:highlight w:val="none"/>
        </w:rPr>
      </w:pPr>
      <w:r>
        <w:rPr>
          <w:rFonts w:hint="eastAsia"/>
          <w:iCs/>
          <w:color w:val="auto"/>
          <w:highlight w:val="none"/>
        </w:rPr>
        <w:t>负责人或委托代理人：（签字或盖章）</w:t>
      </w:r>
    </w:p>
    <w:p>
      <w:pPr>
        <w:spacing w:line="360" w:lineRule="auto"/>
        <w:ind w:firstLine="3360" w:firstLineChars="1400"/>
        <w:rPr>
          <w:bCs/>
          <w:iCs/>
          <w:color w:val="auto"/>
          <w:highlight w:val="none"/>
        </w:rPr>
      </w:pPr>
      <w:r>
        <w:rPr>
          <w:rFonts w:hint="eastAsia"/>
          <w:bCs/>
          <w:iCs/>
          <w:color w:val="auto"/>
          <w:highlight w:val="none"/>
        </w:rPr>
        <w:t>银行地址：</w:t>
      </w:r>
    </w:p>
    <w:p>
      <w:pPr>
        <w:spacing w:line="360" w:lineRule="auto"/>
        <w:ind w:firstLine="3360" w:firstLineChars="1400"/>
        <w:rPr>
          <w:bCs/>
          <w:iCs/>
          <w:color w:val="auto"/>
          <w:highlight w:val="none"/>
        </w:rPr>
      </w:pPr>
      <w:r>
        <w:rPr>
          <w:rFonts w:hint="eastAsia"/>
          <w:bCs/>
          <w:iCs/>
          <w:color w:val="auto"/>
          <w:highlight w:val="none"/>
        </w:rPr>
        <w:t>邮编：</w:t>
      </w:r>
    </w:p>
    <w:p>
      <w:pPr>
        <w:spacing w:line="360" w:lineRule="auto"/>
        <w:ind w:firstLine="3360" w:firstLineChars="1400"/>
        <w:rPr>
          <w:bCs/>
          <w:iCs/>
          <w:color w:val="auto"/>
          <w:highlight w:val="none"/>
        </w:rPr>
      </w:pPr>
      <w:r>
        <w:rPr>
          <w:rFonts w:hint="eastAsia"/>
          <w:bCs/>
          <w:iCs/>
          <w:color w:val="auto"/>
          <w:highlight w:val="none"/>
        </w:rPr>
        <w:t>联系电话：</w:t>
      </w:r>
    </w:p>
    <w:p>
      <w:pPr>
        <w:spacing w:line="360" w:lineRule="auto"/>
        <w:ind w:firstLine="3360" w:firstLineChars="1400"/>
        <w:rPr>
          <w:bCs/>
          <w:iCs/>
          <w:color w:val="auto"/>
          <w:highlight w:val="none"/>
        </w:rPr>
      </w:pPr>
      <w:r>
        <w:rPr>
          <w:rFonts w:hint="eastAsia"/>
          <w:bCs/>
          <w:iCs/>
          <w:color w:val="auto"/>
          <w:highlight w:val="none"/>
        </w:rPr>
        <w:t>传真：</w:t>
      </w:r>
    </w:p>
    <w:p>
      <w:pPr>
        <w:spacing w:line="360" w:lineRule="auto"/>
        <w:ind w:firstLine="3360" w:firstLineChars="1400"/>
        <w:rPr>
          <w:bCs/>
          <w:i/>
          <w:iCs/>
          <w:color w:val="auto"/>
          <w:highlight w:val="none"/>
        </w:rPr>
      </w:pPr>
      <w:r>
        <w:rPr>
          <w:rFonts w:hint="eastAsia"/>
          <w:bCs/>
          <w:iCs/>
          <w:color w:val="auto"/>
          <w:highlight w:val="none"/>
        </w:rPr>
        <w:t>日期：    年   月   日</w:t>
      </w:r>
    </w:p>
    <w:p>
      <w:pPr>
        <w:rPr>
          <w:rFonts w:ascii="Arial" w:hAnsi="Arial" w:eastAsia="KaiTi_GB2312" w:cs="Arial"/>
          <w:b/>
          <w:bCs/>
          <w:color w:val="auto"/>
          <w:szCs w:val="32"/>
          <w:highlight w:val="none"/>
          <w:lang w:val="sq-AL"/>
        </w:rPr>
      </w:pPr>
      <w:r>
        <w:rPr>
          <w:rFonts w:hint="eastAsia" w:ascii="Arial" w:hAnsi="Arial" w:eastAsia="KaiTi_GB2312" w:cs="Arial"/>
          <w:b/>
          <w:bCs/>
          <w:color w:val="auto"/>
          <w:szCs w:val="32"/>
          <w:highlight w:val="none"/>
          <w:lang w:val="sq-AL"/>
        </w:rPr>
        <w:br w:type="page"/>
      </w:r>
    </w:p>
    <w:p>
      <w:pPr>
        <w:outlineLvl w:val="1"/>
        <w:rPr>
          <w:rFonts w:ascii="Arial" w:hAnsi="Arial" w:eastAsia="KaiTi_GB2312" w:cs="Arial"/>
          <w:b/>
          <w:bCs/>
          <w:color w:val="auto"/>
          <w:szCs w:val="32"/>
          <w:highlight w:val="none"/>
          <w:lang w:val="sq-AL"/>
        </w:rPr>
      </w:pPr>
      <w:r>
        <w:rPr>
          <w:rFonts w:hint="eastAsia" w:ascii="Arial" w:hAnsi="Arial" w:eastAsia="KaiTi_GB2312" w:cs="Arial"/>
          <w:b/>
          <w:bCs/>
          <w:color w:val="auto"/>
          <w:szCs w:val="32"/>
          <w:highlight w:val="none"/>
          <w:lang w:val="sq-AL"/>
        </w:rPr>
        <w:t>附件</w:t>
      </w:r>
      <w:r>
        <w:rPr>
          <w:rFonts w:hint="eastAsia" w:ascii="Arial" w:hAnsi="Arial" w:eastAsia="KaiTi_GB2312" w:cs="Arial"/>
          <w:b/>
          <w:bCs/>
          <w:color w:val="auto"/>
          <w:szCs w:val="32"/>
          <w:highlight w:val="none"/>
        </w:rPr>
        <w:t>2</w:t>
      </w:r>
      <w:r>
        <w:rPr>
          <w:rFonts w:hint="eastAsia" w:ascii="Arial" w:hAnsi="Arial" w:eastAsia="KaiTi_GB2312" w:cs="Arial"/>
          <w:b/>
          <w:bCs/>
          <w:color w:val="auto"/>
          <w:szCs w:val="32"/>
          <w:highlight w:val="none"/>
          <w:lang w:val="sq-AL"/>
        </w:rPr>
        <w:t>：</w:t>
      </w:r>
      <w:r>
        <w:rPr>
          <w:rFonts w:hint="eastAsia" w:ascii="Arial" w:hAnsi="Arial" w:eastAsia="KaiTi_GB2312" w:cs="Arial"/>
          <w:b/>
          <w:bCs/>
          <w:color w:val="auto"/>
          <w:szCs w:val="32"/>
          <w:highlight w:val="none"/>
        </w:rPr>
        <w:t>履约</w:t>
      </w:r>
      <w:r>
        <w:rPr>
          <w:rFonts w:hint="eastAsia" w:ascii="Arial" w:hAnsi="Arial" w:eastAsia="KaiTi_GB2312" w:cs="Arial"/>
          <w:b/>
          <w:bCs/>
          <w:color w:val="auto"/>
          <w:szCs w:val="32"/>
          <w:highlight w:val="none"/>
          <w:lang w:val="sq-AL"/>
        </w:rPr>
        <w:t>保函</w:t>
      </w:r>
    </w:p>
    <w:p>
      <w:pPr>
        <w:spacing w:after="312" w:afterLines="100" w:line="360" w:lineRule="atLeast"/>
        <w:jc w:val="center"/>
        <w:rPr>
          <w:rFonts w:ascii="华文细黑" w:eastAsia="华文细黑" w:cs="Courier New"/>
          <w:color w:val="auto"/>
          <w:sz w:val="32"/>
          <w:szCs w:val="32"/>
          <w:highlight w:val="none"/>
        </w:rPr>
      </w:pPr>
      <w:r>
        <w:rPr>
          <w:rFonts w:hint="eastAsia" w:ascii="华文细黑" w:eastAsia="华文细黑" w:cs="Courier New"/>
          <w:color w:val="auto"/>
          <w:sz w:val="32"/>
          <w:szCs w:val="32"/>
          <w:highlight w:val="none"/>
        </w:rPr>
        <w:t>不可撤销履约保函</w:t>
      </w:r>
      <w:r>
        <w:rPr>
          <w:rFonts w:hint="eastAsia" w:cs="Courier New"/>
          <w:b/>
          <w:bCs/>
          <w:iCs/>
          <w:color w:val="auto"/>
          <w:szCs w:val="21"/>
          <w:highlight w:val="none"/>
        </w:rPr>
        <w:t>（格式）</w:t>
      </w:r>
    </w:p>
    <w:p>
      <w:pPr>
        <w:spacing w:before="156" w:beforeLines="50" w:after="156" w:afterLines="50" w:line="360" w:lineRule="atLeast"/>
        <w:rPr>
          <w:rFonts w:hAnsi="Courier New" w:cs="Courier New"/>
          <w:color w:val="auto"/>
          <w:szCs w:val="21"/>
          <w:highlight w:val="none"/>
        </w:rPr>
      </w:pPr>
      <w:r>
        <w:rPr>
          <w:rFonts w:hint="eastAsia" w:hAnsi="Courier New" w:cs="Courier New"/>
          <w:color w:val="auto"/>
          <w:szCs w:val="21"/>
          <w:highlight w:val="none"/>
        </w:rPr>
        <w:t>致</w:t>
      </w:r>
      <w:r>
        <w:rPr>
          <w:rFonts w:hint="eastAsia" w:hAnsi="Courier New" w:cs="Courier New"/>
          <w:color w:val="auto"/>
          <w:szCs w:val="21"/>
          <w:highlight w:val="none"/>
          <w:u w:val="single"/>
        </w:rPr>
        <w:t xml:space="preserve">             </w:t>
      </w:r>
      <w:r>
        <w:rPr>
          <w:rFonts w:hint="eastAsia" w:hAnsi="Courier New" w:cs="Courier New"/>
          <w:color w:val="auto"/>
          <w:highlight w:val="none"/>
          <w:u w:val="single"/>
        </w:rPr>
        <w:t>（</w:t>
      </w:r>
      <w:r>
        <w:rPr>
          <w:rFonts w:hint="eastAsia" w:hAnsi="Courier New" w:cs="Courier New"/>
          <w:color w:val="auto"/>
          <w:szCs w:val="21"/>
          <w:highlight w:val="none"/>
        </w:rPr>
        <w:t>下称受益人)：</w:t>
      </w:r>
    </w:p>
    <w:p>
      <w:pPr>
        <w:spacing w:before="156" w:beforeLines="50" w:after="156" w:afterLines="50" w:line="360" w:lineRule="atLeast"/>
        <w:ind w:firstLine="482"/>
        <w:rPr>
          <w:rFonts w:hAnsi="Courier New" w:cs="Courier New"/>
          <w:color w:val="auto"/>
          <w:szCs w:val="21"/>
          <w:highlight w:val="none"/>
        </w:rPr>
      </w:pPr>
      <w:r>
        <w:rPr>
          <w:rFonts w:hint="eastAsia" w:hAnsi="Courier New" w:cs="Courier New"/>
          <w:color w:val="auto"/>
          <w:szCs w:val="21"/>
          <w:highlight w:val="none"/>
        </w:rPr>
        <w:t>鉴于</w:t>
      </w:r>
      <w:r>
        <w:rPr>
          <w:rFonts w:hint="eastAsia" w:hAnsi="Courier New" w:cs="Courier New"/>
          <w:color w:val="auto"/>
          <w:szCs w:val="21"/>
          <w:highlight w:val="none"/>
          <w:u w:val="single"/>
        </w:rPr>
        <w:t xml:space="preserve">                  </w:t>
      </w:r>
      <w:r>
        <w:rPr>
          <w:rFonts w:hint="eastAsia" w:hAnsi="Courier New" w:cs="Courier New"/>
          <w:color w:val="auto"/>
          <w:szCs w:val="21"/>
          <w:highlight w:val="none"/>
        </w:rPr>
        <w:t>(下称被保证人)已与贵方签订了</w:t>
      </w:r>
      <w:r>
        <w:rPr>
          <w:rFonts w:hint="eastAsia" w:hAnsi="Courier New" w:cs="Courier New"/>
          <w:color w:val="auto"/>
          <w:szCs w:val="21"/>
          <w:highlight w:val="none"/>
          <w:u w:val="single"/>
        </w:rPr>
        <w:t xml:space="preserve">               </w:t>
      </w:r>
      <w:r>
        <w:rPr>
          <w:rFonts w:hint="eastAsia" w:hAnsi="Courier New" w:cs="Courier New"/>
          <w:color w:val="auto"/>
          <w:highlight w:val="none"/>
        </w:rPr>
        <w:t>的合同（下称合同）。我方接受被保证人的委托，在此向受益人提供不可撤销的履约保证:</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一、本保证担保的最高担保金额为</w:t>
      </w:r>
      <w:r>
        <w:rPr>
          <w:rFonts w:hint="eastAsia" w:hAnsi="Courier New" w:cs="Courier New"/>
          <w:color w:val="auto"/>
          <w:szCs w:val="21"/>
          <w:highlight w:val="none"/>
          <w:u w:val="single"/>
        </w:rPr>
        <w:t xml:space="preserve"> 人民币 </w:t>
      </w:r>
      <w:r>
        <w:rPr>
          <w:rFonts w:hint="eastAsia" w:hAnsi="Courier New" w:cs="Courier New"/>
          <w:color w:val="auto"/>
          <w:szCs w:val="21"/>
          <w:highlight w:val="none"/>
        </w:rPr>
        <w:t>(币种)</w:t>
      </w:r>
      <w:r>
        <w:rPr>
          <w:rFonts w:hint="eastAsia" w:hAnsi="Courier New" w:cs="Courier New"/>
          <w:color w:val="auto"/>
          <w:szCs w:val="21"/>
          <w:highlight w:val="none"/>
          <w:u w:val="single"/>
        </w:rPr>
        <w:t xml:space="preserve">             </w:t>
      </w:r>
      <w:r>
        <w:rPr>
          <w:rFonts w:hint="eastAsia" w:hAnsi="Courier New" w:cs="Courier New"/>
          <w:color w:val="auto"/>
          <w:szCs w:val="21"/>
          <w:highlight w:val="none"/>
        </w:rPr>
        <w:t>元(小写)</w:t>
      </w:r>
      <w:r>
        <w:rPr>
          <w:rFonts w:hint="eastAsia" w:hAnsi="Courier New" w:cs="Courier New"/>
          <w:bCs/>
          <w:color w:val="auto"/>
          <w:szCs w:val="21"/>
          <w:highlight w:val="none"/>
          <w:u w:val="single"/>
        </w:rPr>
        <w:t xml:space="preserve">    </w:t>
      </w:r>
      <w:r>
        <w:rPr>
          <w:rFonts w:hint="eastAsia" w:hAnsi="Courier New" w:cs="Courier New"/>
          <w:color w:val="auto"/>
          <w:szCs w:val="21"/>
          <w:highlight w:val="none"/>
        </w:rPr>
        <w:t xml:space="preserve">(大写)。 </w:t>
      </w:r>
    </w:p>
    <w:p>
      <w:pPr>
        <w:ind w:right="480" w:firstLine="480"/>
        <w:rPr>
          <w:color w:val="auto"/>
          <w:highlight w:val="none"/>
        </w:rPr>
      </w:pPr>
      <w:r>
        <w:rPr>
          <w:rFonts w:hint="eastAsia"/>
          <w:color w:val="auto"/>
          <w:highlight w:val="none"/>
        </w:rPr>
        <w:t>二、本保函自我行负责人签字并加盖公章之日起生效，保函最终有效期不超过</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三、在本保证担保的保证期间内，我方将在收到受益人法定代表人或其授权委托代理人签字确认并加盖公章的书面索赔通知后</w:t>
      </w:r>
      <w:r>
        <w:rPr>
          <w:rFonts w:hint="eastAsia" w:hAnsi="Courier New" w:cs="Courier New"/>
          <w:color w:val="auto"/>
          <w:szCs w:val="21"/>
          <w:highlight w:val="none"/>
          <w:u w:val="single"/>
        </w:rPr>
        <w:t xml:space="preserve">     </w:t>
      </w:r>
      <w:r>
        <w:rPr>
          <w:rFonts w:hint="eastAsia" w:hAnsi="Courier New" w:cs="Courier New"/>
          <w:color w:val="auto"/>
          <w:szCs w:val="21"/>
          <w:highlight w:val="none"/>
        </w:rPr>
        <w:t>个工作日内，不争辩、不挑剔、不可撤销地向受益人支付索赔款，直至本保证担保的最高担保金额。</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四、索赔通知应当说明索赔理由、索赔款额的计算方法，并必须在本保证担保的保证期间内送达我方。</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五、本保证担保项下的权利不得转让。</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六、我方提供本保证担保后，受益人与被保证人对合同进行修订的，应当将修订后的合同原件送我方备案。</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七、本保证担保的保证期间届满，或我方向受益人支付的索赔款已达本保证担保的最高担保金额，我方的保证责任免除。</w:t>
      </w:r>
    </w:p>
    <w:p>
      <w:pPr>
        <w:spacing w:line="360" w:lineRule="atLeast"/>
        <w:ind w:firstLine="482"/>
        <w:rPr>
          <w:rFonts w:hAnsi="Courier New" w:cs="Courier New"/>
          <w:color w:val="auto"/>
          <w:szCs w:val="21"/>
          <w:highlight w:val="none"/>
        </w:rPr>
      </w:pPr>
      <w:r>
        <w:rPr>
          <w:rFonts w:hint="eastAsia" w:hAnsi="Courier New" w:cs="Courier New"/>
          <w:color w:val="auto"/>
          <w:szCs w:val="21"/>
          <w:highlight w:val="none"/>
        </w:rPr>
        <w:t>八、本保证担保适用中华人民共和国法律。</w:t>
      </w:r>
    </w:p>
    <w:p>
      <w:pPr>
        <w:spacing w:line="360" w:lineRule="atLeast"/>
        <w:ind w:firstLine="480" w:firstLineChars="200"/>
        <w:rPr>
          <w:rFonts w:hAnsi="Courier New" w:cs="Courier New"/>
          <w:bCs/>
          <w:color w:val="auto"/>
          <w:szCs w:val="21"/>
          <w:highlight w:val="none"/>
        </w:rPr>
      </w:pPr>
      <w:r>
        <w:rPr>
          <w:rFonts w:hint="eastAsia" w:hAnsi="Courier New" w:cs="Courier New"/>
          <w:color w:val="auto"/>
          <w:szCs w:val="21"/>
          <w:highlight w:val="none"/>
        </w:rPr>
        <w:t>九、本保证担保以中文文本为准，涂改无效。</w:t>
      </w:r>
    </w:p>
    <w:p>
      <w:pPr>
        <w:spacing w:line="360" w:lineRule="atLeast"/>
        <w:rPr>
          <w:rFonts w:hAnsi="Courier New" w:cs="Courier New"/>
          <w:color w:val="auto"/>
          <w:szCs w:val="21"/>
          <w:highlight w:val="none"/>
        </w:rPr>
      </w:pPr>
    </w:p>
    <w:p>
      <w:pPr>
        <w:spacing w:line="360" w:lineRule="atLeast"/>
        <w:ind w:firstLine="480" w:firstLineChars="200"/>
        <w:rPr>
          <w:rFonts w:hAnsi="Courier New" w:cs="Courier New"/>
          <w:color w:val="auto"/>
          <w:szCs w:val="21"/>
          <w:highlight w:val="none"/>
        </w:rPr>
      </w:pPr>
      <w:r>
        <w:rPr>
          <w:rFonts w:hint="eastAsia" w:hAnsi="Courier New" w:cs="Courier New"/>
          <w:color w:val="auto"/>
          <w:szCs w:val="21"/>
          <w:highlight w:val="none"/>
        </w:rPr>
        <w:t>保证人：</w:t>
      </w:r>
      <w:r>
        <w:rPr>
          <w:rFonts w:hint="eastAsia" w:hAnsi="Courier New" w:cs="Courier New"/>
          <w:color w:val="auto"/>
          <w:szCs w:val="21"/>
          <w:highlight w:val="none"/>
          <w:u w:val="single"/>
        </w:rPr>
        <w:t xml:space="preserve">                                 </w:t>
      </w:r>
      <w:r>
        <w:rPr>
          <w:rFonts w:hint="eastAsia" w:hAnsi="Courier New" w:cs="Courier New"/>
          <w:color w:val="auto"/>
          <w:szCs w:val="21"/>
          <w:highlight w:val="none"/>
        </w:rPr>
        <w:t>(盖章)</w:t>
      </w:r>
    </w:p>
    <w:p>
      <w:pPr>
        <w:spacing w:line="360" w:lineRule="atLeast"/>
        <w:rPr>
          <w:rFonts w:hAnsi="Courier New" w:cs="Courier New"/>
          <w:color w:val="auto"/>
          <w:szCs w:val="21"/>
          <w:highlight w:val="none"/>
          <w:u w:val="single"/>
        </w:rPr>
      </w:pPr>
      <w:r>
        <w:rPr>
          <w:rFonts w:hint="eastAsia" w:hAnsi="Courier New" w:cs="Courier New"/>
          <w:color w:val="auto"/>
          <w:szCs w:val="21"/>
          <w:highlight w:val="none"/>
        </w:rPr>
        <w:t xml:space="preserve">    法定代表人或其授权委托代理人(签字或盖章)：</w:t>
      </w:r>
      <w:r>
        <w:rPr>
          <w:rFonts w:hint="eastAsia" w:hAnsi="Courier New" w:cs="Courier New"/>
          <w:color w:val="auto"/>
          <w:szCs w:val="21"/>
          <w:highlight w:val="none"/>
          <w:u w:val="single"/>
        </w:rPr>
        <w:t xml:space="preserve">            </w:t>
      </w:r>
    </w:p>
    <w:p>
      <w:pPr>
        <w:spacing w:line="360" w:lineRule="atLeast"/>
        <w:rPr>
          <w:rFonts w:hAnsi="Courier New" w:cs="Courier New"/>
          <w:color w:val="auto"/>
          <w:szCs w:val="21"/>
          <w:highlight w:val="none"/>
          <w:u w:val="single"/>
        </w:rPr>
      </w:pPr>
      <w:r>
        <w:rPr>
          <w:rFonts w:hint="eastAsia" w:hAnsi="Courier New" w:cs="Courier New"/>
          <w:color w:val="auto"/>
          <w:szCs w:val="21"/>
          <w:highlight w:val="none"/>
        </w:rPr>
        <w:t xml:space="preserve">    单位地址：</w:t>
      </w:r>
      <w:r>
        <w:rPr>
          <w:rFonts w:hint="eastAsia" w:hAnsi="Courier New" w:cs="Courier New"/>
          <w:color w:val="auto"/>
          <w:szCs w:val="21"/>
          <w:highlight w:val="none"/>
          <w:u w:val="single"/>
        </w:rPr>
        <w:t xml:space="preserve">                              </w:t>
      </w:r>
    </w:p>
    <w:p>
      <w:pPr>
        <w:spacing w:line="360" w:lineRule="atLeast"/>
        <w:ind w:firstLine="482"/>
        <w:rPr>
          <w:rFonts w:hAnsi="Courier New" w:cs="Courier New"/>
          <w:color w:val="auto"/>
          <w:szCs w:val="21"/>
          <w:highlight w:val="none"/>
          <w:u w:val="single"/>
        </w:rPr>
      </w:pPr>
      <w:r>
        <w:rPr>
          <w:rFonts w:hint="eastAsia" w:hAnsi="Courier New" w:cs="Courier New"/>
          <w:color w:val="auto"/>
          <w:szCs w:val="21"/>
          <w:highlight w:val="none"/>
        </w:rPr>
        <w:t>邮政编码：</w:t>
      </w:r>
      <w:r>
        <w:rPr>
          <w:rFonts w:hint="eastAsia" w:hAnsi="Courier New" w:cs="Courier New"/>
          <w:color w:val="auto"/>
          <w:szCs w:val="21"/>
          <w:highlight w:val="none"/>
          <w:u w:val="single"/>
        </w:rPr>
        <w:t xml:space="preserve">          </w:t>
      </w:r>
      <w:r>
        <w:rPr>
          <w:rFonts w:hint="eastAsia" w:hAnsi="Courier New" w:cs="Courier New"/>
          <w:color w:val="auto"/>
          <w:szCs w:val="21"/>
          <w:highlight w:val="none"/>
        </w:rPr>
        <w:t>电话：</w:t>
      </w:r>
      <w:r>
        <w:rPr>
          <w:rFonts w:hint="eastAsia" w:hAnsi="Courier New" w:cs="Courier New"/>
          <w:color w:val="auto"/>
          <w:szCs w:val="21"/>
          <w:highlight w:val="none"/>
          <w:u w:val="single"/>
        </w:rPr>
        <w:t xml:space="preserve">          </w:t>
      </w:r>
      <w:r>
        <w:rPr>
          <w:rFonts w:hint="eastAsia" w:hAnsi="Courier New" w:cs="Courier New"/>
          <w:color w:val="auto"/>
          <w:szCs w:val="21"/>
          <w:highlight w:val="none"/>
        </w:rPr>
        <w:t>传真：</w:t>
      </w:r>
      <w:r>
        <w:rPr>
          <w:rFonts w:hint="eastAsia" w:hAnsi="Courier New" w:cs="Courier New"/>
          <w:color w:val="auto"/>
          <w:szCs w:val="21"/>
          <w:highlight w:val="none"/>
          <w:u w:val="single"/>
        </w:rPr>
        <w:t xml:space="preserve">           </w:t>
      </w:r>
    </w:p>
    <w:p>
      <w:pPr>
        <w:spacing w:line="360" w:lineRule="atLeast"/>
        <w:ind w:right="641" w:firstLine="480" w:firstLineChars="200"/>
        <w:rPr>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60" w:lineRule="atLeast"/>
        <w:ind w:right="641" w:firstLine="480" w:firstLineChars="200"/>
        <w:rPr>
          <w:color w:val="auto"/>
          <w:highlight w:val="none"/>
        </w:rPr>
      </w:pPr>
    </w:p>
    <w:p>
      <w:pPr>
        <w:spacing w:line="360" w:lineRule="atLeast"/>
        <w:jc w:val="center"/>
        <w:rPr>
          <w:color w:val="auto"/>
          <w:highlight w:val="none"/>
        </w:rPr>
      </w:pPr>
      <w:r>
        <w:rPr>
          <w:rFonts w:hint="eastAsia"/>
          <w:color w:val="auto"/>
          <w:highlight w:val="none"/>
        </w:rPr>
        <w:t>(本保函失效后，请将原件退回我方注销)</w:t>
      </w:r>
    </w:p>
    <w:p>
      <w:pPr>
        <w:widowControl w:val="0"/>
        <w:jc w:val="both"/>
        <w:rPr>
          <w:rFonts w:asciiTheme="minorHAnsi" w:hAnsiTheme="minorHAnsi" w:eastAsiaTheme="minorEastAsia" w:cstheme="minorBidi"/>
          <w:color w:val="auto"/>
          <w:kern w:val="2"/>
          <w:sz w:val="21"/>
          <w:szCs w:val="22"/>
          <w:highlight w:val="none"/>
        </w:rPr>
      </w:pPr>
    </w:p>
    <w:p>
      <w:pPr>
        <w:outlineLvl w:val="1"/>
        <w:rPr>
          <w:rFonts w:eastAsia="KaiTi_GB2312"/>
          <w:color w:val="auto"/>
          <w:highlight w:val="none"/>
        </w:rPr>
      </w:pPr>
      <w:r>
        <w:rPr>
          <w:rFonts w:hint="eastAsia" w:ascii="Arial" w:hAnsi="Arial" w:eastAsia="KaiTi_GB2312" w:cs="Arial"/>
          <w:b/>
          <w:bCs/>
          <w:color w:val="auto"/>
          <w:szCs w:val="32"/>
          <w:highlight w:val="none"/>
          <w:lang w:val="sq-AL"/>
        </w:rPr>
        <w:t>附件</w:t>
      </w:r>
      <w:r>
        <w:rPr>
          <w:rFonts w:hint="eastAsia" w:ascii="Arial" w:hAnsi="Arial" w:eastAsia="KaiTi_GB2312" w:cs="Arial"/>
          <w:b/>
          <w:bCs/>
          <w:color w:val="auto"/>
          <w:szCs w:val="32"/>
          <w:highlight w:val="none"/>
        </w:rPr>
        <w:t>3</w:t>
      </w:r>
      <w:r>
        <w:rPr>
          <w:rFonts w:hint="eastAsia" w:ascii="Arial" w:hAnsi="Arial" w:eastAsia="KaiTi_GB2312" w:cs="Arial"/>
          <w:b/>
          <w:bCs/>
          <w:color w:val="auto"/>
          <w:szCs w:val="32"/>
          <w:highlight w:val="none"/>
          <w:lang w:val="sq-AL"/>
        </w:rPr>
        <w:t>：投标报价书及控制价清单</w:t>
      </w:r>
      <w:r>
        <w:rPr>
          <w:rFonts w:hint="eastAsia" w:ascii="Arial" w:hAnsi="Arial" w:eastAsia="KaiTi_GB2312" w:cs="Arial"/>
          <w:b/>
          <w:bCs/>
          <w:color w:val="auto"/>
          <w:szCs w:val="32"/>
          <w:highlight w:val="none"/>
        </w:rPr>
        <w:t>-另册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decorative"/>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FangSong_GB2312">
    <w:altName w:val="仿宋_GB2312"/>
    <w:panose1 w:val="0201060903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rPr>
                            <w:t>195</w:t>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rPr>
                      <w:t>195</w:t>
                    </w:r>
                    <w:r>
                      <w:rPr>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- 124 -</w:t>
                          </w:r>
                          <w:r>
                            <w:rPr>
                              <w:sz w:val="21"/>
                              <w:szCs w:val="21"/>
                            </w:rPr>
                            <w:fldChar w:fldCharType="end"/>
                          </w:r>
                          <w:r>
                            <w:rPr>
                              <w:sz w:val="21"/>
                              <w:szCs w:val="21"/>
                            </w:rPr>
                            <w:t xml:space="preserve"> 页 共 </w:t>
                          </w:r>
                          <w:r>
                            <w:rPr>
                              <w:rFonts w:hint="eastAsia"/>
                              <w:sz w:val="21"/>
                              <w:szCs w:val="21"/>
                            </w:rPr>
                            <w:t>195</w:t>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- 124 -</w:t>
                    </w:r>
                    <w:r>
                      <w:rPr>
                        <w:sz w:val="21"/>
                        <w:szCs w:val="21"/>
                      </w:rPr>
                      <w:fldChar w:fldCharType="end"/>
                    </w:r>
                    <w:r>
                      <w:rPr>
                        <w:sz w:val="21"/>
                        <w:szCs w:val="21"/>
                      </w:rPr>
                      <w:t xml:space="preserve"> 页 共 </w:t>
                    </w:r>
                    <w:r>
                      <w:rPr>
                        <w:rFonts w:hint="eastAsia"/>
                        <w:sz w:val="21"/>
                        <w:szCs w:val="21"/>
                      </w:rPr>
                      <w:t>195</w:t>
                    </w:r>
                    <w:r>
                      <w:rPr>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ind w:firstLine="360"/>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- 128 -</w:t>
                          </w:r>
                          <w:r>
                            <w:rPr>
                              <w:sz w:val="21"/>
                              <w:szCs w:val="21"/>
                            </w:rPr>
                            <w:fldChar w:fldCharType="end"/>
                          </w:r>
                          <w:r>
                            <w:rPr>
                              <w:sz w:val="21"/>
                              <w:szCs w:val="21"/>
                            </w:rPr>
                            <w:t xml:space="preserve"> 页 共 </w:t>
                          </w:r>
                          <w:r>
                            <w:rPr>
                              <w:rFonts w:hint="eastAsia"/>
                              <w:sz w:val="21"/>
                              <w:szCs w:val="21"/>
                            </w:rPr>
                            <w:t>195</w:t>
                          </w:r>
                          <w:r>
                            <w:rPr>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kyfDfTAQAApgMAAA4AAAAAAAAAAQAgAAAAHwEA&#10;AGRycy9lMm9Eb2MueG1sUEsFBgAAAAAGAAYAWQEAAGQFAAAAAA==&#10;">
              <v:fill on="f" focussize="0,0"/>
              <v:stroke on="f" weight="0.5pt"/>
              <v:imagedata o:title=""/>
              <o:lock v:ext="edit" aspectratio="f"/>
              <v:textbox inset="0mm,0mm,0mm,0mm" style="mso-fit-shape-to-text:t;">
                <w:txbxContent>
                  <w:p>
                    <w:pPr>
                      <w:snapToGrid w:val="0"/>
                      <w:ind w:firstLine="360"/>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- 128 -</w:t>
                    </w:r>
                    <w:r>
                      <w:rPr>
                        <w:sz w:val="21"/>
                        <w:szCs w:val="21"/>
                      </w:rPr>
                      <w:fldChar w:fldCharType="end"/>
                    </w:r>
                    <w:r>
                      <w:rPr>
                        <w:sz w:val="21"/>
                        <w:szCs w:val="21"/>
                      </w:rPr>
                      <w:t xml:space="preserve"> 页 共 </w:t>
                    </w:r>
                    <w:r>
                      <w:rPr>
                        <w:rFonts w:hint="eastAsia"/>
                        <w:sz w:val="21"/>
                        <w:szCs w:val="21"/>
                      </w:rPr>
                      <w:t>195</w:t>
                    </w:r>
                    <w:r>
                      <w:rPr>
                        <w:sz w:val="21"/>
                        <w:szCs w:val="21"/>
                      </w:rPr>
                      <w:t xml:space="preserve"> 页</w:t>
                    </w:r>
                  </w:p>
                </w:txbxContent>
              </v:textbox>
            </v:shape>
          </w:pict>
        </mc:Fallback>
      </mc:AlternateContent>
    </w:r>
  </w:p>
  <w:p>
    <w:pPr>
      <w:snapToGrid w:val="0"/>
      <w:ind w:firstLine="36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7EEDB"/>
    <w:multiLevelType w:val="multilevel"/>
    <w:tmpl w:val="BAE7EEDB"/>
    <w:lvl w:ilvl="0" w:tentative="0">
      <w:start w:val="1"/>
      <w:numFmt w:val="chineseCounting"/>
      <w:pStyle w:val="4"/>
      <w:suff w:val="nothing"/>
      <w:lvlText w:val="%1、"/>
      <w:lvlJc w:val="left"/>
      <w:pPr>
        <w:tabs>
          <w:tab w:val="left" w:pos="0"/>
        </w:tabs>
        <w:ind w:left="420" w:firstLine="0"/>
      </w:pPr>
      <w:rPr>
        <w:rFonts w:hint="eastAsia"/>
      </w:rPr>
    </w:lvl>
    <w:lvl w:ilvl="1" w:tentative="0">
      <w:start w:val="1"/>
      <w:numFmt w:val="chineseCounting"/>
      <w:pStyle w:val="5"/>
      <w:suff w:val="nothing"/>
      <w:lvlText w:val="（%2）"/>
      <w:lvlJc w:val="left"/>
      <w:pPr>
        <w:ind w:left="420" w:firstLine="0"/>
      </w:pPr>
      <w:rPr>
        <w:rFonts w:hint="eastAsia"/>
      </w:rPr>
    </w:lvl>
    <w:lvl w:ilvl="2" w:tentative="0">
      <w:start w:val="1"/>
      <w:numFmt w:val="decimal"/>
      <w:pStyle w:val="6"/>
      <w:suff w:val="nothing"/>
      <w:lvlText w:val="%3．"/>
      <w:lvlJc w:val="left"/>
      <w:pPr>
        <w:ind w:left="420" w:firstLine="400"/>
      </w:pPr>
      <w:rPr>
        <w:rFonts w:hint="eastAsia"/>
      </w:rPr>
    </w:lvl>
    <w:lvl w:ilvl="3" w:tentative="0">
      <w:start w:val="1"/>
      <w:numFmt w:val="decimal"/>
      <w:pStyle w:val="7"/>
      <w:suff w:val="nothing"/>
      <w:lvlText w:val="（%4）"/>
      <w:lvlJc w:val="left"/>
      <w:pPr>
        <w:ind w:left="420" w:firstLine="402"/>
      </w:pPr>
      <w:rPr>
        <w:rFonts w:hint="eastAsia"/>
      </w:rPr>
    </w:lvl>
    <w:lvl w:ilvl="4" w:tentative="0">
      <w:start w:val="1"/>
      <w:numFmt w:val="decimalEnclosedCircleChinese"/>
      <w:pStyle w:val="8"/>
      <w:suff w:val="nothing"/>
      <w:lvlText w:val="%5"/>
      <w:lvlJc w:val="left"/>
      <w:pPr>
        <w:ind w:left="420" w:firstLine="402"/>
      </w:pPr>
      <w:rPr>
        <w:rFonts w:hint="eastAsia"/>
      </w:rPr>
    </w:lvl>
    <w:lvl w:ilvl="5" w:tentative="0">
      <w:start w:val="1"/>
      <w:numFmt w:val="decimal"/>
      <w:pStyle w:val="9"/>
      <w:suff w:val="nothing"/>
      <w:lvlText w:val="%6）"/>
      <w:lvlJc w:val="left"/>
      <w:pPr>
        <w:ind w:left="420" w:firstLine="402"/>
      </w:pPr>
      <w:rPr>
        <w:rFonts w:hint="eastAsia"/>
      </w:rPr>
    </w:lvl>
    <w:lvl w:ilvl="6" w:tentative="0">
      <w:start w:val="1"/>
      <w:numFmt w:val="lowerLetter"/>
      <w:pStyle w:val="10"/>
      <w:suff w:val="nothing"/>
      <w:lvlText w:val="%7．"/>
      <w:lvlJc w:val="left"/>
      <w:pPr>
        <w:ind w:left="420" w:firstLine="402"/>
      </w:pPr>
      <w:rPr>
        <w:rFonts w:hint="eastAsia"/>
      </w:rPr>
    </w:lvl>
    <w:lvl w:ilvl="7" w:tentative="0">
      <w:start w:val="1"/>
      <w:numFmt w:val="lowerLetter"/>
      <w:pStyle w:val="11"/>
      <w:suff w:val="nothing"/>
      <w:lvlText w:val="%8）"/>
      <w:lvlJc w:val="left"/>
      <w:pPr>
        <w:ind w:left="420" w:firstLine="402"/>
      </w:pPr>
      <w:rPr>
        <w:rFonts w:hint="eastAsia"/>
      </w:rPr>
    </w:lvl>
    <w:lvl w:ilvl="8" w:tentative="0">
      <w:start w:val="1"/>
      <w:numFmt w:val="lowerRoman"/>
      <w:pStyle w:val="12"/>
      <w:suff w:val="nothing"/>
      <w:lvlText w:val="%9 "/>
      <w:lvlJc w:val="left"/>
      <w:pPr>
        <w:ind w:left="420" w:firstLine="402"/>
      </w:pPr>
      <w:rPr>
        <w:rFonts w:hint="eastAsia"/>
      </w:rPr>
    </w:lvl>
  </w:abstractNum>
  <w:abstractNum w:abstractNumId="1">
    <w:nsid w:val="E6AC358B"/>
    <w:multiLevelType w:val="singleLevel"/>
    <w:tmpl w:val="E6AC358B"/>
    <w:lvl w:ilvl="0" w:tentative="0">
      <w:start w:val="1"/>
      <w:numFmt w:val="decimal"/>
      <w:lvlText w:val="%1."/>
      <w:lvlJc w:val="left"/>
      <w:pPr>
        <w:ind w:left="425" w:hanging="425"/>
      </w:pPr>
      <w:rPr>
        <w:rFonts w:hint="default"/>
      </w:rPr>
    </w:lvl>
  </w:abstractNum>
  <w:abstractNum w:abstractNumId="2">
    <w:nsid w:val="EC6DBC11"/>
    <w:multiLevelType w:val="singleLevel"/>
    <w:tmpl w:val="EC6DBC11"/>
    <w:lvl w:ilvl="0" w:tentative="0">
      <w:start w:val="1"/>
      <w:numFmt w:val="decimal"/>
      <w:lvlText w:val="%1"/>
      <w:lvlJc w:val="left"/>
      <w:pPr>
        <w:tabs>
          <w:tab w:val="left" w:pos="420"/>
        </w:tabs>
        <w:ind w:left="425" w:hanging="425"/>
      </w:pPr>
      <w:rPr>
        <w:rFonts w:hint="default"/>
      </w:rPr>
    </w:lvl>
  </w:abstractNum>
  <w:abstractNum w:abstractNumId="3">
    <w:nsid w:val="F1388472"/>
    <w:multiLevelType w:val="singleLevel"/>
    <w:tmpl w:val="F1388472"/>
    <w:lvl w:ilvl="0" w:tentative="0">
      <w:start w:val="1"/>
      <w:numFmt w:val="decimal"/>
      <w:lvlText w:val="%1"/>
      <w:lvlJc w:val="left"/>
      <w:pPr>
        <w:tabs>
          <w:tab w:val="left" w:pos="420"/>
        </w:tabs>
        <w:ind w:left="425" w:hanging="425"/>
      </w:pPr>
      <w:rPr>
        <w:rFonts w:hint="default"/>
      </w:rPr>
    </w:lvl>
  </w:abstractNum>
  <w:abstractNum w:abstractNumId="4">
    <w:nsid w:val="F3B30506"/>
    <w:multiLevelType w:val="singleLevel"/>
    <w:tmpl w:val="F3B30506"/>
    <w:lvl w:ilvl="0" w:tentative="0">
      <w:start w:val="1"/>
      <w:numFmt w:val="decimal"/>
      <w:lvlText w:val="%1"/>
      <w:lvlJc w:val="left"/>
      <w:pPr>
        <w:tabs>
          <w:tab w:val="left" w:pos="420"/>
        </w:tabs>
        <w:ind w:left="425" w:hanging="425"/>
      </w:pPr>
      <w:rPr>
        <w:rFonts w:hint="default"/>
      </w:rPr>
    </w:lvl>
  </w:abstractNum>
  <w:abstractNum w:abstractNumId="5">
    <w:nsid w:val="075A21D3"/>
    <w:multiLevelType w:val="singleLevel"/>
    <w:tmpl w:val="075A21D3"/>
    <w:lvl w:ilvl="0" w:tentative="0">
      <w:start w:val="1"/>
      <w:numFmt w:val="decimal"/>
      <w:lvlText w:val="%1."/>
      <w:lvlJc w:val="left"/>
      <w:pPr>
        <w:ind w:left="425" w:hanging="425"/>
      </w:pPr>
      <w:rPr>
        <w:rFonts w:hint="default"/>
      </w:rPr>
    </w:lvl>
  </w:abstractNum>
  <w:abstractNum w:abstractNumId="6">
    <w:nsid w:val="194A5836"/>
    <w:multiLevelType w:val="multilevel"/>
    <w:tmpl w:val="194A5836"/>
    <w:lvl w:ilvl="0" w:tentative="0">
      <w:start w:val="1"/>
      <w:numFmt w:val="decimalEnclosedCircle"/>
      <w:lvlText w:val="%1"/>
      <w:lvlJc w:val="left"/>
      <w:pPr>
        <w:ind w:left="1739" w:hanging="360"/>
      </w:pPr>
      <w:rPr>
        <w:rFonts w:hint="default"/>
      </w:rPr>
    </w:lvl>
    <w:lvl w:ilvl="1" w:tentative="0">
      <w:start w:val="1"/>
      <w:numFmt w:val="lowerLetter"/>
      <w:lvlText w:val="%2)"/>
      <w:lvlJc w:val="left"/>
      <w:pPr>
        <w:ind w:left="2219" w:hanging="420"/>
      </w:pPr>
    </w:lvl>
    <w:lvl w:ilvl="2" w:tentative="0">
      <w:start w:val="1"/>
      <w:numFmt w:val="lowerRoman"/>
      <w:lvlText w:val="%3."/>
      <w:lvlJc w:val="right"/>
      <w:pPr>
        <w:ind w:left="2639" w:hanging="420"/>
      </w:pPr>
    </w:lvl>
    <w:lvl w:ilvl="3" w:tentative="0">
      <w:start w:val="1"/>
      <w:numFmt w:val="decimal"/>
      <w:lvlText w:val="%4."/>
      <w:lvlJc w:val="left"/>
      <w:pPr>
        <w:ind w:left="3059" w:hanging="420"/>
      </w:pPr>
    </w:lvl>
    <w:lvl w:ilvl="4" w:tentative="0">
      <w:start w:val="1"/>
      <w:numFmt w:val="lowerLetter"/>
      <w:lvlText w:val="%5)"/>
      <w:lvlJc w:val="left"/>
      <w:pPr>
        <w:ind w:left="3479" w:hanging="420"/>
      </w:pPr>
    </w:lvl>
    <w:lvl w:ilvl="5" w:tentative="0">
      <w:start w:val="1"/>
      <w:numFmt w:val="lowerRoman"/>
      <w:lvlText w:val="%6."/>
      <w:lvlJc w:val="right"/>
      <w:pPr>
        <w:ind w:left="3899" w:hanging="420"/>
      </w:pPr>
    </w:lvl>
    <w:lvl w:ilvl="6" w:tentative="0">
      <w:start w:val="1"/>
      <w:numFmt w:val="decimal"/>
      <w:lvlText w:val="%7."/>
      <w:lvlJc w:val="left"/>
      <w:pPr>
        <w:ind w:left="4319" w:hanging="420"/>
      </w:pPr>
    </w:lvl>
    <w:lvl w:ilvl="7" w:tentative="0">
      <w:start w:val="1"/>
      <w:numFmt w:val="lowerLetter"/>
      <w:lvlText w:val="%8)"/>
      <w:lvlJc w:val="left"/>
      <w:pPr>
        <w:ind w:left="4739" w:hanging="420"/>
      </w:pPr>
    </w:lvl>
    <w:lvl w:ilvl="8" w:tentative="0">
      <w:start w:val="1"/>
      <w:numFmt w:val="lowerRoman"/>
      <w:lvlText w:val="%9."/>
      <w:lvlJc w:val="right"/>
      <w:pPr>
        <w:ind w:left="5159" w:hanging="420"/>
      </w:pPr>
    </w:lvl>
  </w:abstractNum>
  <w:abstractNum w:abstractNumId="7">
    <w:nsid w:val="36F170F3"/>
    <w:multiLevelType w:val="multilevel"/>
    <w:tmpl w:val="36F170F3"/>
    <w:lvl w:ilvl="0" w:tentative="0">
      <w:start w:val="1"/>
      <w:numFmt w:val="decimalEnclosedCircle"/>
      <w:lvlText w:val="%1"/>
      <w:lvlJc w:val="left"/>
      <w:pPr>
        <w:ind w:left="1439" w:hanging="360"/>
      </w:pPr>
      <w:rPr>
        <w:rFonts w:hint="default"/>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num w:numId="1">
    <w:abstractNumId w:val="0"/>
  </w:num>
  <w:num w:numId="2">
    <w:abstractNumId w:val="6"/>
  </w:num>
  <w:num w:numId="3">
    <w:abstractNumId w:val="7"/>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wOWE4MjE4ZTRiMTA4NzNlMjhmMGMwNDA5NDRkMDUifQ=="/>
  </w:docVars>
  <w:rsids>
    <w:rsidRoot w:val="00172A27"/>
    <w:rsid w:val="000457A8"/>
    <w:rsid w:val="00052D68"/>
    <w:rsid w:val="00077758"/>
    <w:rsid w:val="00083A0D"/>
    <w:rsid w:val="000E3DD3"/>
    <w:rsid w:val="001039BE"/>
    <w:rsid w:val="00150281"/>
    <w:rsid w:val="00151623"/>
    <w:rsid w:val="00172A27"/>
    <w:rsid w:val="001A73FF"/>
    <w:rsid w:val="001E1D27"/>
    <w:rsid w:val="001F7D48"/>
    <w:rsid w:val="002058E2"/>
    <w:rsid w:val="002115EA"/>
    <w:rsid w:val="00232F5D"/>
    <w:rsid w:val="0025376E"/>
    <w:rsid w:val="0025627E"/>
    <w:rsid w:val="00276893"/>
    <w:rsid w:val="002978D0"/>
    <w:rsid w:val="002A23AE"/>
    <w:rsid w:val="002B661C"/>
    <w:rsid w:val="002C3DE9"/>
    <w:rsid w:val="00337ABD"/>
    <w:rsid w:val="0034182E"/>
    <w:rsid w:val="0044039B"/>
    <w:rsid w:val="00443E5A"/>
    <w:rsid w:val="00454C6F"/>
    <w:rsid w:val="0051388F"/>
    <w:rsid w:val="005269F9"/>
    <w:rsid w:val="005E65C4"/>
    <w:rsid w:val="00630401"/>
    <w:rsid w:val="006343DC"/>
    <w:rsid w:val="0069329B"/>
    <w:rsid w:val="007D5C65"/>
    <w:rsid w:val="007F5A39"/>
    <w:rsid w:val="0087525F"/>
    <w:rsid w:val="008C38DC"/>
    <w:rsid w:val="00922632"/>
    <w:rsid w:val="00944CFA"/>
    <w:rsid w:val="00970512"/>
    <w:rsid w:val="009739E9"/>
    <w:rsid w:val="00994489"/>
    <w:rsid w:val="009C421E"/>
    <w:rsid w:val="009D679A"/>
    <w:rsid w:val="009E2DEE"/>
    <w:rsid w:val="00A30EBE"/>
    <w:rsid w:val="00B166F3"/>
    <w:rsid w:val="00B17432"/>
    <w:rsid w:val="00B57EF9"/>
    <w:rsid w:val="00B72022"/>
    <w:rsid w:val="00B74E25"/>
    <w:rsid w:val="00C57547"/>
    <w:rsid w:val="00C861A6"/>
    <w:rsid w:val="00C94195"/>
    <w:rsid w:val="00CA4743"/>
    <w:rsid w:val="00CC4C16"/>
    <w:rsid w:val="00CD0FD2"/>
    <w:rsid w:val="00D034C2"/>
    <w:rsid w:val="00E01EC0"/>
    <w:rsid w:val="00E31D65"/>
    <w:rsid w:val="00E543EC"/>
    <w:rsid w:val="00E817C1"/>
    <w:rsid w:val="00E917FE"/>
    <w:rsid w:val="00E9291C"/>
    <w:rsid w:val="00EC7028"/>
    <w:rsid w:val="00ED44B6"/>
    <w:rsid w:val="00EF6B26"/>
    <w:rsid w:val="00F0361D"/>
    <w:rsid w:val="00F42E1C"/>
    <w:rsid w:val="00FA1B39"/>
    <w:rsid w:val="021E7943"/>
    <w:rsid w:val="026A6177"/>
    <w:rsid w:val="02704491"/>
    <w:rsid w:val="05372516"/>
    <w:rsid w:val="059454B6"/>
    <w:rsid w:val="0610279A"/>
    <w:rsid w:val="08035AED"/>
    <w:rsid w:val="09972933"/>
    <w:rsid w:val="0BA06EDB"/>
    <w:rsid w:val="0CE573FD"/>
    <w:rsid w:val="0DBF7C0E"/>
    <w:rsid w:val="0E455334"/>
    <w:rsid w:val="0FBF21D3"/>
    <w:rsid w:val="11901C10"/>
    <w:rsid w:val="13035138"/>
    <w:rsid w:val="130B37F8"/>
    <w:rsid w:val="13304B02"/>
    <w:rsid w:val="133470EC"/>
    <w:rsid w:val="13A72147"/>
    <w:rsid w:val="1A5B751E"/>
    <w:rsid w:val="1AB46DBA"/>
    <w:rsid w:val="1AF966D6"/>
    <w:rsid w:val="1E230AC3"/>
    <w:rsid w:val="1E886E13"/>
    <w:rsid w:val="1ECB7B56"/>
    <w:rsid w:val="1F5C6592"/>
    <w:rsid w:val="209307B2"/>
    <w:rsid w:val="20A76997"/>
    <w:rsid w:val="22CE2EB6"/>
    <w:rsid w:val="24096FD5"/>
    <w:rsid w:val="26057355"/>
    <w:rsid w:val="29032ED5"/>
    <w:rsid w:val="2AAF214A"/>
    <w:rsid w:val="2B537662"/>
    <w:rsid w:val="2B717FD3"/>
    <w:rsid w:val="2C19733F"/>
    <w:rsid w:val="31F218E2"/>
    <w:rsid w:val="3239472F"/>
    <w:rsid w:val="33215E2D"/>
    <w:rsid w:val="35CC1C5E"/>
    <w:rsid w:val="36086F35"/>
    <w:rsid w:val="385A4859"/>
    <w:rsid w:val="38B026A2"/>
    <w:rsid w:val="38B65DD8"/>
    <w:rsid w:val="3A475EA3"/>
    <w:rsid w:val="3BC42D37"/>
    <w:rsid w:val="3D20272D"/>
    <w:rsid w:val="409D068E"/>
    <w:rsid w:val="4150025F"/>
    <w:rsid w:val="42885837"/>
    <w:rsid w:val="429B751C"/>
    <w:rsid w:val="43C14FF1"/>
    <w:rsid w:val="4539403E"/>
    <w:rsid w:val="45C40FD8"/>
    <w:rsid w:val="4A885313"/>
    <w:rsid w:val="4AEE787E"/>
    <w:rsid w:val="4D0A7A72"/>
    <w:rsid w:val="4D9951EF"/>
    <w:rsid w:val="4FDC53AE"/>
    <w:rsid w:val="504B62B2"/>
    <w:rsid w:val="50B22BFA"/>
    <w:rsid w:val="53695BC1"/>
    <w:rsid w:val="54B50F26"/>
    <w:rsid w:val="55F2062B"/>
    <w:rsid w:val="56160664"/>
    <w:rsid w:val="575E0263"/>
    <w:rsid w:val="57A23F4A"/>
    <w:rsid w:val="5875412F"/>
    <w:rsid w:val="5A7220E9"/>
    <w:rsid w:val="5AD619B9"/>
    <w:rsid w:val="5B1E5527"/>
    <w:rsid w:val="5B562DED"/>
    <w:rsid w:val="5E745767"/>
    <w:rsid w:val="61433363"/>
    <w:rsid w:val="62376311"/>
    <w:rsid w:val="64942D09"/>
    <w:rsid w:val="64EF46A6"/>
    <w:rsid w:val="656175A6"/>
    <w:rsid w:val="65BB5806"/>
    <w:rsid w:val="66FA0678"/>
    <w:rsid w:val="672F0459"/>
    <w:rsid w:val="67F90DCD"/>
    <w:rsid w:val="695732E1"/>
    <w:rsid w:val="6AE86C4F"/>
    <w:rsid w:val="6B577039"/>
    <w:rsid w:val="70C020D1"/>
    <w:rsid w:val="72317F26"/>
    <w:rsid w:val="72B22A20"/>
    <w:rsid w:val="73730820"/>
    <w:rsid w:val="73F14E07"/>
    <w:rsid w:val="74ED7E41"/>
    <w:rsid w:val="764E6308"/>
    <w:rsid w:val="77896539"/>
    <w:rsid w:val="77B74ED8"/>
    <w:rsid w:val="78EC5B3C"/>
    <w:rsid w:val="7A3374F7"/>
    <w:rsid w:val="7BB53A4F"/>
    <w:rsid w:val="7CA936BD"/>
    <w:rsid w:val="7EAA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numPr>
        <w:ilvl w:val="0"/>
        <w:numId w:val="1"/>
      </w:numPr>
      <w:tabs>
        <w:tab w:val="clear" w:pos="0"/>
      </w:tabs>
      <w:spacing w:before="100" w:beforeLines="100"/>
      <w:outlineLvl w:val="0"/>
    </w:pPr>
    <w:rPr>
      <w:rFonts w:ascii="Times New Roman" w:hAnsi="Times New Roman" w:eastAsia="黑体" w:cs="Times New Roman"/>
      <w:b/>
      <w:bCs/>
      <w:kern w:val="44"/>
      <w:sz w:val="30"/>
      <w:szCs w:val="44"/>
    </w:rPr>
  </w:style>
  <w:style w:type="paragraph" w:styleId="5">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szCs w:val="24"/>
    </w:rPr>
  </w:style>
  <w:style w:type="paragraph" w:styleId="3">
    <w:name w:val="Body Text Indent"/>
    <w:basedOn w:val="1"/>
    <w:qFormat/>
    <w:uiPriority w:val="0"/>
    <w:pPr>
      <w:spacing w:line="360" w:lineRule="auto"/>
      <w:ind w:firstLine="630"/>
    </w:pPr>
    <w:rPr>
      <w:szCs w:val="20"/>
    </w:rPr>
  </w:style>
  <w:style w:type="paragraph" w:styleId="13">
    <w:name w:val="Normal Indent"/>
    <w:basedOn w:val="1"/>
    <w:next w:val="1"/>
    <w:link w:val="30"/>
    <w:qFormat/>
    <w:uiPriority w:val="0"/>
    <w:pPr>
      <w:ind w:firstLine="420"/>
    </w:pPr>
  </w:style>
  <w:style w:type="paragraph" w:styleId="14">
    <w:name w:val="annotation text"/>
    <w:basedOn w:val="1"/>
    <w:link w:val="27"/>
    <w:qFormat/>
    <w:uiPriority w:val="99"/>
  </w:style>
  <w:style w:type="paragraph" w:styleId="15">
    <w:name w:val="Body Text"/>
    <w:basedOn w:val="1"/>
    <w:qFormat/>
    <w:uiPriority w:val="0"/>
    <w:pPr>
      <w:spacing w:line="320" w:lineRule="exact"/>
    </w:pPr>
    <w:rPr>
      <w:b/>
      <w:bCs/>
    </w:rPr>
  </w:style>
  <w:style w:type="paragraph" w:styleId="16">
    <w:name w:val="footer"/>
    <w:basedOn w:val="1"/>
    <w:qFormat/>
    <w:uiPriority w:val="0"/>
    <w:pPr>
      <w:tabs>
        <w:tab w:val="center" w:pos="4153"/>
        <w:tab w:val="right" w:pos="8306"/>
      </w:tabs>
      <w:snapToGrid w:val="0"/>
    </w:pPr>
    <w:rPr>
      <w:sz w:val="18"/>
    </w:rPr>
  </w:style>
  <w:style w:type="paragraph" w:styleId="17">
    <w:name w:val="annotation subject"/>
    <w:basedOn w:val="14"/>
    <w:next w:val="14"/>
    <w:link w:val="28"/>
    <w:qFormat/>
    <w:uiPriority w:val="0"/>
    <w:rPr>
      <w:b/>
      <w:bCs/>
    </w:rPr>
  </w:style>
  <w:style w:type="character" w:styleId="20">
    <w:name w:val="annotation reference"/>
    <w:basedOn w:val="19"/>
    <w:qFormat/>
    <w:uiPriority w:val="0"/>
    <w:rPr>
      <w:sz w:val="21"/>
      <w:szCs w:val="21"/>
    </w:rPr>
  </w:style>
  <w:style w:type="paragraph" w:styleId="21">
    <w:name w:val="List Paragraph"/>
    <w:basedOn w:val="1"/>
    <w:qFormat/>
    <w:uiPriority w:val="99"/>
    <w:pPr>
      <w:ind w:firstLine="420" w:firstLineChars="200"/>
    </w:pPr>
  </w:style>
  <w:style w:type="paragraph" w:customStyle="1" w:styleId="22">
    <w:name w:val="Normal_1_0"/>
    <w:basedOn w:val="1"/>
    <w:qFormat/>
    <w:uiPriority w:val="0"/>
    <w:pPr>
      <w:widowControl w:val="0"/>
      <w:jc w:val="both"/>
    </w:pPr>
    <w:rPr>
      <w:rFonts w:ascii="Calibri" w:hAnsi="Calibri" w:cs="Times New Roman"/>
      <w:kern w:val="2"/>
      <w:sz w:val="21"/>
      <w:szCs w:val="21"/>
    </w:rPr>
  </w:style>
  <w:style w:type="table" w:customStyle="1" w:styleId="23">
    <w:name w:val="Table Grid_11"/>
    <w:basedOn w:val="18"/>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Normal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样式 标题 2第一编标题 2 Char Char Char Char1 CharH2h:2h:2appT2Ah2..."/>
    <w:basedOn w:val="5"/>
    <w:qFormat/>
    <w:uiPriority w:val="0"/>
    <w:pPr>
      <w:spacing w:line="240" w:lineRule="auto"/>
    </w:pPr>
    <w:rPr>
      <w:rFonts w:ascii="宋体" w:hAnsi="宋体"/>
      <w:sz w:val="30"/>
    </w:rPr>
  </w:style>
  <w:style w:type="paragraph" w:customStyle="1" w:styleId="26">
    <w:name w:val="修订1"/>
    <w:hidden/>
    <w:unhideWhenUsed/>
    <w:qFormat/>
    <w:uiPriority w:val="99"/>
    <w:rPr>
      <w:rFonts w:ascii="宋体" w:hAnsi="宋体" w:eastAsia="宋体" w:cs="宋体"/>
      <w:sz w:val="24"/>
      <w:szCs w:val="24"/>
      <w:lang w:val="en-US" w:eastAsia="zh-CN" w:bidi="ar-SA"/>
    </w:rPr>
  </w:style>
  <w:style w:type="character" w:customStyle="1" w:styleId="27">
    <w:name w:val="批注文字 字符"/>
    <w:basedOn w:val="19"/>
    <w:link w:val="14"/>
    <w:qFormat/>
    <w:uiPriority w:val="99"/>
    <w:rPr>
      <w:rFonts w:ascii="宋体" w:hAnsi="宋体" w:cs="宋体"/>
      <w:sz w:val="24"/>
      <w:szCs w:val="24"/>
    </w:rPr>
  </w:style>
  <w:style w:type="character" w:customStyle="1" w:styleId="28">
    <w:name w:val="批注主题 字符"/>
    <w:basedOn w:val="27"/>
    <w:link w:val="17"/>
    <w:qFormat/>
    <w:uiPriority w:val="0"/>
    <w:rPr>
      <w:rFonts w:ascii="宋体" w:hAnsi="宋体" w:cs="宋体"/>
      <w:b/>
      <w:bCs/>
      <w:sz w:val="24"/>
      <w:szCs w:val="24"/>
    </w:rPr>
  </w:style>
  <w:style w:type="paragraph" w:customStyle="1" w:styleId="29">
    <w:name w:val="Revision"/>
    <w:hidden/>
    <w:unhideWhenUsed/>
    <w:qFormat/>
    <w:uiPriority w:val="99"/>
    <w:rPr>
      <w:rFonts w:ascii="宋体" w:hAnsi="宋体" w:eastAsia="宋体" w:cs="宋体"/>
      <w:sz w:val="24"/>
      <w:szCs w:val="24"/>
      <w:lang w:val="en-US" w:eastAsia="zh-CN" w:bidi="ar-SA"/>
    </w:rPr>
  </w:style>
  <w:style w:type="character" w:customStyle="1" w:styleId="30">
    <w:name w:val="正文缩进 字符"/>
    <w:link w:val="13"/>
    <w:qFormat/>
    <w:locked/>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202</Pages>
  <Words>22713</Words>
  <Characters>129468</Characters>
  <Lines>1078</Lines>
  <Paragraphs>303</Paragraphs>
  <TotalTime>5</TotalTime>
  <ScaleCrop>false</ScaleCrop>
  <LinksUpToDate>false</LinksUpToDate>
  <CharactersWithSpaces>151878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2025-04-29T03:01:00Z</dcterms:created>
  <dc:creator>YQ</dc:creator>
  <cp:lastModifiedBy>YQ</cp:lastModifiedBy>
  <cp:lastPrinted>2025-04-29T03:01:00Z</cp:lastPrinted>
  <dcterms:modified xsi:type="dcterms:W3CDTF">2025-05-16T11:57:45Z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12578926E65E4F629B42531BA10FB416</vt:lpwstr>
  </property>
  <property fmtid="{D5CDD505-2E9C-101B-9397-08002B2CF9AE}" pid="4" name="KSOTemplateDocerSaveRecord">
    <vt:lpwstr>eyJoZGlkIjoiOWEwOWE4MjE4ZTRiMTA4NzNlMjhmMGMwNDA5NDRkMDUiLCJ1c2VySWQiOiIzMzQyNjEzOTIifQ==</vt:lpwstr>
  </property>
</Properties>
</file>