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A3E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BF8E9D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13B7A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2120E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57964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提供1项近三年</w:t>
            </w:r>
            <w:r>
              <w:rPr>
                <w:rFonts w:hint="eastAsia"/>
              </w:rPr>
              <w:t>单项合同金额</w:t>
            </w:r>
            <w:r>
              <w:rPr>
                <w:rFonts w:hint="eastAsia"/>
                <w:lang w:val="en-US" w:eastAsia="zh-CN"/>
              </w:rPr>
              <w:t>不小于</w:t>
            </w:r>
            <w:r>
              <w:rPr>
                <w:rFonts w:hint="eastAsia"/>
              </w:rPr>
              <w:t>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价的项目业绩，须体现合同主体、合同范围、合同金额、合同盖章等关键页</w:t>
            </w:r>
            <w:r>
              <w:rPr>
                <w:rFonts w:hint="eastAsia"/>
                <w:lang w:val="en-US" w:eastAsia="zh-CN"/>
              </w:rPr>
              <w:t>等。</w:t>
            </w:r>
          </w:p>
        </w:tc>
      </w:tr>
      <w:tr w14:paraId="3188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681C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6B42B0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50A2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1E7C3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5AB9320B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  <w:t>详见报价清单</w:t>
      </w:r>
    </w:p>
    <w:p w14:paraId="7C77FC84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42AD6EF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64A903D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14FE50C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97756E1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FEF9064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FEAEF74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E6FEBF6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FC7E140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AF54EF3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FEDB34C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EDB622B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29274AE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782004E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BCBC832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19D0B2B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0B5C932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5D9E009">
      <w:pPr>
        <w:autoSpaceDE/>
        <w:autoSpaceDN/>
        <w:adjustRightInd/>
        <w:snapToGrid/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集团2025年度打印机租赁服务采购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B60902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9765C81"/>
    <w:rsid w:val="1A574B6D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6057E1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5EA1781"/>
    <w:rsid w:val="468F4DC7"/>
    <w:rsid w:val="48906A9A"/>
    <w:rsid w:val="48927A1F"/>
    <w:rsid w:val="498E7188"/>
    <w:rsid w:val="49AB55A6"/>
    <w:rsid w:val="49F02869"/>
    <w:rsid w:val="4AD56CD4"/>
    <w:rsid w:val="4B646EED"/>
    <w:rsid w:val="4CE40395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507090D"/>
    <w:rsid w:val="55082E23"/>
    <w:rsid w:val="55256612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31C07F5"/>
    <w:rsid w:val="656E190F"/>
    <w:rsid w:val="660C0713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1326</Words>
  <Characters>1361</Characters>
  <Lines>14</Lines>
  <Paragraphs>4</Paragraphs>
  <TotalTime>7</TotalTime>
  <ScaleCrop>false</ScaleCrop>
  <LinksUpToDate>false</LinksUpToDate>
  <CharactersWithSpaces>1390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2025-06-05T04:02:53Z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