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87CC77">
      <w:pPr>
        <w:wordWrap w:val="0"/>
        <w:adjustRightInd w:val="0"/>
        <w:jc w:val="right"/>
        <w:rPr>
          <w:rFonts w:hint="eastAsia" w:ascii="黑体" w:hAnsi="黑体" w:eastAsia="黑体" w:cs="黑体"/>
          <w:sz w:val="28"/>
          <w:szCs w:val="28"/>
          <w:lang w:val="en-US" w:eastAsia="zh-CN"/>
        </w:rPr>
      </w:pPr>
    </w:p>
    <w:p w14:paraId="2F28E146">
      <w:pPr>
        <w:wordWrap w:val="0"/>
        <w:adjustRightInd w:val="0"/>
        <w:jc w:val="right"/>
      </w:pP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合同编号：</w:t>
      </w:r>
      <w:r>
        <w:rPr>
          <w:rFonts w:hint="eastAsia" w:ascii="黑体" w:hAnsi="黑体" w:eastAsia="黑体" w:cs="黑体"/>
          <w:sz w:val="28"/>
          <w:szCs w:val="28"/>
          <w:u w:val="single"/>
          <w:lang w:val="en-US" w:eastAsia="zh-CN"/>
        </w:rPr>
        <w:t xml:space="preserve">                        </w:t>
      </w:r>
    </w:p>
    <w:p w14:paraId="3F80EB81">
      <w:pPr>
        <w:spacing w:line="560" w:lineRule="exact"/>
        <w:rPr>
          <w:rFonts w:ascii="仿宋_GB2312" w:hAnsi="仿宋_GB2312" w:eastAsia="仿宋_GB2312"/>
          <w:sz w:val="32"/>
        </w:rPr>
      </w:pPr>
    </w:p>
    <w:p w14:paraId="539BC4FE"/>
    <w:p w14:paraId="25A7F06F">
      <w:pPr>
        <w:adjustRightInd w:val="0"/>
        <w:spacing w:line="360" w:lineRule="auto"/>
        <w:jc w:val="center"/>
        <w:rPr>
          <w:rFonts w:hint="eastAsia" w:ascii="黑体" w:hAnsi="黑体" w:eastAsia="黑体" w:cs="黑体"/>
          <w:sz w:val="52"/>
          <w:szCs w:val="52"/>
        </w:rPr>
      </w:pPr>
    </w:p>
    <w:p w14:paraId="13F99FA8">
      <w:pPr>
        <w:adjustRightInd w:val="0"/>
        <w:spacing w:line="360" w:lineRule="auto"/>
        <w:jc w:val="center"/>
        <w:rPr>
          <w:rFonts w:ascii="黑体" w:hAnsi="黑体" w:eastAsia="黑体" w:cs="黑体"/>
          <w:sz w:val="52"/>
          <w:szCs w:val="52"/>
        </w:rPr>
      </w:pPr>
      <w:r>
        <w:rPr>
          <w:rFonts w:hint="eastAsia" w:ascii="黑体" w:hAnsi="黑体" w:eastAsia="黑体" w:cs="黑体"/>
          <w:sz w:val="52"/>
          <w:szCs w:val="52"/>
        </w:rPr>
        <w:t>建设工程勘察合同</w:t>
      </w:r>
    </w:p>
    <w:p w14:paraId="025E5B6C">
      <w:pPr>
        <w:widowControl/>
        <w:spacing w:line="480" w:lineRule="auto"/>
        <w:rPr>
          <w:rFonts w:ascii="黑体" w:hAnsi="黑体" w:eastAsia="黑体" w:cs="宋体"/>
          <w:kern w:val="0"/>
          <w:sz w:val="32"/>
          <w:szCs w:val="32"/>
        </w:rPr>
      </w:pPr>
    </w:p>
    <w:p w14:paraId="4A9C7241">
      <w:pPr>
        <w:adjustRightInd w:val="0"/>
      </w:pPr>
    </w:p>
    <w:p w14:paraId="6967AA9D">
      <w:pPr>
        <w:spacing w:line="560" w:lineRule="exact"/>
        <w:ind w:firstLine="640" w:firstLineChars="200"/>
        <w:rPr>
          <w:rFonts w:ascii="仿宋_GB2312" w:hAnsi="仿宋_GB2312" w:eastAsia="仿宋_GB2312"/>
          <w:sz w:val="32"/>
        </w:rPr>
      </w:pPr>
    </w:p>
    <w:p w14:paraId="413AA1CA">
      <w:pPr>
        <w:adjustRightInd w:val="0"/>
      </w:pPr>
    </w:p>
    <w:p w14:paraId="2E3F1755">
      <w:pPr>
        <w:spacing w:line="560" w:lineRule="exact"/>
        <w:ind w:firstLine="640" w:firstLineChars="200"/>
        <w:rPr>
          <w:rFonts w:ascii="仿宋_GB2312" w:hAnsi="仿宋_GB2312" w:eastAsia="仿宋_GB2312"/>
          <w:sz w:val="32"/>
        </w:rPr>
      </w:pPr>
    </w:p>
    <w:p w14:paraId="46EBD602">
      <w:pPr>
        <w:spacing w:line="560" w:lineRule="exact"/>
        <w:ind w:firstLine="640" w:firstLineChars="200"/>
        <w:rPr>
          <w:rFonts w:ascii="仿宋_GB2312" w:hAnsi="仿宋_GB2312" w:eastAsia="仿宋_GB2312"/>
          <w:sz w:val="32"/>
        </w:rPr>
      </w:pPr>
    </w:p>
    <w:p w14:paraId="2D809E85">
      <w:pPr>
        <w:adjustRightInd w:val="0"/>
      </w:pPr>
    </w:p>
    <w:p w14:paraId="5ADF8BF3"/>
    <w:p w14:paraId="7A488EE0">
      <w:pPr>
        <w:adjustRightInd w:val="0"/>
      </w:pPr>
    </w:p>
    <w:p w14:paraId="7FE6B5C8">
      <w:pPr>
        <w:widowControl/>
        <w:spacing w:after="200"/>
        <w:ind w:firstLine="600" w:firstLineChars="200"/>
        <w:jc w:val="left"/>
        <w:rPr>
          <w:rFonts w:ascii="黑体" w:hAnsi="黑体" w:eastAsia="黑体" w:cs="黑体"/>
          <w:kern w:val="0"/>
          <w:sz w:val="32"/>
          <w:szCs w:val="32"/>
          <w:u w:val="single"/>
        </w:rPr>
      </w:pPr>
      <w:r>
        <w:rPr>
          <w:rFonts w:hint="eastAsia" w:ascii="黑体" w:hAnsi="黑体" w:eastAsia="黑体" w:cs="黑体"/>
          <w:kern w:val="0"/>
          <w:sz w:val="30"/>
          <w:szCs w:val="30"/>
        </w:rPr>
        <w:t>项目名称：</w:t>
      </w:r>
      <w:r>
        <w:rPr>
          <w:rFonts w:hint="eastAsia" w:ascii="黑体" w:hAnsi="黑体" w:eastAsia="黑体" w:cs="黑体"/>
          <w:sz w:val="32"/>
          <w:szCs w:val="32"/>
          <w:u w:val="single"/>
          <w:lang w:eastAsia="zh-CN"/>
        </w:rPr>
        <w:t>国际医疗器械城住4地块项目（勘察）</w:t>
      </w:r>
    </w:p>
    <w:p w14:paraId="27E0710E">
      <w:pPr>
        <w:overflowPunct w:val="0"/>
        <w:adjustRightInd w:val="0"/>
        <w:spacing w:line="360" w:lineRule="auto"/>
        <w:ind w:firstLine="600" w:firstLineChars="200"/>
        <w:rPr>
          <w:rFonts w:hint="default" w:eastAsia="黑体"/>
          <w:lang w:val="en-US" w:eastAsia="zh-CN"/>
        </w:rPr>
      </w:pPr>
      <w:r>
        <w:rPr>
          <w:rFonts w:hint="eastAsia" w:ascii="黑体" w:hAnsi="黑体" w:eastAsia="黑体" w:cs="黑体"/>
          <w:sz w:val="30"/>
          <w:szCs w:val="30"/>
        </w:rPr>
        <w:t>合同名称：</w:t>
      </w:r>
      <w:r>
        <w:rPr>
          <w:rFonts w:hint="eastAsia" w:ascii="黑体" w:hAnsi="黑体" w:eastAsia="黑体" w:cs="黑体"/>
          <w:sz w:val="32"/>
          <w:szCs w:val="32"/>
          <w:u w:val="single"/>
          <w:lang w:eastAsia="zh-CN"/>
        </w:rPr>
        <w:t>国际医疗器械城住4地块项目（勘察）</w:t>
      </w:r>
      <w:r>
        <w:rPr>
          <w:rFonts w:hint="eastAsia" w:ascii="黑体" w:hAnsi="黑体" w:eastAsia="黑体" w:cs="黑体"/>
          <w:sz w:val="32"/>
          <w:szCs w:val="32"/>
          <w:u w:val="single"/>
          <w:lang w:val="en-US" w:eastAsia="zh-CN"/>
        </w:rPr>
        <w:t>合同</w:t>
      </w:r>
    </w:p>
    <w:p w14:paraId="0427FC6E">
      <w:pPr>
        <w:adjustRightInd w:val="0"/>
        <w:spacing w:line="360" w:lineRule="auto"/>
        <w:ind w:firstLine="600" w:firstLineChars="200"/>
        <w:rPr>
          <w:rFonts w:ascii="黑体" w:hAnsi="黑体" w:eastAsia="黑体" w:cs="黑体"/>
          <w:sz w:val="30"/>
          <w:szCs w:val="30"/>
          <w:u w:val="single"/>
        </w:rPr>
      </w:pPr>
      <w:r>
        <w:rPr>
          <w:rFonts w:hint="eastAsia" w:ascii="黑体" w:hAnsi="黑体" w:eastAsia="黑体" w:cs="黑体"/>
          <w:sz w:val="30"/>
          <w:szCs w:val="30"/>
        </w:rPr>
        <w:t>工程地点：</w:t>
      </w:r>
      <w:r>
        <w:rPr>
          <w:rFonts w:hint="eastAsia" w:ascii="黑体" w:hAnsi="黑体" w:eastAsia="黑体" w:cs="黑体"/>
          <w:sz w:val="32"/>
          <w:szCs w:val="32"/>
          <w:u w:val="single"/>
        </w:rPr>
        <w:t>深圳市龙华区</w:t>
      </w:r>
    </w:p>
    <w:p w14:paraId="4A1244D3">
      <w:pPr>
        <w:adjustRightInd w:val="0"/>
        <w:spacing w:line="360" w:lineRule="auto"/>
        <w:ind w:firstLine="600" w:firstLineChars="200"/>
        <w:rPr>
          <w:rFonts w:hint="eastAsia" w:ascii="黑体" w:hAnsi="黑体" w:eastAsia="黑体" w:cs="黑体"/>
          <w:sz w:val="30"/>
          <w:szCs w:val="30"/>
          <w:lang w:eastAsia="zh-CN"/>
        </w:rPr>
      </w:pPr>
      <w:r>
        <w:rPr>
          <w:rFonts w:hint="eastAsia" w:ascii="黑体" w:hAnsi="黑体" w:eastAsia="黑体" w:cs="黑体"/>
          <w:sz w:val="30"/>
          <w:szCs w:val="30"/>
        </w:rPr>
        <w:t>发包人（甲方）：</w:t>
      </w:r>
      <w:r>
        <w:rPr>
          <w:rFonts w:hint="eastAsia" w:ascii="黑体" w:hAnsi="黑体" w:eastAsia="黑体" w:cs="黑体"/>
          <w:sz w:val="30"/>
          <w:szCs w:val="30"/>
          <w:u w:val="single"/>
          <w:lang w:eastAsia="zh-CN"/>
        </w:rPr>
        <w:t>深圳市新龙观投资发展有限公司</w:t>
      </w:r>
    </w:p>
    <w:p w14:paraId="34EC1973">
      <w:pPr>
        <w:adjustRightInd w:val="0"/>
        <w:spacing w:line="360" w:lineRule="auto"/>
        <w:ind w:firstLine="600" w:firstLineChars="200"/>
        <w:rPr>
          <w:rFonts w:hint="eastAsia" w:ascii="宋体" w:hAnsi="宋体" w:eastAsia="黑体" w:cs="宋体"/>
          <w:kern w:val="0"/>
          <w:sz w:val="28"/>
          <w:szCs w:val="28"/>
          <w:u w:val="single"/>
          <w:lang w:eastAsia="zh-CN"/>
        </w:rPr>
      </w:pPr>
      <w:r>
        <w:rPr>
          <w:rFonts w:hint="eastAsia" w:ascii="黑体" w:hAnsi="黑体" w:eastAsia="黑体" w:cs="黑体"/>
          <w:sz w:val="30"/>
          <w:szCs w:val="30"/>
        </w:rPr>
        <w:t>勘察人（乙方）：</w:t>
      </w:r>
      <w:r>
        <w:rPr>
          <w:rFonts w:hint="eastAsia" w:ascii="黑体" w:hAnsi="黑体" w:eastAsia="黑体" w:cs="黑体"/>
          <w:sz w:val="30"/>
          <w:szCs w:val="30"/>
          <w:u w:val="single"/>
          <w:lang w:eastAsia="zh-CN"/>
        </w:rPr>
        <w:t>xxxx</w:t>
      </w:r>
    </w:p>
    <w:p w14:paraId="3E43EAD4">
      <w:pPr>
        <w:adjustRightInd w:val="0"/>
        <w:spacing w:line="490" w:lineRule="exact"/>
        <w:ind w:firstLine="1124" w:firstLineChars="400"/>
        <w:rPr>
          <w:rFonts w:ascii="宋体" w:hAnsi="宋体" w:cs="宋体"/>
          <w:b/>
          <w:bCs/>
          <w:sz w:val="28"/>
          <w:szCs w:val="28"/>
        </w:rPr>
      </w:pPr>
    </w:p>
    <w:p w14:paraId="2BA6D180">
      <w:pPr>
        <w:adjustRightInd w:val="0"/>
        <w:spacing w:line="490" w:lineRule="exact"/>
        <w:ind w:firstLine="1124" w:firstLineChars="400"/>
        <w:rPr>
          <w:rFonts w:ascii="宋体" w:hAnsi="宋体" w:cs="宋体"/>
          <w:b/>
          <w:bCs/>
          <w:sz w:val="28"/>
          <w:szCs w:val="28"/>
        </w:rPr>
      </w:pPr>
    </w:p>
    <w:p w14:paraId="4B758C5A">
      <w:pPr>
        <w:spacing w:line="360" w:lineRule="auto"/>
        <w:jc w:val="center"/>
        <w:rPr>
          <w:rFonts w:ascii="宋体" w:hAnsi="宋体" w:cs="宋体"/>
          <w:b/>
          <w:bCs/>
          <w:sz w:val="28"/>
          <w:szCs w:val="28"/>
        </w:rPr>
      </w:pPr>
      <w:bookmarkStart w:id="43" w:name="_GoBack"/>
      <w:r>
        <w:rPr>
          <w:rFonts w:hint="eastAsia" w:ascii="黑体" w:hAnsi="黑体" w:eastAsia="黑体" w:cs="黑体"/>
          <w:sz w:val="28"/>
          <w:szCs w:val="28"/>
        </w:rPr>
        <w:t>20</w:t>
      </w:r>
      <w:r>
        <w:rPr>
          <w:rFonts w:hint="eastAsia" w:ascii="黑体" w:hAnsi="黑体" w:eastAsia="黑体" w:cs="黑体"/>
          <w:sz w:val="28"/>
          <w:szCs w:val="28"/>
          <w:lang w:val="en-US" w:eastAsia="zh-CN"/>
        </w:rPr>
        <w:t>24</w:t>
      </w:r>
      <w:bookmarkEnd w:id="43"/>
      <w:r>
        <w:rPr>
          <w:rFonts w:hint="eastAsia" w:ascii="黑体" w:hAnsi="黑体" w:eastAsia="黑体" w:cs="黑体"/>
          <w:sz w:val="28"/>
          <w:szCs w:val="28"/>
        </w:rPr>
        <w:t>年</w:t>
      </w:r>
      <w:r>
        <w:rPr>
          <w:rFonts w:hint="eastAsia" w:ascii="黑体" w:hAnsi="黑体" w:eastAsia="黑体" w:cs="黑体"/>
          <w:sz w:val="28"/>
          <w:szCs w:val="28"/>
          <w:lang w:val="en-US" w:eastAsia="zh-CN"/>
        </w:rPr>
        <w:t>12</w:t>
      </w:r>
      <w:r>
        <w:rPr>
          <w:rFonts w:hint="eastAsia" w:ascii="黑体" w:hAnsi="黑体" w:eastAsia="黑体" w:cs="黑体"/>
          <w:sz w:val="28"/>
          <w:szCs w:val="28"/>
        </w:rPr>
        <w:t>月</w:t>
      </w:r>
    </w:p>
    <w:p w14:paraId="69EB4A01">
      <w:pPr>
        <w:widowControl/>
        <w:spacing w:line="576" w:lineRule="auto"/>
        <w:jc w:val="left"/>
        <w:rPr>
          <w:b/>
          <w:bCs/>
          <w:kern w:val="44"/>
          <w:szCs w:val="21"/>
        </w:rPr>
        <w:sectPr>
          <w:pgSz w:w="11906" w:h="16838"/>
          <w:pgMar w:top="1588" w:right="1588" w:bottom="1361" w:left="1588" w:header="851" w:footer="992" w:gutter="0"/>
          <w:pgNumType w:start="1"/>
          <w:cols w:space="720" w:num="1"/>
          <w:docGrid w:linePitch="312" w:charSpace="0"/>
        </w:sectPr>
      </w:pPr>
    </w:p>
    <w:p w14:paraId="736D60DD">
      <w:pPr>
        <w:rPr>
          <w:lang w:val="zh-CN"/>
        </w:rPr>
      </w:pPr>
    </w:p>
    <w:p w14:paraId="25EC52AE">
      <w:pPr>
        <w:widowControl/>
        <w:spacing w:after="200" w:line="360" w:lineRule="auto"/>
        <w:jc w:val="center"/>
        <w:rPr>
          <w:rFonts w:ascii="宋体" w:hAnsi="宋体" w:cs="宋体"/>
          <w:kern w:val="0"/>
          <w:szCs w:val="21"/>
        </w:rPr>
      </w:pPr>
      <w:r>
        <w:rPr>
          <w:rFonts w:hint="eastAsia" w:ascii="宋体" w:hAnsi="宋体" w:cs="宋体"/>
          <w:b/>
          <w:bCs/>
          <w:kern w:val="0"/>
          <w:sz w:val="30"/>
          <w:szCs w:val="30"/>
          <w:lang w:val="zh-CN"/>
        </w:rPr>
        <w:t>说明</w:t>
      </w:r>
    </w:p>
    <w:p w14:paraId="7E1D79D3">
      <w:pPr>
        <w:spacing w:line="360" w:lineRule="auto"/>
        <w:ind w:firstLine="480" w:firstLineChars="200"/>
        <w:rPr>
          <w:rFonts w:ascii="宋体" w:hAnsi="宋体" w:cs="宋体"/>
          <w:sz w:val="24"/>
          <w:szCs w:val="24"/>
        </w:rPr>
      </w:pPr>
      <w:r>
        <w:rPr>
          <w:rFonts w:hint="eastAsia" w:ascii="宋体" w:hAnsi="宋体" w:cs="宋体"/>
          <w:sz w:val="24"/>
          <w:szCs w:val="24"/>
        </w:rPr>
        <w:t>为了指导深圳市建设工程勘察合同当事人的签约行为，维护合同当事人的合法权益，依据《中华人民共和国民法典》《中华人民共和国建筑法》和《中华人民共和国招标投标法》等相关法律法规，制定《深圳市建设工程勘察合同（示范文本）》（以下简称《示范文本》）。</w:t>
      </w:r>
    </w:p>
    <w:p w14:paraId="22BD0B4D">
      <w:pPr>
        <w:spacing w:line="360" w:lineRule="auto"/>
        <w:ind w:firstLine="480" w:firstLineChars="200"/>
        <w:rPr>
          <w:rFonts w:ascii="宋体" w:hAnsi="宋体" w:cs="宋体"/>
          <w:sz w:val="24"/>
          <w:szCs w:val="24"/>
        </w:rPr>
      </w:pPr>
      <w:r>
        <w:rPr>
          <w:rFonts w:hint="eastAsia" w:ascii="宋体" w:hAnsi="宋体" w:cs="宋体"/>
          <w:sz w:val="24"/>
          <w:szCs w:val="24"/>
        </w:rPr>
        <w:t>《示范文本》为推荐性使用文本。合同当事人可结合工程具体情况，根据《示范文本》订立合同，并按照法律法规和合同约定，履行相应的权利义务，承担相应的法律责任。</w:t>
      </w:r>
    </w:p>
    <w:p w14:paraId="5785552E">
      <w:pPr>
        <w:spacing w:line="360" w:lineRule="auto"/>
        <w:ind w:firstLine="480" w:firstLineChars="200"/>
        <w:rPr>
          <w:rFonts w:ascii="宋体" w:hAnsi="宋体" w:cs="宋体"/>
          <w:sz w:val="24"/>
          <w:szCs w:val="24"/>
        </w:rPr>
      </w:pPr>
      <w:r>
        <w:rPr>
          <w:rFonts w:hint="eastAsia" w:ascii="宋体" w:hAnsi="宋体" w:cs="宋体"/>
          <w:sz w:val="24"/>
          <w:szCs w:val="24"/>
        </w:rPr>
        <w:t>《示范文本》适用于岩土工程勘察、岩土工程物探/测试/检测、水文地质勘察及工程测量等工程勘察活动。</w:t>
      </w:r>
    </w:p>
    <w:p w14:paraId="1862C193">
      <w:pPr>
        <w:kinsoku w:val="0"/>
        <w:wordWrap w:val="0"/>
        <w:spacing w:line="360" w:lineRule="auto"/>
        <w:ind w:firstLine="560"/>
        <w:rPr>
          <w:rFonts w:ascii="宋体" w:hAnsi="宋体" w:cs="宋体"/>
          <w:b/>
          <w:sz w:val="24"/>
          <w:szCs w:val="24"/>
        </w:rPr>
      </w:pPr>
    </w:p>
    <w:p w14:paraId="6D8DB8D5">
      <w:pPr>
        <w:kinsoku w:val="0"/>
        <w:wordWrap w:val="0"/>
        <w:spacing w:line="360" w:lineRule="auto"/>
        <w:ind w:firstLine="560"/>
        <w:rPr>
          <w:rFonts w:ascii="宋体" w:hAnsi="宋体" w:cs="宋体"/>
          <w:b/>
          <w:sz w:val="24"/>
          <w:szCs w:val="24"/>
        </w:rPr>
      </w:pPr>
      <w:r>
        <w:rPr>
          <w:rFonts w:hint="eastAsia" w:ascii="宋体" w:hAnsi="宋体" w:cs="宋体"/>
          <w:b/>
          <w:sz w:val="24"/>
          <w:szCs w:val="24"/>
        </w:rPr>
        <w:t>《示范文本》使用过程中，如有任何疑问或不明之处，请及时向专业人士咨询。</w:t>
      </w:r>
    </w:p>
    <w:p w14:paraId="7F5F0455">
      <w:pPr>
        <w:kinsoku w:val="0"/>
        <w:wordWrap w:val="0"/>
        <w:spacing w:line="360" w:lineRule="auto"/>
        <w:ind w:firstLine="560"/>
        <w:rPr>
          <w:rFonts w:ascii="宋体" w:hAnsi="宋体" w:cs="宋体"/>
          <w:b/>
          <w:sz w:val="24"/>
          <w:szCs w:val="24"/>
        </w:rPr>
      </w:pPr>
      <w:r>
        <w:rPr>
          <w:rFonts w:hint="eastAsia" w:ascii="宋体" w:hAnsi="宋体" w:cs="宋体"/>
          <w:b/>
          <w:sz w:val="24"/>
          <w:szCs w:val="24"/>
        </w:rPr>
        <w:t>任何单位或个人未经深圳市建设工程造价管理站同意，不得以任何形式销售本合同（示范文本）及其中的任何部分。</w:t>
      </w:r>
    </w:p>
    <w:p w14:paraId="6D1F9C7B">
      <w:pPr>
        <w:kinsoku w:val="0"/>
        <w:wordWrap w:val="0"/>
        <w:spacing w:line="360" w:lineRule="auto"/>
        <w:ind w:firstLine="560"/>
        <w:rPr>
          <w:rFonts w:ascii="宋体" w:hAnsi="宋体" w:cs="宋体"/>
          <w:b/>
          <w:sz w:val="24"/>
          <w:szCs w:val="24"/>
        </w:rPr>
      </w:pPr>
      <w:r>
        <w:rPr>
          <w:rFonts w:hint="eastAsia" w:ascii="宋体" w:hAnsi="宋体" w:cs="宋体"/>
          <w:b/>
          <w:sz w:val="24"/>
          <w:szCs w:val="24"/>
        </w:rPr>
        <w:t>本次印发版次为LFM-2022-01，即2022年第一版。</w:t>
      </w:r>
    </w:p>
    <w:tbl>
      <w:tblPr>
        <w:tblStyle w:val="9"/>
        <w:tblW w:w="6580" w:type="dxa"/>
        <w:jc w:val="center"/>
        <w:tblLayout w:type="fixed"/>
        <w:tblCellMar>
          <w:top w:w="0" w:type="dxa"/>
          <w:left w:w="108" w:type="dxa"/>
          <w:bottom w:w="0" w:type="dxa"/>
          <w:right w:w="108" w:type="dxa"/>
        </w:tblCellMar>
      </w:tblPr>
      <w:tblGrid>
        <w:gridCol w:w="236"/>
        <w:gridCol w:w="236"/>
        <w:gridCol w:w="236"/>
        <w:gridCol w:w="236"/>
        <w:gridCol w:w="236"/>
        <w:gridCol w:w="236"/>
        <w:gridCol w:w="318"/>
        <w:gridCol w:w="316"/>
        <w:gridCol w:w="409"/>
        <w:gridCol w:w="332"/>
        <w:gridCol w:w="236"/>
        <w:gridCol w:w="414"/>
        <w:gridCol w:w="869"/>
        <w:gridCol w:w="2270"/>
      </w:tblGrid>
      <w:tr w14:paraId="6FFA8A7D">
        <w:tblPrEx>
          <w:tblCellMar>
            <w:top w:w="0" w:type="dxa"/>
            <w:left w:w="108" w:type="dxa"/>
            <w:bottom w:w="0" w:type="dxa"/>
            <w:right w:w="108" w:type="dxa"/>
          </w:tblCellMar>
        </w:tblPrEx>
        <w:trPr>
          <w:trHeight w:val="270" w:hRule="atLeast"/>
          <w:jc w:val="center"/>
        </w:trPr>
        <w:tc>
          <w:tcPr>
            <w:tcW w:w="444" w:type="dxa"/>
            <w:gridSpan w:val="2"/>
            <w:shd w:val="clear" w:color="auto" w:fill="FFFFFF"/>
            <w:noWrap/>
            <w:vAlign w:val="bottom"/>
          </w:tcPr>
          <w:p w14:paraId="2983E8D2">
            <w:pPr>
              <w:widowControl/>
              <w:jc w:val="center"/>
              <w:rPr>
                <w:rFonts w:ascii="宋体" w:hAnsi="宋体" w:cs="宋体"/>
                <w:sz w:val="24"/>
                <w:szCs w:val="24"/>
                <w:lang w:eastAsia="en-US"/>
              </w:rPr>
            </w:pPr>
            <w:r>
              <w:rPr>
                <w:rFonts w:hint="eastAsia" w:ascii="宋体" w:hAnsi="宋体" w:cs="宋体"/>
                <w:sz w:val="24"/>
                <w:szCs w:val="24"/>
                <w:lang w:eastAsia="en-US"/>
              </w:rPr>
              <w:t>L</w:t>
            </w:r>
          </w:p>
        </w:tc>
        <w:tc>
          <w:tcPr>
            <w:tcW w:w="444" w:type="dxa"/>
            <w:gridSpan w:val="2"/>
            <w:shd w:val="clear" w:color="auto" w:fill="FFFFFF"/>
            <w:noWrap/>
            <w:vAlign w:val="bottom"/>
          </w:tcPr>
          <w:p w14:paraId="70C2F629">
            <w:pPr>
              <w:widowControl/>
              <w:jc w:val="center"/>
              <w:rPr>
                <w:rFonts w:ascii="宋体" w:hAnsi="宋体" w:cs="宋体"/>
                <w:sz w:val="24"/>
                <w:szCs w:val="24"/>
                <w:lang w:eastAsia="en-US"/>
              </w:rPr>
            </w:pPr>
            <w:r>
              <w:rPr>
                <w:rFonts w:hint="eastAsia" w:ascii="宋体" w:hAnsi="宋体" w:cs="宋体"/>
                <w:sz w:val="24"/>
                <w:szCs w:val="24"/>
                <w:lang w:eastAsia="en-US"/>
              </w:rPr>
              <w:t xml:space="preserve"> F </w:t>
            </w:r>
          </w:p>
        </w:tc>
        <w:tc>
          <w:tcPr>
            <w:tcW w:w="444" w:type="dxa"/>
            <w:gridSpan w:val="2"/>
            <w:shd w:val="clear" w:color="auto" w:fill="FFFFFF"/>
            <w:noWrap/>
            <w:vAlign w:val="bottom"/>
          </w:tcPr>
          <w:p w14:paraId="26579972">
            <w:pPr>
              <w:widowControl/>
              <w:jc w:val="center"/>
              <w:rPr>
                <w:rFonts w:ascii="宋体" w:hAnsi="宋体" w:cs="宋体"/>
                <w:sz w:val="24"/>
                <w:szCs w:val="24"/>
                <w:lang w:eastAsia="en-US"/>
              </w:rPr>
            </w:pPr>
            <w:r>
              <w:rPr>
                <w:rFonts w:hint="eastAsia" w:ascii="宋体" w:hAnsi="宋体" w:cs="宋体"/>
                <w:sz w:val="24"/>
                <w:szCs w:val="24"/>
                <w:lang w:eastAsia="en-US"/>
              </w:rPr>
              <w:t>M</w:t>
            </w:r>
          </w:p>
        </w:tc>
        <w:tc>
          <w:tcPr>
            <w:tcW w:w="321" w:type="dxa"/>
            <w:shd w:val="clear" w:color="auto" w:fill="FFFFFF"/>
            <w:noWrap/>
            <w:vAlign w:val="bottom"/>
          </w:tcPr>
          <w:p w14:paraId="274EFC1E">
            <w:pPr>
              <w:widowControl/>
              <w:rPr>
                <w:rFonts w:ascii="宋体" w:hAnsi="宋体" w:cs="宋体"/>
                <w:sz w:val="24"/>
                <w:szCs w:val="24"/>
                <w:lang w:eastAsia="en-US"/>
              </w:rPr>
            </w:pPr>
            <w:r>
              <w:rPr>
                <w:rFonts w:hint="eastAsia" w:ascii="宋体" w:hAnsi="宋体" w:cs="宋体"/>
                <w:sz w:val="24"/>
                <w:szCs w:val="24"/>
                <w:lang w:eastAsia="en-US"/>
              </w:rPr>
              <w:t>-</w:t>
            </w:r>
          </w:p>
        </w:tc>
        <w:tc>
          <w:tcPr>
            <w:tcW w:w="731" w:type="dxa"/>
            <w:gridSpan w:val="2"/>
            <w:shd w:val="clear" w:color="auto" w:fill="FFFFFF"/>
            <w:noWrap/>
            <w:vAlign w:val="bottom"/>
          </w:tcPr>
          <w:p w14:paraId="2FA5EE7F">
            <w:pPr>
              <w:widowControl/>
              <w:jc w:val="center"/>
              <w:rPr>
                <w:rFonts w:ascii="宋体" w:hAnsi="宋体" w:cs="宋体"/>
                <w:sz w:val="24"/>
                <w:szCs w:val="24"/>
                <w:lang w:eastAsia="en-US"/>
              </w:rPr>
            </w:pPr>
            <w:r>
              <w:rPr>
                <w:rFonts w:hint="eastAsia" w:ascii="宋体" w:hAnsi="宋体" w:cs="宋体"/>
                <w:sz w:val="24"/>
                <w:szCs w:val="24"/>
                <w:lang w:eastAsia="en-US"/>
              </w:rPr>
              <w:t>2022</w:t>
            </w:r>
          </w:p>
        </w:tc>
        <w:tc>
          <w:tcPr>
            <w:tcW w:w="334" w:type="dxa"/>
            <w:shd w:val="clear" w:color="auto" w:fill="FFFFFF"/>
            <w:noWrap/>
            <w:vAlign w:val="bottom"/>
          </w:tcPr>
          <w:p w14:paraId="7D68AC11">
            <w:pPr>
              <w:widowControl/>
              <w:rPr>
                <w:rFonts w:ascii="宋体" w:hAnsi="宋体" w:cs="宋体"/>
                <w:sz w:val="24"/>
                <w:szCs w:val="24"/>
                <w:lang w:eastAsia="en-US"/>
              </w:rPr>
            </w:pPr>
            <w:r>
              <w:rPr>
                <w:rFonts w:hint="eastAsia" w:ascii="宋体" w:hAnsi="宋体" w:cs="宋体"/>
                <w:sz w:val="24"/>
                <w:szCs w:val="24"/>
                <w:lang w:eastAsia="en-US"/>
              </w:rPr>
              <w:t>-</w:t>
            </w:r>
          </w:p>
        </w:tc>
        <w:tc>
          <w:tcPr>
            <w:tcW w:w="654" w:type="dxa"/>
            <w:gridSpan w:val="2"/>
            <w:shd w:val="clear" w:color="auto" w:fill="FFFFFF"/>
            <w:noWrap/>
            <w:vAlign w:val="bottom"/>
          </w:tcPr>
          <w:p w14:paraId="531DA32B">
            <w:pPr>
              <w:widowControl/>
              <w:jc w:val="center"/>
              <w:rPr>
                <w:rFonts w:ascii="宋体" w:hAnsi="宋体" w:cs="宋体"/>
                <w:sz w:val="24"/>
                <w:szCs w:val="24"/>
                <w:lang w:eastAsia="en-US"/>
              </w:rPr>
            </w:pPr>
            <w:r>
              <w:rPr>
                <w:rFonts w:hint="eastAsia" w:ascii="宋体" w:hAnsi="宋体" w:cs="宋体"/>
                <w:sz w:val="24"/>
                <w:szCs w:val="24"/>
                <w:lang w:eastAsia="en-US"/>
              </w:rPr>
              <w:t>01</w:t>
            </w:r>
          </w:p>
        </w:tc>
        <w:tc>
          <w:tcPr>
            <w:tcW w:w="884" w:type="dxa"/>
            <w:shd w:val="clear" w:color="auto" w:fill="FFFFFF"/>
            <w:noWrap/>
            <w:vAlign w:val="bottom"/>
          </w:tcPr>
          <w:p w14:paraId="17A974BF">
            <w:pPr>
              <w:widowControl/>
              <w:rPr>
                <w:rFonts w:ascii="宋体" w:hAnsi="宋体" w:cs="宋体"/>
                <w:sz w:val="24"/>
                <w:szCs w:val="24"/>
                <w:lang w:eastAsia="en-US"/>
              </w:rPr>
            </w:pPr>
            <w:r>
              <w:rPr>
                <w:rFonts w:hint="eastAsia" w:ascii="宋体" w:hAnsi="宋体" w:cs="宋体"/>
                <w:sz w:val="24"/>
                <w:szCs w:val="24"/>
                <w:lang w:eastAsia="en-US"/>
              </w:rPr>
              <w:t>　</w:t>
            </w:r>
          </w:p>
        </w:tc>
        <w:tc>
          <w:tcPr>
            <w:tcW w:w="2320" w:type="dxa"/>
            <w:shd w:val="clear" w:color="auto" w:fill="FFFFFF"/>
            <w:noWrap/>
            <w:vAlign w:val="bottom"/>
          </w:tcPr>
          <w:p w14:paraId="725D3D91">
            <w:pPr>
              <w:widowControl/>
              <w:rPr>
                <w:rFonts w:ascii="宋体" w:hAnsi="宋体" w:cs="宋体"/>
                <w:sz w:val="24"/>
                <w:szCs w:val="24"/>
                <w:lang w:eastAsia="en-US"/>
              </w:rPr>
            </w:pPr>
            <w:r>
              <w:rPr>
                <w:rFonts w:hint="eastAsia" w:ascii="宋体" w:hAnsi="宋体" w:cs="宋体"/>
                <w:sz w:val="24"/>
                <w:szCs w:val="24"/>
                <w:lang w:eastAsia="en-US"/>
              </w:rPr>
              <w:t>　</w:t>
            </w:r>
          </w:p>
        </w:tc>
      </w:tr>
      <w:tr w14:paraId="3C0FB67E">
        <w:tblPrEx>
          <w:tblCellMar>
            <w:top w:w="0" w:type="dxa"/>
            <w:left w:w="108" w:type="dxa"/>
            <w:bottom w:w="0" w:type="dxa"/>
            <w:right w:w="108" w:type="dxa"/>
          </w:tblCellMar>
        </w:tblPrEx>
        <w:trPr>
          <w:trHeight w:val="270" w:hRule="atLeast"/>
          <w:jc w:val="center"/>
        </w:trPr>
        <w:tc>
          <w:tcPr>
            <w:tcW w:w="222" w:type="dxa"/>
            <w:shd w:val="clear" w:color="auto" w:fill="FFFFFF"/>
            <w:noWrap/>
            <w:vAlign w:val="bottom"/>
          </w:tcPr>
          <w:p w14:paraId="03264A4A">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tcBorders>
              <w:top w:val="nil"/>
              <w:left w:val="single" w:color="auto" w:sz="4" w:space="0"/>
              <w:bottom w:val="single" w:color="auto" w:sz="4" w:space="0"/>
              <w:right w:val="nil"/>
            </w:tcBorders>
            <w:shd w:val="clear" w:color="auto" w:fill="FFFFFF"/>
            <w:noWrap/>
            <w:vAlign w:val="bottom"/>
          </w:tcPr>
          <w:p w14:paraId="6FEE2C67">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tcBorders>
              <w:top w:val="nil"/>
              <w:left w:val="nil"/>
              <w:bottom w:val="single" w:color="auto" w:sz="4" w:space="0"/>
              <w:right w:val="nil"/>
            </w:tcBorders>
            <w:shd w:val="clear" w:color="auto" w:fill="FFFFFF"/>
            <w:noWrap/>
            <w:vAlign w:val="bottom"/>
          </w:tcPr>
          <w:p w14:paraId="0C73BA52">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tcBorders>
              <w:top w:val="nil"/>
              <w:left w:val="single" w:color="auto" w:sz="4" w:space="0"/>
              <w:bottom w:val="single" w:color="auto" w:sz="4" w:space="0"/>
              <w:right w:val="nil"/>
            </w:tcBorders>
            <w:shd w:val="clear" w:color="auto" w:fill="FFFFFF"/>
            <w:noWrap/>
            <w:vAlign w:val="bottom"/>
          </w:tcPr>
          <w:p w14:paraId="101D7437">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tcBorders>
              <w:top w:val="nil"/>
              <w:left w:val="nil"/>
              <w:bottom w:val="single" w:color="auto" w:sz="4" w:space="0"/>
              <w:right w:val="nil"/>
            </w:tcBorders>
            <w:shd w:val="clear" w:color="auto" w:fill="FFFFFF"/>
            <w:noWrap/>
            <w:vAlign w:val="bottom"/>
          </w:tcPr>
          <w:p w14:paraId="6AF3C0D8">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tcBorders>
              <w:top w:val="nil"/>
              <w:left w:val="single" w:color="auto" w:sz="4" w:space="0"/>
              <w:bottom w:val="single" w:color="auto" w:sz="4" w:space="0"/>
              <w:right w:val="nil"/>
            </w:tcBorders>
            <w:shd w:val="clear" w:color="auto" w:fill="FFFFFF"/>
            <w:noWrap/>
            <w:vAlign w:val="bottom"/>
          </w:tcPr>
          <w:p w14:paraId="4D0701AB">
            <w:pPr>
              <w:widowControl/>
              <w:rPr>
                <w:rFonts w:ascii="宋体" w:hAnsi="宋体" w:cs="宋体"/>
                <w:sz w:val="24"/>
                <w:szCs w:val="24"/>
                <w:lang w:eastAsia="en-US"/>
              </w:rPr>
            </w:pPr>
            <w:r>
              <w:rPr>
                <w:rFonts w:hint="eastAsia" w:ascii="宋体" w:hAnsi="宋体" w:cs="宋体"/>
                <w:sz w:val="24"/>
                <w:szCs w:val="24"/>
                <w:lang w:eastAsia="en-US"/>
              </w:rPr>
              <w:t>　</w:t>
            </w:r>
          </w:p>
        </w:tc>
        <w:tc>
          <w:tcPr>
            <w:tcW w:w="321" w:type="dxa"/>
            <w:tcBorders>
              <w:top w:val="nil"/>
              <w:left w:val="nil"/>
              <w:bottom w:val="single" w:color="auto" w:sz="4" w:space="0"/>
              <w:right w:val="nil"/>
            </w:tcBorders>
            <w:shd w:val="clear" w:color="auto" w:fill="FFFFFF"/>
            <w:noWrap/>
            <w:vAlign w:val="bottom"/>
          </w:tcPr>
          <w:p w14:paraId="162A40C1">
            <w:pPr>
              <w:widowControl/>
              <w:rPr>
                <w:rFonts w:ascii="宋体" w:hAnsi="宋体" w:cs="宋体"/>
                <w:sz w:val="24"/>
                <w:szCs w:val="24"/>
                <w:lang w:eastAsia="en-US"/>
              </w:rPr>
            </w:pPr>
            <w:r>
              <w:rPr>
                <w:rFonts w:hint="eastAsia" w:ascii="宋体" w:hAnsi="宋体" w:cs="宋体"/>
                <w:sz w:val="24"/>
                <w:szCs w:val="24"/>
                <w:lang w:eastAsia="en-US"/>
              </w:rPr>
              <w:t>　</w:t>
            </w:r>
          </w:p>
        </w:tc>
        <w:tc>
          <w:tcPr>
            <w:tcW w:w="318" w:type="dxa"/>
            <w:tcBorders>
              <w:top w:val="nil"/>
              <w:left w:val="nil"/>
              <w:bottom w:val="single" w:color="auto" w:sz="4" w:space="0"/>
              <w:right w:val="nil"/>
            </w:tcBorders>
            <w:shd w:val="clear" w:color="auto" w:fill="FFFFFF"/>
            <w:noWrap/>
            <w:vAlign w:val="bottom"/>
          </w:tcPr>
          <w:p w14:paraId="41E8D991">
            <w:pPr>
              <w:widowControl/>
              <w:rPr>
                <w:rFonts w:ascii="宋体" w:hAnsi="宋体" w:cs="宋体"/>
                <w:sz w:val="24"/>
                <w:szCs w:val="24"/>
                <w:lang w:eastAsia="en-US"/>
              </w:rPr>
            </w:pPr>
            <w:r>
              <w:rPr>
                <w:rFonts w:hint="eastAsia" w:ascii="宋体" w:hAnsi="宋体" w:cs="宋体"/>
                <w:sz w:val="24"/>
                <w:szCs w:val="24"/>
                <w:lang w:eastAsia="en-US"/>
              </w:rPr>
              <w:t>　</w:t>
            </w:r>
          </w:p>
        </w:tc>
        <w:tc>
          <w:tcPr>
            <w:tcW w:w="413" w:type="dxa"/>
            <w:tcBorders>
              <w:top w:val="nil"/>
              <w:left w:val="single" w:color="auto" w:sz="4" w:space="0"/>
              <w:bottom w:val="single" w:color="auto" w:sz="4" w:space="0"/>
              <w:right w:val="nil"/>
            </w:tcBorders>
            <w:shd w:val="clear" w:color="auto" w:fill="FFFFFF"/>
            <w:noWrap/>
            <w:vAlign w:val="bottom"/>
          </w:tcPr>
          <w:p w14:paraId="7E6FCAA8">
            <w:pPr>
              <w:widowControl/>
              <w:rPr>
                <w:rFonts w:ascii="宋体" w:hAnsi="宋体" w:cs="宋体"/>
                <w:sz w:val="24"/>
                <w:szCs w:val="24"/>
                <w:lang w:eastAsia="en-US"/>
              </w:rPr>
            </w:pPr>
            <w:r>
              <w:rPr>
                <w:rFonts w:hint="eastAsia" w:ascii="宋体" w:hAnsi="宋体" w:cs="宋体"/>
                <w:sz w:val="24"/>
                <w:szCs w:val="24"/>
                <w:lang w:eastAsia="en-US"/>
              </w:rPr>
              <w:t>　</w:t>
            </w:r>
          </w:p>
        </w:tc>
        <w:tc>
          <w:tcPr>
            <w:tcW w:w="334" w:type="dxa"/>
            <w:tcBorders>
              <w:top w:val="nil"/>
              <w:left w:val="nil"/>
              <w:bottom w:val="single" w:color="auto" w:sz="4" w:space="0"/>
              <w:right w:val="nil"/>
            </w:tcBorders>
            <w:shd w:val="clear" w:color="auto" w:fill="FFFFFF"/>
            <w:noWrap/>
            <w:vAlign w:val="bottom"/>
          </w:tcPr>
          <w:p w14:paraId="40547353">
            <w:pPr>
              <w:widowControl/>
              <w:rPr>
                <w:rFonts w:ascii="宋体" w:hAnsi="宋体" w:cs="宋体"/>
                <w:sz w:val="24"/>
                <w:szCs w:val="24"/>
                <w:lang w:eastAsia="en-US"/>
              </w:rPr>
            </w:pPr>
            <w:r>
              <w:rPr>
                <w:rFonts w:hint="eastAsia" w:ascii="宋体" w:hAnsi="宋体" w:cs="宋体"/>
                <w:sz w:val="24"/>
                <w:szCs w:val="24"/>
                <w:lang w:eastAsia="en-US"/>
              </w:rPr>
              <w:t>　</w:t>
            </w:r>
          </w:p>
        </w:tc>
        <w:tc>
          <w:tcPr>
            <w:tcW w:w="236" w:type="dxa"/>
            <w:tcBorders>
              <w:top w:val="nil"/>
              <w:left w:val="nil"/>
              <w:bottom w:val="single" w:color="auto" w:sz="4" w:space="0"/>
              <w:right w:val="nil"/>
            </w:tcBorders>
            <w:shd w:val="clear" w:color="auto" w:fill="FFFFFF"/>
            <w:noWrap/>
            <w:vAlign w:val="bottom"/>
          </w:tcPr>
          <w:p w14:paraId="31A18E5F">
            <w:pPr>
              <w:widowControl/>
              <w:rPr>
                <w:rFonts w:ascii="宋体" w:hAnsi="宋体" w:cs="宋体"/>
                <w:sz w:val="24"/>
                <w:szCs w:val="24"/>
                <w:lang w:eastAsia="en-US"/>
              </w:rPr>
            </w:pPr>
            <w:r>
              <w:rPr>
                <w:rFonts w:hint="eastAsia" w:ascii="宋体" w:hAnsi="宋体" w:cs="宋体"/>
                <w:sz w:val="24"/>
                <w:szCs w:val="24"/>
                <w:lang w:eastAsia="en-US"/>
              </w:rPr>
              <w:t>　</w:t>
            </w:r>
          </w:p>
        </w:tc>
        <w:tc>
          <w:tcPr>
            <w:tcW w:w="418" w:type="dxa"/>
            <w:tcBorders>
              <w:top w:val="nil"/>
              <w:left w:val="single" w:color="auto" w:sz="4" w:space="0"/>
              <w:bottom w:val="single" w:color="auto" w:sz="4" w:space="0"/>
              <w:right w:val="nil"/>
            </w:tcBorders>
            <w:shd w:val="clear" w:color="auto" w:fill="FFFFFF"/>
            <w:noWrap/>
            <w:vAlign w:val="bottom"/>
          </w:tcPr>
          <w:p w14:paraId="1A24CB12">
            <w:pPr>
              <w:widowControl/>
              <w:rPr>
                <w:rFonts w:ascii="宋体" w:hAnsi="宋体" w:cs="宋体"/>
                <w:sz w:val="24"/>
                <w:szCs w:val="24"/>
                <w:lang w:eastAsia="en-US"/>
              </w:rPr>
            </w:pPr>
            <w:r>
              <w:rPr>
                <w:rFonts w:hint="eastAsia" w:ascii="宋体" w:hAnsi="宋体" w:cs="宋体"/>
                <w:sz w:val="24"/>
                <w:szCs w:val="24"/>
                <w:lang w:eastAsia="en-US"/>
              </w:rPr>
              <w:t>　</w:t>
            </w:r>
          </w:p>
        </w:tc>
        <w:tc>
          <w:tcPr>
            <w:tcW w:w="884" w:type="dxa"/>
            <w:tcBorders>
              <w:top w:val="nil"/>
              <w:left w:val="nil"/>
              <w:bottom w:val="single" w:color="auto" w:sz="4" w:space="0"/>
              <w:right w:val="nil"/>
            </w:tcBorders>
            <w:shd w:val="clear" w:color="auto" w:fill="FFFFFF"/>
            <w:noWrap/>
            <w:vAlign w:val="bottom"/>
          </w:tcPr>
          <w:p w14:paraId="6BDEF6CF">
            <w:pPr>
              <w:widowControl/>
              <w:rPr>
                <w:rFonts w:ascii="宋体" w:hAnsi="宋体" w:cs="宋体"/>
                <w:sz w:val="24"/>
                <w:szCs w:val="24"/>
                <w:lang w:eastAsia="en-US"/>
              </w:rPr>
            </w:pPr>
            <w:r>
              <w:rPr>
                <w:rFonts w:hint="eastAsia" w:ascii="宋体" w:hAnsi="宋体" w:cs="宋体"/>
                <w:sz w:val="24"/>
                <w:szCs w:val="24"/>
                <w:lang w:eastAsia="en-US"/>
              </w:rPr>
              <w:t>　</w:t>
            </w:r>
          </w:p>
        </w:tc>
        <w:tc>
          <w:tcPr>
            <w:tcW w:w="2320" w:type="dxa"/>
            <w:shd w:val="clear" w:color="auto" w:fill="FFFFFF"/>
            <w:noWrap/>
            <w:vAlign w:val="bottom"/>
          </w:tcPr>
          <w:p w14:paraId="32A0F443">
            <w:pPr>
              <w:widowControl/>
              <w:rPr>
                <w:rFonts w:ascii="宋体" w:hAnsi="宋体" w:cs="宋体"/>
                <w:sz w:val="24"/>
                <w:szCs w:val="24"/>
                <w:lang w:eastAsia="en-US"/>
              </w:rPr>
            </w:pPr>
            <w:r>
              <w:rPr>
                <w:rFonts w:hint="eastAsia" w:ascii="宋体" w:hAnsi="宋体" w:cs="宋体"/>
                <w:sz w:val="24"/>
                <w:szCs w:val="24"/>
                <w:lang w:eastAsia="en-US"/>
              </w:rPr>
              <w:t>龙华</w:t>
            </w:r>
          </w:p>
        </w:tc>
      </w:tr>
      <w:tr w14:paraId="39A7BAEA">
        <w:tblPrEx>
          <w:tblCellMar>
            <w:top w:w="0" w:type="dxa"/>
            <w:left w:w="108" w:type="dxa"/>
            <w:bottom w:w="0" w:type="dxa"/>
            <w:right w:w="108" w:type="dxa"/>
          </w:tblCellMar>
        </w:tblPrEx>
        <w:trPr>
          <w:trHeight w:val="270" w:hRule="atLeast"/>
          <w:jc w:val="center"/>
        </w:trPr>
        <w:tc>
          <w:tcPr>
            <w:tcW w:w="222" w:type="dxa"/>
            <w:shd w:val="clear" w:color="auto" w:fill="FFFFFF"/>
            <w:noWrap/>
            <w:vAlign w:val="bottom"/>
          </w:tcPr>
          <w:p w14:paraId="60D890A0">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73A10533">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24782A88">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tcBorders>
              <w:top w:val="nil"/>
              <w:left w:val="single" w:color="auto" w:sz="4" w:space="0"/>
              <w:bottom w:val="single" w:color="auto" w:sz="4" w:space="0"/>
              <w:right w:val="nil"/>
            </w:tcBorders>
            <w:shd w:val="clear" w:color="auto" w:fill="FFFFFF"/>
            <w:noWrap/>
            <w:vAlign w:val="bottom"/>
          </w:tcPr>
          <w:p w14:paraId="12197113">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tcBorders>
              <w:top w:val="nil"/>
              <w:left w:val="nil"/>
              <w:bottom w:val="single" w:color="auto" w:sz="4" w:space="0"/>
              <w:right w:val="nil"/>
            </w:tcBorders>
            <w:shd w:val="clear" w:color="auto" w:fill="FFFFFF"/>
            <w:noWrap/>
            <w:vAlign w:val="bottom"/>
          </w:tcPr>
          <w:p w14:paraId="4801D243">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tcBorders>
              <w:top w:val="nil"/>
              <w:left w:val="single" w:color="auto" w:sz="4" w:space="0"/>
              <w:bottom w:val="single" w:color="auto" w:sz="4" w:space="0"/>
              <w:right w:val="nil"/>
            </w:tcBorders>
            <w:shd w:val="clear" w:color="auto" w:fill="FFFFFF"/>
            <w:noWrap/>
            <w:vAlign w:val="bottom"/>
          </w:tcPr>
          <w:p w14:paraId="13B5D0F5">
            <w:pPr>
              <w:widowControl/>
              <w:rPr>
                <w:rFonts w:ascii="宋体" w:hAnsi="宋体" w:cs="宋体"/>
                <w:sz w:val="24"/>
                <w:szCs w:val="24"/>
                <w:lang w:eastAsia="en-US"/>
              </w:rPr>
            </w:pPr>
            <w:r>
              <w:rPr>
                <w:rFonts w:hint="eastAsia" w:ascii="宋体" w:hAnsi="宋体" w:cs="宋体"/>
                <w:sz w:val="24"/>
                <w:szCs w:val="24"/>
                <w:lang w:eastAsia="en-US"/>
              </w:rPr>
              <w:t>　</w:t>
            </w:r>
          </w:p>
        </w:tc>
        <w:tc>
          <w:tcPr>
            <w:tcW w:w="321" w:type="dxa"/>
            <w:tcBorders>
              <w:top w:val="nil"/>
              <w:left w:val="nil"/>
              <w:bottom w:val="single" w:color="auto" w:sz="4" w:space="0"/>
              <w:right w:val="nil"/>
            </w:tcBorders>
            <w:shd w:val="clear" w:color="auto" w:fill="FFFFFF"/>
            <w:noWrap/>
            <w:vAlign w:val="bottom"/>
          </w:tcPr>
          <w:p w14:paraId="557198B5">
            <w:pPr>
              <w:widowControl/>
              <w:rPr>
                <w:rFonts w:ascii="宋体" w:hAnsi="宋体" w:cs="宋体"/>
                <w:sz w:val="24"/>
                <w:szCs w:val="24"/>
                <w:lang w:eastAsia="en-US"/>
              </w:rPr>
            </w:pPr>
            <w:r>
              <w:rPr>
                <w:rFonts w:hint="eastAsia" w:ascii="宋体" w:hAnsi="宋体" w:cs="宋体"/>
                <w:sz w:val="24"/>
                <w:szCs w:val="24"/>
                <w:lang w:eastAsia="en-US"/>
              </w:rPr>
              <w:t>　</w:t>
            </w:r>
          </w:p>
        </w:tc>
        <w:tc>
          <w:tcPr>
            <w:tcW w:w="318" w:type="dxa"/>
            <w:tcBorders>
              <w:top w:val="nil"/>
              <w:left w:val="nil"/>
              <w:bottom w:val="single" w:color="auto" w:sz="4" w:space="0"/>
              <w:right w:val="nil"/>
            </w:tcBorders>
            <w:shd w:val="clear" w:color="auto" w:fill="FFFFFF"/>
            <w:noWrap/>
            <w:vAlign w:val="bottom"/>
          </w:tcPr>
          <w:p w14:paraId="0645B0CB">
            <w:pPr>
              <w:widowControl/>
              <w:rPr>
                <w:rFonts w:ascii="宋体" w:hAnsi="宋体" w:cs="宋体"/>
                <w:sz w:val="24"/>
                <w:szCs w:val="24"/>
                <w:lang w:eastAsia="en-US"/>
              </w:rPr>
            </w:pPr>
            <w:r>
              <w:rPr>
                <w:rFonts w:hint="eastAsia" w:ascii="宋体" w:hAnsi="宋体" w:cs="宋体"/>
                <w:sz w:val="24"/>
                <w:szCs w:val="24"/>
                <w:lang w:eastAsia="en-US"/>
              </w:rPr>
              <w:t>　</w:t>
            </w:r>
          </w:p>
        </w:tc>
        <w:tc>
          <w:tcPr>
            <w:tcW w:w="413" w:type="dxa"/>
            <w:tcBorders>
              <w:top w:val="nil"/>
              <w:left w:val="single" w:color="auto" w:sz="4" w:space="0"/>
              <w:bottom w:val="single" w:color="auto" w:sz="4" w:space="0"/>
              <w:right w:val="nil"/>
            </w:tcBorders>
            <w:shd w:val="clear" w:color="auto" w:fill="FFFFFF"/>
            <w:noWrap/>
            <w:vAlign w:val="bottom"/>
          </w:tcPr>
          <w:p w14:paraId="5F8953DF">
            <w:pPr>
              <w:widowControl/>
              <w:rPr>
                <w:rFonts w:ascii="宋体" w:hAnsi="宋体" w:cs="宋体"/>
                <w:sz w:val="24"/>
                <w:szCs w:val="24"/>
                <w:lang w:eastAsia="en-US"/>
              </w:rPr>
            </w:pPr>
            <w:r>
              <w:rPr>
                <w:rFonts w:hint="eastAsia" w:ascii="宋体" w:hAnsi="宋体" w:cs="宋体"/>
                <w:sz w:val="24"/>
                <w:szCs w:val="24"/>
                <w:lang w:eastAsia="en-US"/>
              </w:rPr>
              <w:t>　</w:t>
            </w:r>
          </w:p>
        </w:tc>
        <w:tc>
          <w:tcPr>
            <w:tcW w:w="334" w:type="dxa"/>
            <w:tcBorders>
              <w:top w:val="nil"/>
              <w:left w:val="nil"/>
              <w:bottom w:val="single" w:color="auto" w:sz="4" w:space="0"/>
              <w:right w:val="nil"/>
            </w:tcBorders>
            <w:shd w:val="clear" w:color="auto" w:fill="FFFFFF"/>
            <w:noWrap/>
            <w:vAlign w:val="bottom"/>
          </w:tcPr>
          <w:p w14:paraId="08D603F9">
            <w:pPr>
              <w:widowControl/>
              <w:rPr>
                <w:rFonts w:ascii="宋体" w:hAnsi="宋体" w:cs="宋体"/>
                <w:sz w:val="24"/>
                <w:szCs w:val="24"/>
                <w:lang w:eastAsia="en-US"/>
              </w:rPr>
            </w:pPr>
            <w:r>
              <w:rPr>
                <w:rFonts w:hint="eastAsia" w:ascii="宋体" w:hAnsi="宋体" w:cs="宋体"/>
                <w:sz w:val="24"/>
                <w:szCs w:val="24"/>
                <w:lang w:eastAsia="en-US"/>
              </w:rPr>
              <w:t>　</w:t>
            </w:r>
          </w:p>
        </w:tc>
        <w:tc>
          <w:tcPr>
            <w:tcW w:w="236" w:type="dxa"/>
            <w:tcBorders>
              <w:top w:val="nil"/>
              <w:left w:val="nil"/>
              <w:bottom w:val="single" w:color="auto" w:sz="4" w:space="0"/>
              <w:right w:val="nil"/>
            </w:tcBorders>
            <w:shd w:val="clear" w:color="auto" w:fill="FFFFFF"/>
            <w:noWrap/>
            <w:vAlign w:val="bottom"/>
          </w:tcPr>
          <w:p w14:paraId="29C10DE9">
            <w:pPr>
              <w:widowControl/>
              <w:rPr>
                <w:rFonts w:ascii="宋体" w:hAnsi="宋体" w:cs="宋体"/>
                <w:sz w:val="24"/>
                <w:szCs w:val="24"/>
                <w:lang w:eastAsia="en-US"/>
              </w:rPr>
            </w:pPr>
            <w:r>
              <w:rPr>
                <w:rFonts w:hint="eastAsia" w:ascii="宋体" w:hAnsi="宋体" w:cs="宋体"/>
                <w:sz w:val="24"/>
                <w:szCs w:val="24"/>
                <w:lang w:eastAsia="en-US"/>
              </w:rPr>
              <w:t>　</w:t>
            </w:r>
          </w:p>
        </w:tc>
        <w:tc>
          <w:tcPr>
            <w:tcW w:w="418" w:type="dxa"/>
            <w:tcBorders>
              <w:top w:val="nil"/>
              <w:left w:val="single" w:color="auto" w:sz="4" w:space="0"/>
              <w:bottom w:val="single" w:color="auto" w:sz="4" w:space="0"/>
              <w:right w:val="nil"/>
            </w:tcBorders>
            <w:shd w:val="clear" w:color="auto" w:fill="FFFFFF"/>
            <w:noWrap/>
            <w:vAlign w:val="bottom"/>
          </w:tcPr>
          <w:p w14:paraId="2C1F9B53">
            <w:pPr>
              <w:widowControl/>
              <w:rPr>
                <w:rFonts w:ascii="宋体" w:hAnsi="宋体" w:cs="宋体"/>
                <w:sz w:val="24"/>
                <w:szCs w:val="24"/>
                <w:lang w:eastAsia="en-US"/>
              </w:rPr>
            </w:pPr>
            <w:r>
              <w:rPr>
                <w:rFonts w:hint="eastAsia" w:ascii="宋体" w:hAnsi="宋体" w:cs="宋体"/>
                <w:sz w:val="24"/>
                <w:szCs w:val="24"/>
                <w:lang w:eastAsia="en-US"/>
              </w:rPr>
              <w:t>　</w:t>
            </w:r>
          </w:p>
        </w:tc>
        <w:tc>
          <w:tcPr>
            <w:tcW w:w="884" w:type="dxa"/>
            <w:tcBorders>
              <w:top w:val="nil"/>
              <w:left w:val="nil"/>
              <w:bottom w:val="single" w:color="auto" w:sz="4" w:space="0"/>
              <w:right w:val="nil"/>
            </w:tcBorders>
            <w:shd w:val="clear" w:color="auto" w:fill="FFFFFF"/>
            <w:noWrap/>
            <w:vAlign w:val="bottom"/>
          </w:tcPr>
          <w:p w14:paraId="252E46C2">
            <w:pPr>
              <w:widowControl/>
              <w:rPr>
                <w:rFonts w:ascii="宋体" w:hAnsi="宋体" w:cs="宋体"/>
                <w:sz w:val="24"/>
                <w:szCs w:val="24"/>
                <w:lang w:eastAsia="en-US"/>
              </w:rPr>
            </w:pPr>
            <w:r>
              <w:rPr>
                <w:rFonts w:hint="eastAsia" w:ascii="宋体" w:hAnsi="宋体" w:cs="宋体"/>
                <w:sz w:val="24"/>
                <w:szCs w:val="24"/>
                <w:lang w:eastAsia="en-US"/>
              </w:rPr>
              <w:t>　</w:t>
            </w:r>
          </w:p>
        </w:tc>
        <w:tc>
          <w:tcPr>
            <w:tcW w:w="2320" w:type="dxa"/>
            <w:shd w:val="clear" w:color="auto" w:fill="FFFFFF"/>
            <w:noWrap/>
            <w:vAlign w:val="bottom"/>
          </w:tcPr>
          <w:p w14:paraId="639C4BB8">
            <w:pPr>
              <w:widowControl/>
              <w:rPr>
                <w:rFonts w:ascii="宋体" w:hAnsi="宋体" w:cs="宋体"/>
                <w:sz w:val="24"/>
                <w:szCs w:val="24"/>
                <w:lang w:eastAsia="en-US"/>
              </w:rPr>
            </w:pPr>
            <w:r>
              <w:rPr>
                <w:rFonts w:hint="eastAsia" w:ascii="宋体" w:hAnsi="宋体" w:cs="宋体"/>
                <w:sz w:val="24"/>
                <w:szCs w:val="24"/>
                <w:lang w:eastAsia="en-US"/>
              </w:rPr>
              <w:t>范本</w:t>
            </w:r>
          </w:p>
        </w:tc>
      </w:tr>
      <w:tr w14:paraId="502D74E4">
        <w:tblPrEx>
          <w:tblCellMar>
            <w:top w:w="0" w:type="dxa"/>
            <w:left w:w="108" w:type="dxa"/>
            <w:bottom w:w="0" w:type="dxa"/>
            <w:right w:w="108" w:type="dxa"/>
          </w:tblCellMar>
        </w:tblPrEx>
        <w:trPr>
          <w:trHeight w:val="270" w:hRule="atLeast"/>
          <w:jc w:val="center"/>
        </w:trPr>
        <w:tc>
          <w:tcPr>
            <w:tcW w:w="222" w:type="dxa"/>
            <w:shd w:val="clear" w:color="auto" w:fill="FFFFFF"/>
            <w:noWrap/>
            <w:vAlign w:val="bottom"/>
          </w:tcPr>
          <w:p w14:paraId="4BC7DA6E">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178065FA">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746B7A82">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7AFDC165">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05B23BD7">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tcBorders>
              <w:top w:val="nil"/>
              <w:left w:val="single" w:color="auto" w:sz="4" w:space="0"/>
              <w:bottom w:val="single" w:color="auto" w:sz="4" w:space="0"/>
              <w:right w:val="nil"/>
            </w:tcBorders>
            <w:shd w:val="clear" w:color="auto" w:fill="FFFFFF"/>
            <w:noWrap/>
            <w:vAlign w:val="bottom"/>
          </w:tcPr>
          <w:p w14:paraId="6A842125">
            <w:pPr>
              <w:widowControl/>
              <w:rPr>
                <w:rFonts w:ascii="宋体" w:hAnsi="宋体" w:cs="宋体"/>
                <w:sz w:val="24"/>
                <w:szCs w:val="24"/>
                <w:lang w:eastAsia="en-US"/>
              </w:rPr>
            </w:pPr>
            <w:r>
              <w:rPr>
                <w:rFonts w:hint="eastAsia" w:ascii="宋体" w:hAnsi="宋体" w:cs="宋体"/>
                <w:sz w:val="24"/>
                <w:szCs w:val="24"/>
                <w:lang w:eastAsia="en-US"/>
              </w:rPr>
              <w:t>　</w:t>
            </w:r>
          </w:p>
        </w:tc>
        <w:tc>
          <w:tcPr>
            <w:tcW w:w="321" w:type="dxa"/>
            <w:tcBorders>
              <w:top w:val="nil"/>
              <w:left w:val="nil"/>
              <w:bottom w:val="single" w:color="auto" w:sz="4" w:space="0"/>
              <w:right w:val="nil"/>
            </w:tcBorders>
            <w:shd w:val="clear" w:color="auto" w:fill="FFFFFF"/>
            <w:noWrap/>
            <w:vAlign w:val="bottom"/>
          </w:tcPr>
          <w:p w14:paraId="46194795">
            <w:pPr>
              <w:widowControl/>
              <w:rPr>
                <w:rFonts w:ascii="宋体" w:hAnsi="宋体" w:cs="宋体"/>
                <w:sz w:val="24"/>
                <w:szCs w:val="24"/>
                <w:lang w:eastAsia="en-US"/>
              </w:rPr>
            </w:pPr>
            <w:r>
              <w:rPr>
                <w:rFonts w:hint="eastAsia" w:ascii="宋体" w:hAnsi="宋体" w:cs="宋体"/>
                <w:sz w:val="24"/>
                <w:szCs w:val="24"/>
                <w:lang w:eastAsia="en-US"/>
              </w:rPr>
              <w:t>　</w:t>
            </w:r>
          </w:p>
        </w:tc>
        <w:tc>
          <w:tcPr>
            <w:tcW w:w="318" w:type="dxa"/>
            <w:tcBorders>
              <w:top w:val="nil"/>
              <w:left w:val="nil"/>
              <w:bottom w:val="single" w:color="auto" w:sz="4" w:space="0"/>
              <w:right w:val="nil"/>
            </w:tcBorders>
            <w:shd w:val="clear" w:color="auto" w:fill="FFFFFF"/>
            <w:noWrap/>
            <w:vAlign w:val="bottom"/>
          </w:tcPr>
          <w:p w14:paraId="535F9141">
            <w:pPr>
              <w:widowControl/>
              <w:rPr>
                <w:rFonts w:ascii="宋体" w:hAnsi="宋体" w:cs="宋体"/>
                <w:sz w:val="24"/>
                <w:szCs w:val="24"/>
                <w:lang w:eastAsia="en-US"/>
              </w:rPr>
            </w:pPr>
            <w:r>
              <w:rPr>
                <w:rFonts w:hint="eastAsia" w:ascii="宋体" w:hAnsi="宋体" w:cs="宋体"/>
                <w:sz w:val="24"/>
                <w:szCs w:val="24"/>
                <w:lang w:eastAsia="en-US"/>
              </w:rPr>
              <w:t>　</w:t>
            </w:r>
          </w:p>
        </w:tc>
        <w:tc>
          <w:tcPr>
            <w:tcW w:w="413" w:type="dxa"/>
            <w:tcBorders>
              <w:top w:val="nil"/>
              <w:left w:val="single" w:color="auto" w:sz="4" w:space="0"/>
              <w:bottom w:val="single" w:color="auto" w:sz="4" w:space="0"/>
              <w:right w:val="nil"/>
            </w:tcBorders>
            <w:shd w:val="clear" w:color="auto" w:fill="FFFFFF"/>
            <w:noWrap/>
            <w:vAlign w:val="bottom"/>
          </w:tcPr>
          <w:p w14:paraId="1F3F83EC">
            <w:pPr>
              <w:widowControl/>
              <w:rPr>
                <w:rFonts w:ascii="宋体" w:hAnsi="宋体" w:cs="宋体"/>
                <w:sz w:val="24"/>
                <w:szCs w:val="24"/>
                <w:lang w:eastAsia="en-US"/>
              </w:rPr>
            </w:pPr>
            <w:r>
              <w:rPr>
                <w:rFonts w:hint="eastAsia" w:ascii="宋体" w:hAnsi="宋体" w:cs="宋体"/>
                <w:sz w:val="24"/>
                <w:szCs w:val="24"/>
                <w:lang w:eastAsia="en-US"/>
              </w:rPr>
              <w:t>　</w:t>
            </w:r>
          </w:p>
        </w:tc>
        <w:tc>
          <w:tcPr>
            <w:tcW w:w="334" w:type="dxa"/>
            <w:tcBorders>
              <w:top w:val="nil"/>
              <w:left w:val="nil"/>
              <w:bottom w:val="single" w:color="auto" w:sz="4" w:space="0"/>
              <w:right w:val="nil"/>
            </w:tcBorders>
            <w:shd w:val="clear" w:color="auto" w:fill="FFFFFF"/>
            <w:noWrap/>
            <w:vAlign w:val="bottom"/>
          </w:tcPr>
          <w:p w14:paraId="7A879335">
            <w:pPr>
              <w:widowControl/>
              <w:rPr>
                <w:rFonts w:ascii="宋体" w:hAnsi="宋体" w:cs="宋体"/>
                <w:sz w:val="24"/>
                <w:szCs w:val="24"/>
                <w:lang w:eastAsia="en-US"/>
              </w:rPr>
            </w:pPr>
            <w:r>
              <w:rPr>
                <w:rFonts w:hint="eastAsia" w:ascii="宋体" w:hAnsi="宋体" w:cs="宋体"/>
                <w:sz w:val="24"/>
                <w:szCs w:val="24"/>
                <w:lang w:eastAsia="en-US"/>
              </w:rPr>
              <w:t>　</w:t>
            </w:r>
          </w:p>
        </w:tc>
        <w:tc>
          <w:tcPr>
            <w:tcW w:w="236" w:type="dxa"/>
            <w:tcBorders>
              <w:top w:val="nil"/>
              <w:left w:val="nil"/>
              <w:bottom w:val="single" w:color="auto" w:sz="4" w:space="0"/>
              <w:right w:val="nil"/>
            </w:tcBorders>
            <w:shd w:val="clear" w:color="auto" w:fill="FFFFFF"/>
            <w:noWrap/>
            <w:vAlign w:val="bottom"/>
          </w:tcPr>
          <w:p w14:paraId="3CA172CA">
            <w:pPr>
              <w:widowControl/>
              <w:rPr>
                <w:rFonts w:ascii="宋体" w:hAnsi="宋体" w:cs="宋体"/>
                <w:sz w:val="24"/>
                <w:szCs w:val="24"/>
                <w:lang w:eastAsia="en-US"/>
              </w:rPr>
            </w:pPr>
            <w:r>
              <w:rPr>
                <w:rFonts w:hint="eastAsia" w:ascii="宋体" w:hAnsi="宋体" w:cs="宋体"/>
                <w:sz w:val="24"/>
                <w:szCs w:val="24"/>
                <w:lang w:eastAsia="en-US"/>
              </w:rPr>
              <w:t>　</w:t>
            </w:r>
          </w:p>
        </w:tc>
        <w:tc>
          <w:tcPr>
            <w:tcW w:w="418" w:type="dxa"/>
            <w:tcBorders>
              <w:top w:val="nil"/>
              <w:left w:val="single" w:color="auto" w:sz="4" w:space="0"/>
              <w:bottom w:val="single" w:color="auto" w:sz="4" w:space="0"/>
              <w:right w:val="nil"/>
            </w:tcBorders>
            <w:shd w:val="clear" w:color="auto" w:fill="FFFFFF"/>
            <w:noWrap/>
            <w:vAlign w:val="bottom"/>
          </w:tcPr>
          <w:p w14:paraId="47EE2F19">
            <w:pPr>
              <w:widowControl/>
              <w:rPr>
                <w:rFonts w:ascii="宋体" w:hAnsi="宋体" w:cs="宋体"/>
                <w:sz w:val="24"/>
                <w:szCs w:val="24"/>
                <w:lang w:eastAsia="en-US"/>
              </w:rPr>
            </w:pPr>
            <w:r>
              <w:rPr>
                <w:rFonts w:hint="eastAsia" w:ascii="宋体" w:hAnsi="宋体" w:cs="宋体"/>
                <w:sz w:val="24"/>
                <w:szCs w:val="24"/>
                <w:lang w:eastAsia="en-US"/>
              </w:rPr>
              <w:t>　</w:t>
            </w:r>
          </w:p>
        </w:tc>
        <w:tc>
          <w:tcPr>
            <w:tcW w:w="884" w:type="dxa"/>
            <w:tcBorders>
              <w:top w:val="nil"/>
              <w:left w:val="nil"/>
              <w:bottom w:val="single" w:color="auto" w:sz="4" w:space="0"/>
              <w:right w:val="nil"/>
            </w:tcBorders>
            <w:shd w:val="clear" w:color="auto" w:fill="FFFFFF"/>
            <w:noWrap/>
            <w:vAlign w:val="bottom"/>
          </w:tcPr>
          <w:p w14:paraId="1671A53C">
            <w:pPr>
              <w:widowControl/>
              <w:rPr>
                <w:rFonts w:ascii="宋体" w:hAnsi="宋体" w:cs="宋体"/>
                <w:sz w:val="24"/>
                <w:szCs w:val="24"/>
                <w:lang w:eastAsia="en-US"/>
              </w:rPr>
            </w:pPr>
            <w:r>
              <w:rPr>
                <w:rFonts w:hint="eastAsia" w:ascii="宋体" w:hAnsi="宋体" w:cs="宋体"/>
                <w:sz w:val="24"/>
                <w:szCs w:val="24"/>
                <w:lang w:eastAsia="en-US"/>
              </w:rPr>
              <w:t>　</w:t>
            </w:r>
          </w:p>
        </w:tc>
        <w:tc>
          <w:tcPr>
            <w:tcW w:w="2320" w:type="dxa"/>
            <w:shd w:val="clear" w:color="auto" w:fill="FFFFFF"/>
            <w:noWrap/>
            <w:vAlign w:val="bottom"/>
          </w:tcPr>
          <w:p w14:paraId="31CCC649">
            <w:pPr>
              <w:widowControl/>
              <w:rPr>
                <w:rFonts w:ascii="宋体" w:hAnsi="宋体" w:cs="宋体"/>
                <w:sz w:val="24"/>
                <w:szCs w:val="24"/>
                <w:lang w:eastAsia="en-US"/>
              </w:rPr>
            </w:pPr>
            <w:r>
              <w:rPr>
                <w:rFonts w:hint="eastAsia" w:ascii="宋体" w:hAnsi="宋体" w:cs="宋体"/>
                <w:sz w:val="24"/>
                <w:szCs w:val="24"/>
                <w:lang w:eastAsia="en-US"/>
              </w:rPr>
              <w:t>勘察合同</w:t>
            </w:r>
          </w:p>
        </w:tc>
      </w:tr>
      <w:tr w14:paraId="0502188C">
        <w:tblPrEx>
          <w:tblCellMar>
            <w:top w:w="0" w:type="dxa"/>
            <w:left w:w="108" w:type="dxa"/>
            <w:bottom w:w="0" w:type="dxa"/>
            <w:right w:w="108" w:type="dxa"/>
          </w:tblCellMar>
        </w:tblPrEx>
        <w:trPr>
          <w:trHeight w:val="270" w:hRule="atLeast"/>
          <w:jc w:val="center"/>
        </w:trPr>
        <w:tc>
          <w:tcPr>
            <w:tcW w:w="222" w:type="dxa"/>
            <w:shd w:val="clear" w:color="auto" w:fill="FFFFFF"/>
            <w:noWrap/>
            <w:vAlign w:val="bottom"/>
          </w:tcPr>
          <w:p w14:paraId="2821A9D5">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51917EE8">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1F02B8CF">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63EF813F">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693176C8">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0CD73206">
            <w:pPr>
              <w:widowControl/>
              <w:rPr>
                <w:rFonts w:ascii="宋体" w:hAnsi="宋体" w:cs="宋体"/>
                <w:sz w:val="24"/>
                <w:szCs w:val="24"/>
                <w:lang w:eastAsia="en-US"/>
              </w:rPr>
            </w:pPr>
            <w:r>
              <w:rPr>
                <w:rFonts w:hint="eastAsia" w:ascii="宋体" w:hAnsi="宋体" w:cs="宋体"/>
                <w:sz w:val="24"/>
                <w:szCs w:val="24"/>
                <w:lang w:eastAsia="en-US"/>
              </w:rPr>
              <w:t>　</w:t>
            </w:r>
          </w:p>
        </w:tc>
        <w:tc>
          <w:tcPr>
            <w:tcW w:w="321" w:type="dxa"/>
            <w:shd w:val="clear" w:color="auto" w:fill="FFFFFF"/>
            <w:noWrap/>
            <w:vAlign w:val="bottom"/>
          </w:tcPr>
          <w:p w14:paraId="70880366">
            <w:pPr>
              <w:widowControl/>
              <w:rPr>
                <w:rFonts w:ascii="宋体" w:hAnsi="宋体" w:cs="宋体"/>
                <w:sz w:val="24"/>
                <w:szCs w:val="24"/>
                <w:lang w:eastAsia="en-US"/>
              </w:rPr>
            </w:pPr>
            <w:r>
              <w:rPr>
                <w:rFonts w:hint="eastAsia" w:ascii="宋体" w:hAnsi="宋体" w:cs="宋体"/>
                <w:sz w:val="24"/>
                <w:szCs w:val="24"/>
                <w:lang w:eastAsia="en-US"/>
              </w:rPr>
              <w:t>　</w:t>
            </w:r>
          </w:p>
        </w:tc>
        <w:tc>
          <w:tcPr>
            <w:tcW w:w="318" w:type="dxa"/>
            <w:shd w:val="clear" w:color="auto" w:fill="FFFFFF"/>
            <w:noWrap/>
            <w:vAlign w:val="bottom"/>
          </w:tcPr>
          <w:p w14:paraId="1F5F511E">
            <w:pPr>
              <w:widowControl/>
              <w:rPr>
                <w:rFonts w:ascii="宋体" w:hAnsi="宋体" w:cs="宋体"/>
                <w:sz w:val="24"/>
                <w:szCs w:val="24"/>
                <w:lang w:eastAsia="en-US"/>
              </w:rPr>
            </w:pPr>
            <w:r>
              <w:rPr>
                <w:rFonts w:hint="eastAsia" w:ascii="宋体" w:hAnsi="宋体" w:cs="宋体"/>
                <w:sz w:val="24"/>
                <w:szCs w:val="24"/>
                <w:lang w:eastAsia="en-US"/>
              </w:rPr>
              <w:t>　</w:t>
            </w:r>
          </w:p>
        </w:tc>
        <w:tc>
          <w:tcPr>
            <w:tcW w:w="413" w:type="dxa"/>
            <w:tcBorders>
              <w:top w:val="nil"/>
              <w:left w:val="single" w:color="auto" w:sz="4" w:space="0"/>
              <w:bottom w:val="single" w:color="auto" w:sz="4" w:space="0"/>
              <w:right w:val="nil"/>
            </w:tcBorders>
            <w:shd w:val="clear" w:color="auto" w:fill="FFFFFF"/>
            <w:noWrap/>
            <w:vAlign w:val="bottom"/>
          </w:tcPr>
          <w:p w14:paraId="49E9DB7D">
            <w:pPr>
              <w:widowControl/>
              <w:rPr>
                <w:rFonts w:ascii="宋体" w:hAnsi="宋体" w:cs="宋体"/>
                <w:sz w:val="24"/>
                <w:szCs w:val="24"/>
                <w:lang w:eastAsia="en-US"/>
              </w:rPr>
            </w:pPr>
            <w:r>
              <w:rPr>
                <w:rFonts w:hint="eastAsia" w:ascii="宋体" w:hAnsi="宋体" w:cs="宋体"/>
                <w:sz w:val="24"/>
                <w:szCs w:val="24"/>
                <w:lang w:eastAsia="en-US"/>
              </w:rPr>
              <w:t>　</w:t>
            </w:r>
          </w:p>
        </w:tc>
        <w:tc>
          <w:tcPr>
            <w:tcW w:w="334" w:type="dxa"/>
            <w:tcBorders>
              <w:top w:val="nil"/>
              <w:left w:val="nil"/>
              <w:bottom w:val="single" w:color="auto" w:sz="4" w:space="0"/>
              <w:right w:val="nil"/>
            </w:tcBorders>
            <w:shd w:val="clear" w:color="auto" w:fill="FFFFFF"/>
            <w:noWrap/>
            <w:vAlign w:val="bottom"/>
          </w:tcPr>
          <w:p w14:paraId="3D7EDD83">
            <w:pPr>
              <w:widowControl/>
              <w:rPr>
                <w:rFonts w:ascii="宋体" w:hAnsi="宋体" w:cs="宋体"/>
                <w:sz w:val="24"/>
                <w:szCs w:val="24"/>
                <w:lang w:eastAsia="en-US"/>
              </w:rPr>
            </w:pPr>
            <w:r>
              <w:rPr>
                <w:rFonts w:hint="eastAsia" w:ascii="宋体" w:hAnsi="宋体" w:cs="宋体"/>
                <w:sz w:val="24"/>
                <w:szCs w:val="24"/>
                <w:lang w:eastAsia="en-US"/>
              </w:rPr>
              <w:t>　</w:t>
            </w:r>
          </w:p>
        </w:tc>
        <w:tc>
          <w:tcPr>
            <w:tcW w:w="236" w:type="dxa"/>
            <w:tcBorders>
              <w:top w:val="nil"/>
              <w:left w:val="nil"/>
              <w:bottom w:val="single" w:color="auto" w:sz="4" w:space="0"/>
              <w:right w:val="nil"/>
            </w:tcBorders>
            <w:shd w:val="clear" w:color="auto" w:fill="FFFFFF"/>
            <w:noWrap/>
            <w:vAlign w:val="bottom"/>
          </w:tcPr>
          <w:p w14:paraId="1DBAD5C1">
            <w:pPr>
              <w:widowControl/>
              <w:rPr>
                <w:rFonts w:ascii="宋体" w:hAnsi="宋体" w:cs="宋体"/>
                <w:sz w:val="24"/>
                <w:szCs w:val="24"/>
                <w:lang w:eastAsia="en-US"/>
              </w:rPr>
            </w:pPr>
            <w:r>
              <w:rPr>
                <w:rFonts w:hint="eastAsia" w:ascii="宋体" w:hAnsi="宋体" w:cs="宋体"/>
                <w:sz w:val="24"/>
                <w:szCs w:val="24"/>
                <w:lang w:eastAsia="en-US"/>
              </w:rPr>
              <w:t>　</w:t>
            </w:r>
          </w:p>
        </w:tc>
        <w:tc>
          <w:tcPr>
            <w:tcW w:w="418" w:type="dxa"/>
            <w:tcBorders>
              <w:top w:val="nil"/>
              <w:left w:val="single" w:color="auto" w:sz="4" w:space="0"/>
              <w:bottom w:val="single" w:color="auto" w:sz="4" w:space="0"/>
              <w:right w:val="nil"/>
            </w:tcBorders>
            <w:shd w:val="clear" w:color="auto" w:fill="FFFFFF"/>
            <w:noWrap/>
            <w:vAlign w:val="bottom"/>
          </w:tcPr>
          <w:p w14:paraId="78B7B4E4">
            <w:pPr>
              <w:widowControl/>
              <w:rPr>
                <w:rFonts w:ascii="宋体" w:hAnsi="宋体" w:cs="宋体"/>
                <w:sz w:val="24"/>
                <w:szCs w:val="24"/>
                <w:lang w:eastAsia="en-US"/>
              </w:rPr>
            </w:pPr>
            <w:r>
              <w:rPr>
                <w:rFonts w:hint="eastAsia" w:ascii="宋体" w:hAnsi="宋体" w:cs="宋体"/>
                <w:sz w:val="24"/>
                <w:szCs w:val="24"/>
                <w:lang w:eastAsia="en-US"/>
              </w:rPr>
              <w:t>　</w:t>
            </w:r>
          </w:p>
        </w:tc>
        <w:tc>
          <w:tcPr>
            <w:tcW w:w="884" w:type="dxa"/>
            <w:tcBorders>
              <w:top w:val="nil"/>
              <w:left w:val="nil"/>
              <w:bottom w:val="single" w:color="auto" w:sz="4" w:space="0"/>
              <w:right w:val="nil"/>
            </w:tcBorders>
            <w:shd w:val="clear" w:color="auto" w:fill="FFFFFF"/>
            <w:noWrap/>
            <w:vAlign w:val="bottom"/>
          </w:tcPr>
          <w:p w14:paraId="29016678">
            <w:pPr>
              <w:widowControl/>
              <w:rPr>
                <w:rFonts w:ascii="宋体" w:hAnsi="宋体" w:cs="宋体"/>
                <w:sz w:val="24"/>
                <w:szCs w:val="24"/>
                <w:lang w:eastAsia="en-US"/>
              </w:rPr>
            </w:pPr>
            <w:r>
              <w:rPr>
                <w:rFonts w:hint="eastAsia" w:ascii="宋体" w:hAnsi="宋体" w:cs="宋体"/>
                <w:sz w:val="24"/>
                <w:szCs w:val="24"/>
                <w:lang w:eastAsia="en-US"/>
              </w:rPr>
              <w:t>　</w:t>
            </w:r>
          </w:p>
        </w:tc>
        <w:tc>
          <w:tcPr>
            <w:tcW w:w="2320" w:type="dxa"/>
            <w:shd w:val="clear" w:color="auto" w:fill="FFFFFF"/>
            <w:noWrap/>
            <w:vAlign w:val="bottom"/>
          </w:tcPr>
          <w:p w14:paraId="1E35A277">
            <w:pPr>
              <w:widowControl/>
              <w:rPr>
                <w:rFonts w:ascii="宋体" w:hAnsi="宋体" w:cs="宋体"/>
                <w:sz w:val="24"/>
                <w:szCs w:val="24"/>
                <w:lang w:eastAsia="en-US"/>
              </w:rPr>
            </w:pPr>
            <w:r>
              <w:rPr>
                <w:rFonts w:hint="eastAsia" w:ascii="宋体" w:hAnsi="宋体" w:cs="宋体"/>
                <w:sz w:val="24"/>
                <w:szCs w:val="24"/>
                <w:lang w:eastAsia="en-US"/>
              </w:rPr>
              <w:t>2022版</w:t>
            </w:r>
          </w:p>
        </w:tc>
      </w:tr>
      <w:tr w14:paraId="0FDE4903">
        <w:tblPrEx>
          <w:tblCellMar>
            <w:top w:w="0" w:type="dxa"/>
            <w:left w:w="108" w:type="dxa"/>
            <w:bottom w:w="0" w:type="dxa"/>
            <w:right w:w="108" w:type="dxa"/>
          </w:tblCellMar>
        </w:tblPrEx>
        <w:trPr>
          <w:trHeight w:val="270" w:hRule="atLeast"/>
          <w:jc w:val="center"/>
        </w:trPr>
        <w:tc>
          <w:tcPr>
            <w:tcW w:w="222" w:type="dxa"/>
            <w:shd w:val="clear" w:color="auto" w:fill="FFFFFF"/>
            <w:noWrap/>
            <w:vAlign w:val="bottom"/>
          </w:tcPr>
          <w:p w14:paraId="5B4A5953">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48967DFB">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7415ABB2">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753671A0">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3A84B3FF">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1112328C">
            <w:pPr>
              <w:widowControl/>
              <w:rPr>
                <w:rFonts w:ascii="宋体" w:hAnsi="宋体" w:cs="宋体"/>
                <w:sz w:val="24"/>
                <w:szCs w:val="24"/>
                <w:lang w:eastAsia="en-US"/>
              </w:rPr>
            </w:pPr>
            <w:r>
              <w:rPr>
                <w:rFonts w:hint="eastAsia" w:ascii="宋体" w:hAnsi="宋体" w:cs="宋体"/>
                <w:sz w:val="24"/>
                <w:szCs w:val="24"/>
                <w:lang w:eastAsia="en-US"/>
              </w:rPr>
              <w:t>　</w:t>
            </w:r>
          </w:p>
        </w:tc>
        <w:tc>
          <w:tcPr>
            <w:tcW w:w="321" w:type="dxa"/>
            <w:shd w:val="clear" w:color="auto" w:fill="FFFFFF"/>
            <w:noWrap/>
            <w:vAlign w:val="bottom"/>
          </w:tcPr>
          <w:p w14:paraId="60C05C8D">
            <w:pPr>
              <w:widowControl/>
              <w:rPr>
                <w:rFonts w:ascii="宋体" w:hAnsi="宋体" w:cs="宋体"/>
                <w:sz w:val="24"/>
                <w:szCs w:val="24"/>
                <w:lang w:eastAsia="en-US"/>
              </w:rPr>
            </w:pPr>
            <w:r>
              <w:rPr>
                <w:rFonts w:hint="eastAsia" w:ascii="宋体" w:hAnsi="宋体" w:cs="宋体"/>
                <w:sz w:val="24"/>
                <w:szCs w:val="24"/>
                <w:lang w:eastAsia="en-US"/>
              </w:rPr>
              <w:t>　</w:t>
            </w:r>
          </w:p>
        </w:tc>
        <w:tc>
          <w:tcPr>
            <w:tcW w:w="318" w:type="dxa"/>
            <w:shd w:val="clear" w:color="auto" w:fill="FFFFFF"/>
            <w:noWrap/>
            <w:vAlign w:val="bottom"/>
          </w:tcPr>
          <w:p w14:paraId="4B1D7152">
            <w:pPr>
              <w:widowControl/>
              <w:rPr>
                <w:rFonts w:ascii="宋体" w:hAnsi="宋体" w:cs="宋体"/>
                <w:sz w:val="24"/>
                <w:szCs w:val="24"/>
                <w:lang w:eastAsia="en-US"/>
              </w:rPr>
            </w:pPr>
            <w:r>
              <w:rPr>
                <w:rFonts w:hint="eastAsia" w:ascii="宋体" w:hAnsi="宋体" w:cs="宋体"/>
                <w:sz w:val="24"/>
                <w:szCs w:val="24"/>
                <w:lang w:eastAsia="en-US"/>
              </w:rPr>
              <w:t>　</w:t>
            </w:r>
          </w:p>
        </w:tc>
        <w:tc>
          <w:tcPr>
            <w:tcW w:w="413" w:type="dxa"/>
            <w:shd w:val="clear" w:color="auto" w:fill="FFFFFF"/>
            <w:noWrap/>
            <w:vAlign w:val="bottom"/>
          </w:tcPr>
          <w:p w14:paraId="7637B713">
            <w:pPr>
              <w:widowControl/>
              <w:rPr>
                <w:rFonts w:ascii="宋体" w:hAnsi="宋体" w:cs="宋体"/>
                <w:sz w:val="24"/>
                <w:szCs w:val="24"/>
                <w:lang w:eastAsia="en-US"/>
              </w:rPr>
            </w:pPr>
            <w:r>
              <w:rPr>
                <w:rFonts w:hint="eastAsia" w:ascii="宋体" w:hAnsi="宋体" w:cs="宋体"/>
                <w:sz w:val="24"/>
                <w:szCs w:val="24"/>
                <w:lang w:eastAsia="en-US"/>
              </w:rPr>
              <w:t>　</w:t>
            </w:r>
          </w:p>
        </w:tc>
        <w:tc>
          <w:tcPr>
            <w:tcW w:w="334" w:type="dxa"/>
            <w:shd w:val="clear" w:color="auto" w:fill="FFFFFF"/>
            <w:noWrap/>
            <w:vAlign w:val="bottom"/>
          </w:tcPr>
          <w:p w14:paraId="70B86549">
            <w:pPr>
              <w:widowControl/>
              <w:rPr>
                <w:rFonts w:ascii="宋体" w:hAnsi="宋体" w:cs="宋体"/>
                <w:sz w:val="24"/>
                <w:szCs w:val="24"/>
                <w:lang w:eastAsia="en-US"/>
              </w:rPr>
            </w:pPr>
            <w:r>
              <w:rPr>
                <w:rFonts w:hint="eastAsia" w:ascii="宋体" w:hAnsi="宋体" w:cs="宋体"/>
                <w:sz w:val="24"/>
                <w:szCs w:val="24"/>
                <w:lang w:eastAsia="en-US"/>
              </w:rPr>
              <w:t>　</w:t>
            </w:r>
          </w:p>
        </w:tc>
        <w:tc>
          <w:tcPr>
            <w:tcW w:w="236" w:type="dxa"/>
            <w:shd w:val="clear" w:color="auto" w:fill="FFFFFF"/>
            <w:noWrap/>
            <w:vAlign w:val="bottom"/>
          </w:tcPr>
          <w:p w14:paraId="4DC703A1">
            <w:pPr>
              <w:widowControl/>
              <w:rPr>
                <w:rFonts w:ascii="宋体" w:hAnsi="宋体" w:cs="宋体"/>
                <w:sz w:val="24"/>
                <w:szCs w:val="24"/>
                <w:lang w:eastAsia="en-US"/>
              </w:rPr>
            </w:pPr>
            <w:r>
              <w:rPr>
                <w:rFonts w:hint="eastAsia" w:ascii="宋体" w:hAnsi="宋体" w:cs="宋体"/>
                <w:sz w:val="24"/>
                <w:szCs w:val="24"/>
                <w:lang w:eastAsia="en-US"/>
              </w:rPr>
              <w:t>　</w:t>
            </w:r>
          </w:p>
        </w:tc>
        <w:tc>
          <w:tcPr>
            <w:tcW w:w="418" w:type="dxa"/>
            <w:tcBorders>
              <w:top w:val="nil"/>
              <w:left w:val="single" w:color="auto" w:sz="4" w:space="0"/>
              <w:bottom w:val="single" w:color="auto" w:sz="4" w:space="0"/>
              <w:right w:val="nil"/>
            </w:tcBorders>
            <w:shd w:val="clear" w:color="auto" w:fill="FFFFFF"/>
            <w:noWrap/>
            <w:vAlign w:val="bottom"/>
          </w:tcPr>
          <w:p w14:paraId="3FA3FAF7">
            <w:pPr>
              <w:widowControl/>
              <w:rPr>
                <w:rFonts w:ascii="宋体" w:hAnsi="宋体" w:cs="宋体"/>
                <w:sz w:val="24"/>
                <w:szCs w:val="24"/>
                <w:lang w:eastAsia="en-US"/>
              </w:rPr>
            </w:pPr>
            <w:r>
              <w:rPr>
                <w:rFonts w:hint="eastAsia" w:ascii="宋体" w:hAnsi="宋体" w:cs="宋体"/>
                <w:sz w:val="24"/>
                <w:szCs w:val="24"/>
                <w:lang w:eastAsia="en-US"/>
              </w:rPr>
              <w:t>　</w:t>
            </w:r>
          </w:p>
        </w:tc>
        <w:tc>
          <w:tcPr>
            <w:tcW w:w="884" w:type="dxa"/>
            <w:tcBorders>
              <w:top w:val="nil"/>
              <w:left w:val="nil"/>
              <w:bottom w:val="single" w:color="auto" w:sz="4" w:space="0"/>
              <w:right w:val="nil"/>
            </w:tcBorders>
            <w:shd w:val="clear" w:color="auto" w:fill="FFFFFF"/>
            <w:noWrap/>
            <w:vAlign w:val="bottom"/>
          </w:tcPr>
          <w:p w14:paraId="2232F2CF">
            <w:pPr>
              <w:widowControl/>
              <w:rPr>
                <w:rFonts w:ascii="宋体" w:hAnsi="宋体" w:cs="宋体"/>
                <w:sz w:val="24"/>
                <w:szCs w:val="24"/>
                <w:lang w:eastAsia="en-US"/>
              </w:rPr>
            </w:pPr>
            <w:r>
              <w:rPr>
                <w:rFonts w:hint="eastAsia" w:ascii="宋体" w:hAnsi="宋体" w:cs="宋体"/>
                <w:sz w:val="24"/>
                <w:szCs w:val="24"/>
                <w:lang w:eastAsia="en-US"/>
              </w:rPr>
              <w:t>　</w:t>
            </w:r>
          </w:p>
        </w:tc>
        <w:tc>
          <w:tcPr>
            <w:tcW w:w="2320" w:type="dxa"/>
            <w:shd w:val="clear" w:color="auto" w:fill="FFFFFF"/>
            <w:noWrap/>
            <w:vAlign w:val="bottom"/>
          </w:tcPr>
          <w:p w14:paraId="5546D0CA">
            <w:pPr>
              <w:widowControl/>
              <w:rPr>
                <w:rFonts w:ascii="宋体" w:hAnsi="宋体" w:cs="宋体"/>
                <w:sz w:val="24"/>
                <w:szCs w:val="24"/>
                <w:lang w:eastAsia="en-US"/>
              </w:rPr>
            </w:pPr>
            <w:r>
              <w:rPr>
                <w:rFonts w:hint="eastAsia" w:ascii="宋体" w:hAnsi="宋体" w:cs="宋体"/>
                <w:sz w:val="24"/>
                <w:szCs w:val="24"/>
                <w:lang w:eastAsia="en-US"/>
              </w:rPr>
              <w:t>首次编制</w:t>
            </w:r>
          </w:p>
        </w:tc>
      </w:tr>
    </w:tbl>
    <w:p w14:paraId="37AD2406">
      <w:pPr>
        <w:widowControl/>
        <w:spacing w:line="360" w:lineRule="auto"/>
        <w:jc w:val="left"/>
        <w:rPr>
          <w:rFonts w:ascii="宋体" w:hAnsi="宋体" w:cs="宋体"/>
          <w:szCs w:val="21"/>
        </w:rPr>
        <w:sectPr>
          <w:pgSz w:w="11906" w:h="16838"/>
          <w:pgMar w:top="1588" w:right="1588" w:bottom="1361" w:left="1588" w:header="851" w:footer="850" w:gutter="0"/>
          <w:pgNumType w:start="1"/>
          <w:cols w:space="720" w:num="1"/>
          <w:docGrid w:linePitch="326" w:charSpace="0"/>
        </w:sectPr>
      </w:pPr>
    </w:p>
    <w:p w14:paraId="4DDCB7F9">
      <w:pPr>
        <w:tabs>
          <w:tab w:val="right" w:leader="middleDot" w:pos="8400"/>
        </w:tabs>
        <w:spacing w:before="200" w:after="200" w:line="360" w:lineRule="auto"/>
        <w:ind w:firstLine="321" w:firstLineChars="100"/>
        <w:jc w:val="center"/>
        <w:outlineLvl w:val="0"/>
        <w:rPr>
          <w:rFonts w:ascii="宋体" w:hAnsi="宋体" w:cs="宋体"/>
          <w:kern w:val="0"/>
          <w:szCs w:val="21"/>
        </w:rPr>
      </w:pPr>
      <w:bookmarkStart w:id="0" w:name="_Toc9845"/>
      <w:r>
        <w:rPr>
          <w:rFonts w:hint="eastAsia" w:ascii="宋体" w:hAnsi="宋体" w:cs="宋体"/>
          <w:b/>
          <w:bCs/>
          <w:kern w:val="44"/>
          <w:sz w:val="32"/>
          <w:szCs w:val="32"/>
        </w:rPr>
        <w:t>合同协议书</w:t>
      </w:r>
      <w:bookmarkEnd w:id="0"/>
    </w:p>
    <w:p w14:paraId="144846C0">
      <w:pPr>
        <w:keepNext w:val="0"/>
        <w:keepLines w:val="0"/>
        <w:pageBreakBefore w:val="0"/>
        <w:kinsoku/>
        <w:wordWrap/>
        <w:topLinePunct w:val="0"/>
        <w:bidi w:val="0"/>
        <w:adjustRightInd w:val="0"/>
        <w:spacing w:line="360" w:lineRule="auto"/>
        <w:ind w:right="0" w:firstLine="480" w:firstLineChars="200"/>
        <w:textAlignment w:val="auto"/>
        <w:rPr>
          <w:rFonts w:hint="eastAsia" w:ascii="宋体" w:hAnsi="宋体" w:eastAsia="宋体" w:cs="宋体"/>
          <w:kern w:val="0"/>
          <w:sz w:val="24"/>
          <w:szCs w:val="24"/>
          <w:u w:val="single"/>
          <w:lang w:eastAsia="zh-CN"/>
        </w:rPr>
      </w:pPr>
      <w:r>
        <w:rPr>
          <w:rFonts w:hint="eastAsia" w:ascii="宋体" w:hAnsi="宋体" w:cs="宋体"/>
          <w:kern w:val="0"/>
          <w:sz w:val="24"/>
          <w:szCs w:val="24"/>
        </w:rPr>
        <w:t>发包人（甲方）：</w:t>
      </w:r>
      <w:r>
        <w:rPr>
          <w:rFonts w:hint="eastAsia" w:ascii="宋体" w:hAnsi="宋体" w:cs="宋体"/>
          <w:kern w:val="0"/>
          <w:sz w:val="24"/>
          <w:szCs w:val="24"/>
          <w:u w:val="single"/>
          <w:lang w:eastAsia="zh-CN"/>
        </w:rPr>
        <w:t>深圳市新龙观投资发展有限公司</w:t>
      </w:r>
    </w:p>
    <w:p w14:paraId="3F553A35">
      <w:pPr>
        <w:keepNext w:val="0"/>
        <w:keepLines w:val="0"/>
        <w:pageBreakBefore w:val="0"/>
        <w:kinsoku/>
        <w:wordWrap/>
        <w:topLinePunct w:val="0"/>
        <w:bidi w:val="0"/>
        <w:adjustRightInd w:val="0"/>
        <w:spacing w:line="360" w:lineRule="auto"/>
        <w:ind w:right="0" w:firstLine="480" w:firstLineChars="200"/>
        <w:textAlignment w:val="auto"/>
        <w:rPr>
          <w:rFonts w:hint="eastAsia" w:ascii="宋体" w:hAnsi="宋体" w:eastAsia="宋体" w:cs="宋体"/>
          <w:sz w:val="24"/>
          <w:szCs w:val="24"/>
          <w:u w:val="single"/>
          <w:lang w:eastAsia="zh-CN"/>
        </w:rPr>
      </w:pPr>
      <w:r>
        <w:rPr>
          <w:rFonts w:hint="eastAsia" w:ascii="宋体" w:hAnsi="宋体" w:cs="宋体"/>
          <w:kern w:val="0"/>
          <w:sz w:val="24"/>
          <w:szCs w:val="24"/>
        </w:rPr>
        <w:t>勘察人（乙方）：</w:t>
      </w:r>
      <w:r>
        <w:rPr>
          <w:rFonts w:hint="eastAsia" w:ascii="宋体" w:hAnsi="宋体" w:cs="宋体"/>
          <w:kern w:val="0"/>
          <w:sz w:val="24"/>
          <w:szCs w:val="24"/>
          <w:u w:val="single"/>
          <w:lang w:eastAsia="zh-CN"/>
        </w:rPr>
        <w:t>xxxx</w:t>
      </w:r>
    </w:p>
    <w:p w14:paraId="61D76261">
      <w:pPr>
        <w:keepNext w:val="0"/>
        <w:keepLines w:val="0"/>
        <w:pageBreakBefore w:val="0"/>
        <w:kinsoku/>
        <w:wordWrap/>
        <w:topLinePunct w:val="0"/>
        <w:bidi w:val="0"/>
        <w:adjustRightInd w:val="0"/>
        <w:spacing w:line="360" w:lineRule="auto"/>
        <w:ind w:right="0" w:firstLine="480" w:firstLineChars="200"/>
        <w:jc w:val="left"/>
        <w:textAlignment w:val="auto"/>
        <w:rPr>
          <w:rFonts w:ascii="宋体" w:hAnsi="宋体" w:cs="宋体"/>
          <w:sz w:val="24"/>
          <w:szCs w:val="24"/>
        </w:rPr>
      </w:pPr>
      <w:r>
        <w:rPr>
          <w:rFonts w:hint="eastAsia" w:ascii="宋体" w:hAnsi="宋体" w:cs="宋体"/>
          <w:sz w:val="24"/>
          <w:szCs w:val="24"/>
        </w:rPr>
        <w:t>甲方委托乙方承担</w:t>
      </w:r>
      <w:r>
        <w:rPr>
          <w:rFonts w:hint="eastAsia" w:ascii="宋体" w:hAnsi="宋体" w:cs="宋体"/>
          <w:sz w:val="24"/>
          <w:szCs w:val="24"/>
          <w:u w:val="single"/>
          <w:lang w:eastAsia="zh-CN"/>
        </w:rPr>
        <w:t>国际医疗器械城住4地块项目（勘察）</w:t>
      </w:r>
      <w:r>
        <w:rPr>
          <w:rFonts w:hint="eastAsia" w:ascii="宋体" w:hAnsi="宋体" w:cs="宋体"/>
          <w:sz w:val="24"/>
          <w:szCs w:val="24"/>
        </w:rPr>
        <w:t>项目区域范围内的工程勘察工作（包括但不限于</w:t>
      </w:r>
      <w:r>
        <w:rPr>
          <w:rFonts w:hint="eastAsia" w:ascii="宋体" w:hAnsi="宋体" w:cs="宋体"/>
          <w:sz w:val="24"/>
          <w:szCs w:val="24"/>
          <w:lang w:val="en-US" w:eastAsia="zh-CN"/>
        </w:rPr>
        <w:t>提供勘察报告</w:t>
      </w:r>
      <w:r>
        <w:rPr>
          <w:rFonts w:hint="eastAsia" w:ascii="宋体" w:hAnsi="宋体" w:cs="宋体"/>
          <w:sz w:val="24"/>
          <w:szCs w:val="24"/>
        </w:rPr>
        <w:t>、地形测绘、地下管线物探（包括但不限于电力管线、给排水管线、燃气管线等）及必要时的施工勘察工作（含设计所需的一切勘察、勘探、勘测等数据和内容）、土壤氡浓度检测、地质灾害评估等。进行外业地质勘察后，出具合格的勘察报告、外业见证报告、土壤氡浓度检测报告、相邻设施现状调查报告、地质灾害评估报告，上述报告需满足设计及报建相关需要）。勘察范围包含红线范围外扩30米的管线探测，以及因地质条件、方案调整等因素产生的补勘、补测等工作内容，上述费用已包含在合同价中，不额外增补费用。</w:t>
      </w:r>
    </w:p>
    <w:p w14:paraId="6A7DF373">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根据《</w:t>
      </w:r>
      <w:r>
        <w:fldChar w:fldCharType="begin"/>
      </w:r>
      <w:r>
        <w:instrText xml:space="preserve"> HYPERLINK "javascript:SLC(21651,0)" </w:instrText>
      </w:r>
      <w:r>
        <w:fldChar w:fldCharType="separate"/>
      </w:r>
      <w:r>
        <w:rPr>
          <w:rFonts w:hint="eastAsia" w:ascii="宋体" w:hAnsi="宋体" w:cs="宋体"/>
          <w:sz w:val="24"/>
          <w:szCs w:val="24"/>
        </w:rPr>
        <w:t>中华人民共和国</w:t>
      </w:r>
      <w:r>
        <w:rPr>
          <w:rFonts w:hint="eastAsia" w:ascii="宋体" w:hAnsi="宋体" w:cs="宋体"/>
          <w:sz w:val="24"/>
          <w:szCs w:val="24"/>
        </w:rPr>
        <w:fldChar w:fldCharType="end"/>
      </w:r>
      <w:r>
        <w:rPr>
          <w:rFonts w:hint="eastAsia" w:ascii="宋体" w:hAnsi="宋体" w:cs="宋体"/>
          <w:sz w:val="24"/>
          <w:szCs w:val="24"/>
        </w:rPr>
        <w:t>民法典》、《中华人民共和国建筑法》、《</w:t>
      </w:r>
      <w:r>
        <w:fldChar w:fldCharType="begin"/>
      </w:r>
      <w:r>
        <w:instrText xml:space="preserve"> HYPERLINK "javascript:SLC(31478,0)" </w:instrText>
      </w:r>
      <w:r>
        <w:fldChar w:fldCharType="separate"/>
      </w:r>
      <w:r>
        <w:rPr>
          <w:rFonts w:hint="eastAsia" w:ascii="宋体" w:hAnsi="宋体" w:cs="宋体"/>
          <w:sz w:val="24"/>
          <w:szCs w:val="24"/>
        </w:rPr>
        <w:t>建设工程勘察设计管理条例</w:t>
      </w:r>
      <w:r>
        <w:rPr>
          <w:rFonts w:hint="eastAsia" w:ascii="宋体" w:hAnsi="宋体" w:cs="宋体"/>
          <w:sz w:val="24"/>
          <w:szCs w:val="24"/>
        </w:rPr>
        <w:fldChar w:fldCharType="end"/>
      </w:r>
      <w:r>
        <w:rPr>
          <w:rFonts w:hint="eastAsia" w:ascii="宋体" w:hAnsi="宋体" w:cs="宋体"/>
          <w:sz w:val="24"/>
          <w:szCs w:val="24"/>
        </w:rPr>
        <w:t>》、《深圳市</w:t>
      </w:r>
      <w:r>
        <w:fldChar w:fldCharType="begin"/>
      </w:r>
      <w:r>
        <w:instrText xml:space="preserve"> HYPERLINK "javascript:SLC(26936,0)" </w:instrText>
      </w:r>
      <w:r>
        <w:fldChar w:fldCharType="separate"/>
      </w:r>
      <w:r>
        <w:rPr>
          <w:rFonts w:hint="eastAsia" w:ascii="宋体" w:hAnsi="宋体" w:cs="宋体"/>
          <w:sz w:val="24"/>
          <w:szCs w:val="24"/>
        </w:rPr>
        <w:t>建设工程质量管理条例</w:t>
      </w:r>
      <w:r>
        <w:rPr>
          <w:rFonts w:hint="eastAsia" w:ascii="宋体" w:hAnsi="宋体" w:cs="宋体"/>
          <w:sz w:val="24"/>
          <w:szCs w:val="24"/>
        </w:rPr>
        <w:fldChar w:fldCharType="end"/>
      </w:r>
      <w:r>
        <w:rPr>
          <w:rFonts w:hint="eastAsia" w:ascii="宋体" w:hAnsi="宋体" w:cs="宋体"/>
          <w:sz w:val="24"/>
          <w:szCs w:val="24"/>
        </w:rPr>
        <w:t>》及有关法律、法规、规章，遵循平等、自愿、公平和诚实信用的原则，结合本工程的具体情况，为明确责任，协作配合，确保工程勘察质量，经甲乙双方协商一致，签订本合同，以资共同遵守。</w:t>
      </w:r>
    </w:p>
    <w:p w14:paraId="18B66B59">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1" w:name="_Toc2266"/>
      <w:r>
        <w:rPr>
          <w:rFonts w:hint="eastAsia" w:ascii="宋体" w:hAnsi="宋体" w:cs="宋体"/>
          <w:b/>
          <w:bCs/>
          <w:sz w:val="24"/>
          <w:szCs w:val="24"/>
        </w:rPr>
        <w:t>一、工程概况</w:t>
      </w:r>
      <w:bookmarkEnd w:id="1"/>
    </w:p>
    <w:p w14:paraId="20CA9521">
      <w:pPr>
        <w:keepNext w:val="0"/>
        <w:keepLines w:val="0"/>
        <w:pageBreakBefore w:val="0"/>
        <w:kinsoku/>
        <w:wordWrap/>
        <w:topLinePunct w:val="0"/>
        <w:bidi w:val="0"/>
        <w:adjustRightInd w:val="0"/>
        <w:spacing w:line="360" w:lineRule="auto"/>
        <w:ind w:right="0" w:firstLine="482" w:firstLineChars="200"/>
        <w:textAlignment w:val="auto"/>
        <w:rPr>
          <w:rFonts w:hint="eastAsia" w:ascii="宋体" w:hAnsi="宋体" w:eastAsia="宋体" w:cs="宋体"/>
          <w:sz w:val="24"/>
          <w:szCs w:val="24"/>
          <w:lang w:eastAsia="zh-CN"/>
        </w:rPr>
      </w:pPr>
      <w:r>
        <w:rPr>
          <w:rFonts w:hint="eastAsia" w:ascii="宋体" w:hAnsi="宋体" w:cs="宋体"/>
          <w:b/>
          <w:bCs/>
          <w:sz w:val="24"/>
          <w:szCs w:val="24"/>
        </w:rPr>
        <w:t xml:space="preserve">1.1 </w:t>
      </w:r>
      <w:r>
        <w:rPr>
          <w:rFonts w:hint="eastAsia" w:ascii="宋体" w:hAnsi="宋体" w:cs="宋体"/>
          <w:sz w:val="24"/>
          <w:szCs w:val="24"/>
        </w:rPr>
        <w:t>工程名称：</w:t>
      </w:r>
      <w:r>
        <w:rPr>
          <w:rFonts w:hint="eastAsia" w:ascii="宋体" w:hAnsi="宋体" w:cs="宋体"/>
          <w:sz w:val="24"/>
          <w:szCs w:val="24"/>
          <w:u w:val="single"/>
          <w:lang w:eastAsia="zh-CN"/>
        </w:rPr>
        <w:t>国际医疗器械城住4地块项目（勘察）</w:t>
      </w:r>
    </w:p>
    <w:p w14:paraId="4070F195">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
          <w:bCs/>
          <w:sz w:val="24"/>
          <w:szCs w:val="24"/>
          <w:u w:val="single"/>
        </w:rPr>
      </w:pPr>
      <w:r>
        <w:rPr>
          <w:rFonts w:hint="eastAsia" w:ascii="宋体" w:hAnsi="宋体" w:cs="宋体"/>
          <w:b/>
          <w:bCs/>
          <w:sz w:val="24"/>
          <w:szCs w:val="24"/>
        </w:rPr>
        <w:t xml:space="preserve">1.2 </w:t>
      </w:r>
      <w:r>
        <w:rPr>
          <w:rFonts w:hint="eastAsia" w:ascii="宋体" w:hAnsi="宋体" w:cs="宋体"/>
          <w:sz w:val="24"/>
          <w:szCs w:val="24"/>
        </w:rPr>
        <w:t>工程地点：</w:t>
      </w:r>
      <w:r>
        <w:rPr>
          <w:rFonts w:hint="eastAsia" w:ascii="宋体" w:hAnsi="宋体" w:cs="宋体"/>
          <w:sz w:val="24"/>
          <w:szCs w:val="24"/>
          <w:u w:val="single"/>
        </w:rPr>
        <w:t>龙华区国际医疗器械城产业片区项目共涉及十个地块，为十个建设项目，本次招标对应</w:t>
      </w:r>
      <w:r>
        <w:rPr>
          <w:rFonts w:hint="eastAsia" w:ascii="宋体" w:hAnsi="宋体" w:cs="宋体"/>
          <w:sz w:val="24"/>
          <w:szCs w:val="24"/>
          <w:u w:val="single"/>
        </w:rPr>
        <w:t>住4地块（19-01地块）</w:t>
      </w:r>
      <w:r>
        <w:rPr>
          <w:rFonts w:hint="eastAsia" w:ascii="宋体" w:hAnsi="宋体" w:cs="宋体"/>
          <w:sz w:val="24"/>
          <w:szCs w:val="24"/>
          <w:u w:val="single"/>
        </w:rPr>
        <w:t>。</w:t>
      </w:r>
      <w:r>
        <w:rPr>
          <w:rFonts w:hint="eastAsia" w:ascii="宋体" w:hAnsi="宋体" w:cs="宋体"/>
          <w:sz w:val="24"/>
          <w:szCs w:val="24"/>
          <w:u w:val="single"/>
          <w:lang w:val="en-US" w:eastAsia="zh-CN"/>
        </w:rPr>
        <w:t>19-01</w:t>
      </w:r>
      <w:r>
        <w:rPr>
          <w:rFonts w:hint="eastAsia" w:ascii="宋体" w:hAnsi="宋体" w:cs="宋体"/>
          <w:sz w:val="24"/>
          <w:szCs w:val="24"/>
          <w:u w:val="single"/>
        </w:rPr>
        <w:t>地块位于观湖街道观平路东北侧，北邻石马径水库，西邻鹭湖新城</w:t>
      </w:r>
      <w:r>
        <w:rPr>
          <w:rFonts w:hint="eastAsia" w:ascii="宋体" w:hAnsi="宋体" w:cs="宋体"/>
          <w:b/>
          <w:bCs/>
          <w:sz w:val="24"/>
          <w:szCs w:val="24"/>
          <w:u w:val="single"/>
        </w:rPr>
        <w:t>。</w:t>
      </w:r>
    </w:p>
    <w:p w14:paraId="4A2C1F65">
      <w:pPr>
        <w:keepNext w:val="0"/>
        <w:keepLines w:val="0"/>
        <w:pageBreakBefore w:val="0"/>
        <w:kinsoku/>
        <w:wordWrap/>
        <w:topLinePunct w:val="0"/>
        <w:bidi w:val="0"/>
        <w:adjustRightInd w:val="0"/>
        <w:snapToGrid w:val="0"/>
        <w:spacing w:line="360" w:lineRule="auto"/>
        <w:ind w:right="0" w:firstLine="482" w:firstLineChars="200"/>
        <w:jc w:val="left"/>
        <w:textAlignment w:val="auto"/>
        <w:rPr>
          <w:rFonts w:ascii="宋体" w:hAnsi="宋体" w:cs="宋体"/>
          <w:u w:val="single"/>
        </w:rPr>
      </w:pPr>
      <w:r>
        <w:rPr>
          <w:rFonts w:hint="eastAsia" w:ascii="宋体" w:hAnsi="宋体" w:cs="宋体"/>
          <w:b/>
          <w:bCs/>
          <w:sz w:val="24"/>
          <w:szCs w:val="24"/>
        </w:rPr>
        <w:t xml:space="preserve">1.3 </w:t>
      </w:r>
      <w:r>
        <w:rPr>
          <w:rFonts w:hint="eastAsia" w:ascii="宋体" w:hAnsi="宋体" w:cs="宋体"/>
          <w:sz w:val="24"/>
          <w:szCs w:val="24"/>
        </w:rPr>
        <w:t>工程规模、特征：</w:t>
      </w:r>
    </w:p>
    <w:p w14:paraId="2A87DD6A">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u w:val="single"/>
        </w:rPr>
      </w:pPr>
      <w:r>
        <w:rPr>
          <w:rFonts w:hint="eastAsia" w:ascii="宋体" w:hAnsi="宋体" w:cs="宋体"/>
          <w:sz w:val="24"/>
          <w:szCs w:val="24"/>
          <w:u w:val="single"/>
        </w:rPr>
        <w:t>本项目具体信息如下：住4地块（19-01地块），用地性质规划为二类居住用地，建筑业态为可售商品住宅，总用地面积约37109.4㎡，建筑总面积约331304.5㎡。</w:t>
      </w:r>
    </w:p>
    <w:p w14:paraId="6B94DFAA">
      <w:pPr>
        <w:keepNext w:val="0"/>
        <w:keepLines w:val="0"/>
        <w:pageBreakBefore w:val="0"/>
        <w:widowControl/>
        <w:kinsoku/>
        <w:wordWrap/>
        <w:topLinePunct w:val="0"/>
        <w:bidi w:val="0"/>
        <w:spacing w:line="360" w:lineRule="auto"/>
        <w:ind w:right="0" w:firstLine="482" w:firstLineChars="200"/>
        <w:textAlignment w:val="auto"/>
        <w:rPr>
          <w:rFonts w:ascii="仿宋_GB2312" w:hAnsi="宋体" w:eastAsia="仿宋_GB2312" w:cs="宋体"/>
          <w:kern w:val="0"/>
          <w:sz w:val="24"/>
          <w:szCs w:val="24"/>
        </w:rPr>
      </w:pPr>
      <w:r>
        <w:rPr>
          <w:rFonts w:hint="eastAsia" w:ascii="宋体" w:hAnsi="宋体" w:cs="宋体"/>
          <w:b/>
          <w:bCs/>
          <w:sz w:val="24"/>
          <w:szCs w:val="24"/>
        </w:rPr>
        <w:t xml:space="preserve">1.4 </w:t>
      </w:r>
      <w:r>
        <w:rPr>
          <w:rFonts w:hint="eastAsia" w:ascii="宋体" w:hAnsi="宋体" w:cs="宋体"/>
          <w:sz w:val="24"/>
          <w:szCs w:val="24"/>
        </w:rPr>
        <w:t>投资规模：约</w:t>
      </w:r>
      <w:r>
        <w:rPr>
          <w:rFonts w:hint="eastAsia" w:ascii="宋体" w:hAnsi="宋体" w:cs="宋体"/>
          <w:sz w:val="24"/>
          <w:szCs w:val="24"/>
          <w:u w:val="single"/>
        </w:rPr>
        <w:t>233448.51</w:t>
      </w:r>
      <w:r>
        <w:rPr>
          <w:rFonts w:hint="eastAsia" w:ascii="宋体" w:hAnsi="宋体" w:cs="宋体"/>
          <w:sz w:val="24"/>
          <w:szCs w:val="24"/>
        </w:rPr>
        <w:t>万元人民币</w:t>
      </w:r>
    </w:p>
    <w:p w14:paraId="5A1C5562">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2" w:name="_Toc19169"/>
      <w:r>
        <w:rPr>
          <w:rFonts w:hint="eastAsia" w:ascii="宋体" w:hAnsi="宋体" w:cs="宋体"/>
          <w:b/>
          <w:bCs/>
          <w:sz w:val="24"/>
          <w:szCs w:val="24"/>
        </w:rPr>
        <w:t>二、技术要求</w:t>
      </w:r>
      <w:bookmarkEnd w:id="2"/>
    </w:p>
    <w:p w14:paraId="521BC2DA">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sz w:val="24"/>
          <w:szCs w:val="24"/>
        </w:rPr>
      </w:pPr>
      <w:r>
        <w:rPr>
          <w:rFonts w:hint="eastAsia" w:ascii="宋体" w:hAnsi="宋体" w:cs="宋体"/>
          <w:b/>
          <w:bCs/>
          <w:sz w:val="24"/>
          <w:szCs w:val="24"/>
        </w:rPr>
        <w:t>2.1</w:t>
      </w:r>
      <w:r>
        <w:rPr>
          <w:rFonts w:hint="eastAsia" w:ascii="宋体" w:hAnsi="宋体" w:cs="宋体"/>
          <w:sz w:val="24"/>
          <w:szCs w:val="24"/>
        </w:rPr>
        <w:t>适用的技术及依据包括但不限于：</w:t>
      </w:r>
    </w:p>
    <w:p w14:paraId="4D6ED55B">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（1）设计单位提出并经审查确认的测量要求、勘察任务书等；</w:t>
      </w:r>
    </w:p>
    <w:p w14:paraId="069F3B88">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（2）技术基础资料及甲方或政府相关部门提出的要求和意见；</w:t>
      </w:r>
    </w:p>
    <w:p w14:paraId="77A03D1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（3）各阶段勘察审查意见；</w:t>
      </w:r>
    </w:p>
    <w:p w14:paraId="15F4D97F">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（4）招标文件和投标文件；</w:t>
      </w:r>
    </w:p>
    <w:p w14:paraId="10B2AD6C">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（5）国家及地方规定、规范或标准。</w:t>
      </w:r>
    </w:p>
    <w:p w14:paraId="1260E200">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3" w:name="_Toc1814"/>
      <w:r>
        <w:rPr>
          <w:rFonts w:hint="eastAsia" w:ascii="宋体" w:hAnsi="宋体" w:cs="宋体"/>
          <w:b/>
          <w:bCs/>
          <w:sz w:val="24"/>
          <w:szCs w:val="24"/>
        </w:rPr>
        <w:t>三、合同文件的优先顺序</w:t>
      </w:r>
      <w:bookmarkEnd w:id="3"/>
    </w:p>
    <w:p w14:paraId="7BCA2E92">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sz w:val="24"/>
          <w:szCs w:val="24"/>
        </w:rPr>
      </w:pPr>
      <w:r>
        <w:rPr>
          <w:rFonts w:hint="eastAsia" w:ascii="宋体" w:hAnsi="宋体" w:cs="宋体"/>
          <w:b/>
          <w:sz w:val="24"/>
          <w:szCs w:val="24"/>
        </w:rPr>
        <w:t xml:space="preserve">3.1 </w:t>
      </w:r>
      <w:r>
        <w:rPr>
          <w:rFonts w:hint="eastAsia" w:ascii="宋体" w:hAnsi="宋体" w:cs="宋体"/>
          <w:sz w:val="24"/>
          <w:szCs w:val="24"/>
        </w:rPr>
        <w:t>组成合同的各项文件应互相解释，互为说明，如果合同文件存在歧义或不一致，则根据如下优先次序判断：</w:t>
      </w:r>
    </w:p>
    <w:p w14:paraId="77F2F762">
      <w:pPr>
        <w:keepNext w:val="0"/>
        <w:keepLines w:val="0"/>
        <w:pageBreakBefore w:val="0"/>
        <w:kinsoku/>
        <w:wordWrap/>
        <w:topLinePunct w:val="0"/>
        <w:bidi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（1）本合同；</w:t>
      </w:r>
    </w:p>
    <w:p w14:paraId="2233D27A">
      <w:pPr>
        <w:keepNext w:val="0"/>
        <w:keepLines w:val="0"/>
        <w:pageBreakBefore w:val="0"/>
        <w:kinsoku/>
        <w:wordWrap/>
        <w:topLinePunct w:val="0"/>
        <w:bidi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（2）中标通知书（如有）；</w:t>
      </w:r>
    </w:p>
    <w:p w14:paraId="379A7226">
      <w:pPr>
        <w:keepNext w:val="0"/>
        <w:keepLines w:val="0"/>
        <w:pageBreakBefore w:val="0"/>
        <w:kinsoku/>
        <w:wordWrap/>
        <w:topLinePunct w:val="0"/>
        <w:bidi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（3）招标文件及补遗（如有）；</w:t>
      </w:r>
    </w:p>
    <w:p w14:paraId="6812B1E3">
      <w:pPr>
        <w:keepNext w:val="0"/>
        <w:keepLines w:val="0"/>
        <w:pageBreakBefore w:val="0"/>
        <w:kinsoku/>
        <w:wordWrap/>
        <w:topLinePunct w:val="0"/>
        <w:bidi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（4）投标文件及其附件（如有）；</w:t>
      </w:r>
    </w:p>
    <w:p w14:paraId="1FF1AC17">
      <w:pPr>
        <w:keepNext w:val="0"/>
        <w:keepLines w:val="0"/>
        <w:pageBreakBefore w:val="0"/>
        <w:kinsoku/>
        <w:wordWrap/>
        <w:topLinePunct w:val="0"/>
        <w:bidi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（5）标准、规范及规程有关技术文件；</w:t>
      </w:r>
    </w:p>
    <w:p w14:paraId="5397AE67">
      <w:pPr>
        <w:keepNext w:val="0"/>
        <w:keepLines w:val="0"/>
        <w:pageBreakBefore w:val="0"/>
        <w:kinsoku/>
        <w:wordWrap/>
        <w:topLinePunct w:val="0"/>
        <w:bidi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（6）双方有关工程的洽商等书面协议或文件。</w:t>
      </w:r>
    </w:p>
    <w:p w14:paraId="3A28F94C">
      <w:pPr>
        <w:keepNext w:val="0"/>
        <w:keepLines w:val="0"/>
        <w:pageBreakBefore w:val="0"/>
        <w:kinsoku/>
        <w:wordWrap/>
        <w:topLinePunct w:val="0"/>
        <w:bidi w:val="0"/>
        <w:spacing w:line="360" w:lineRule="auto"/>
        <w:ind w:right="0" w:firstLine="482" w:firstLineChars="200"/>
        <w:textAlignment w:val="auto"/>
        <w:rPr>
          <w:rFonts w:ascii="宋体" w:hAnsi="宋体" w:cs="宋体"/>
          <w:bCs/>
          <w:sz w:val="24"/>
          <w:szCs w:val="24"/>
        </w:rPr>
      </w:pPr>
      <w:r>
        <w:rPr>
          <w:rFonts w:hint="eastAsia" w:ascii="宋体" w:hAnsi="宋体" w:cs="宋体"/>
          <w:b/>
          <w:sz w:val="24"/>
          <w:szCs w:val="24"/>
        </w:rPr>
        <w:t xml:space="preserve">3.2 </w:t>
      </w:r>
      <w:r>
        <w:rPr>
          <w:rFonts w:hint="eastAsia" w:ascii="宋体" w:hAnsi="宋体" w:cs="宋体"/>
          <w:bCs/>
          <w:sz w:val="24"/>
          <w:szCs w:val="24"/>
        </w:rPr>
        <w:t>其他说明</w:t>
      </w:r>
    </w:p>
    <w:p w14:paraId="33763595">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（1）上述各项合同文件包括合同当事人就该项合同文件所作出的补充和修改，属于同一类内容的文件，应以最新签署的为准；</w:t>
      </w:r>
    </w:p>
    <w:p w14:paraId="3163DD63">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（2）在合同履行过程中形成的与合同有关的文件均构成合同文件组成部分，并根据其性质确定优先解释顺序；</w:t>
      </w:r>
    </w:p>
    <w:p w14:paraId="2A1A8FD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（3）当合同文件内容含糊不清或不相一致时，在不影响工作正常进行的情况下，由甲方和乙方协商解决。</w:t>
      </w:r>
    </w:p>
    <w:p w14:paraId="7E7382A5">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4" w:name="_Toc20932"/>
      <w:r>
        <w:rPr>
          <w:rFonts w:hint="eastAsia" w:ascii="宋体" w:hAnsi="宋体" w:cs="宋体"/>
          <w:b/>
          <w:bCs/>
          <w:sz w:val="24"/>
          <w:szCs w:val="24"/>
        </w:rPr>
        <w:t>四、工作内容</w:t>
      </w:r>
      <w:bookmarkEnd w:id="4"/>
    </w:p>
    <w:p w14:paraId="1674100B">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4.1 </w:t>
      </w:r>
      <w:r>
        <w:rPr>
          <w:rFonts w:hint="eastAsia" w:ascii="宋体" w:hAnsi="宋体" w:cs="宋体"/>
          <w:sz w:val="24"/>
          <w:szCs w:val="24"/>
        </w:rPr>
        <w:t>工程勘察工作任务与技术要求详见工程勘察任务书，</w:t>
      </w:r>
      <w:r>
        <w:rPr>
          <w:rFonts w:hint="eastAsia" w:ascii="宋体" w:hAnsi="宋体" w:cs="宋体"/>
          <w:bCs/>
          <w:kern w:val="0"/>
          <w:sz w:val="24"/>
          <w:szCs w:val="24"/>
        </w:rPr>
        <w:t>工作内容如下：</w:t>
      </w:r>
    </w:p>
    <w:p w14:paraId="20FB63DD">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rPr>
        <w:t>☑</w:t>
      </w:r>
      <w:r>
        <w:rPr>
          <w:rFonts w:hint="eastAsia" w:ascii="宋体" w:hAnsi="宋体" w:cs="宋体"/>
          <w:sz w:val="24"/>
          <w:szCs w:val="24"/>
        </w:rPr>
        <w:t>工程测量</w:t>
      </w:r>
    </w:p>
    <w:p w14:paraId="0C174F38">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测量、收集建设区及周边的地面整平标高资料，制作项目用地平面图（含周边建筑的规模、性质、基础形式、埋置深度等资料和与周边地形相关的规模、海拔等资料信息），完成施工控制点测放（各个</w:t>
      </w:r>
      <w:r>
        <w:rPr>
          <w:rFonts w:hint="eastAsia" w:ascii="宋体" w:hAnsi="宋体"/>
          <w:sz w:val="24"/>
          <w:szCs w:val="24"/>
        </w:rPr>
        <w:t>宗地</w:t>
      </w:r>
      <w:r>
        <w:rPr>
          <w:rFonts w:hint="eastAsia" w:ascii="宋体" w:hAnsi="宋体" w:cs="宋体"/>
          <w:sz w:val="24"/>
          <w:szCs w:val="24"/>
        </w:rPr>
        <w:t>均不少于三个），并完成施工控制点（GPS二级）制作及施工前交桩工作。在用地红线上每50米至100米放置边界桩。</w:t>
      </w:r>
    </w:p>
    <w:p w14:paraId="16E8DA3D">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rPr>
        <w:t>☑</w:t>
      </w:r>
      <w:r>
        <w:rPr>
          <w:rFonts w:hint="eastAsia" w:ascii="宋体" w:hAnsi="宋体" w:cs="宋体"/>
          <w:sz w:val="24"/>
          <w:szCs w:val="24"/>
        </w:rPr>
        <w:t>工程物探</w:t>
      </w:r>
    </w:p>
    <w:p w14:paraId="65ECF7B7">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含地下埋藏物和管线调查及探测</w:t>
      </w:r>
      <w:r>
        <w:rPr>
          <w:rFonts w:hint="eastAsia" w:ascii="宋体" w:hAnsi="宋体" w:cs="宋体"/>
          <w:sz w:val="24"/>
          <w:szCs w:val="24"/>
          <w:lang w:eastAsia="zh-CN"/>
        </w:rPr>
        <w:t>（包括但不限于电力管线、给排水管线、燃气管线等）</w:t>
      </w:r>
      <w:r>
        <w:rPr>
          <w:rFonts w:hint="eastAsia" w:ascii="宋体" w:hAnsi="宋体" w:cs="宋体"/>
          <w:sz w:val="24"/>
          <w:szCs w:val="24"/>
        </w:rPr>
        <w:t>。</w:t>
      </w:r>
    </w:p>
    <w:p w14:paraId="20D1C500">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对于常规方式无法探明的地下管线，探测单位应采取人工局部探挖、QV、CCTV等其它方式查明管线基本走向、管径、材质等内容。</w:t>
      </w:r>
    </w:p>
    <w:p w14:paraId="2C7D4FFA">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szCs w:val="22"/>
        </w:rPr>
        <w:t>☑</w:t>
      </w:r>
      <w:r>
        <w:rPr>
          <w:rFonts w:hint="eastAsia" w:ascii="宋体" w:hAnsi="宋体" w:cs="宋体"/>
          <w:sz w:val="24"/>
          <w:szCs w:val="24"/>
        </w:rPr>
        <w:t>岩土工程勘察</w:t>
      </w:r>
    </w:p>
    <w:p w14:paraId="629A38A3">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结合工程设计、施工条件，进行技术论证和分析评价，提出解决工程岩土问题的建议，并服务于工程建设的全过程，其主要工作内容包括但不限于以下内容：</w:t>
      </w:r>
    </w:p>
    <w:p w14:paraId="1EFD35CA">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（1）查明建筑范围内岩土层类型、深度、分布、土石比工程特性，分析和评价地基的稳定性、均匀性和承载力；</w:t>
      </w:r>
    </w:p>
    <w:p w14:paraId="19029ED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（2）对需要进行沉降计算的建筑物，提供地基变形计算参数，预测建筑物的变形特征；</w:t>
      </w:r>
    </w:p>
    <w:p w14:paraId="63537C8D">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（3）查明地下水埋藏条件，提供地下水位及其变化幅度；</w:t>
      </w:r>
    </w:p>
    <w:p w14:paraId="32A4EED8">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（4）判定水对建筑材料的腐蚀性；</w:t>
      </w:r>
    </w:p>
    <w:p w14:paraId="5F3D22DE">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（5）判断地质环境条件复杂程度。</w:t>
      </w:r>
    </w:p>
    <w:p w14:paraId="7434D1C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Wingdings 2" w:hAnsi="Wingdings 2" w:cs="宋体"/>
          <w:snapToGrid w:val="0"/>
          <w:kern w:val="0"/>
          <w:sz w:val="24"/>
        </w:rPr>
        <w:sym w:font="Wingdings 2" w:char="F052"/>
      </w:r>
      <w:r>
        <w:rPr>
          <w:rFonts w:hint="eastAsia" w:ascii="宋体" w:hAnsi="宋体" w:cs="宋体"/>
          <w:sz w:val="24"/>
          <w:szCs w:val="24"/>
        </w:rPr>
        <w:t>土壤氡浓度检测</w:t>
      </w:r>
    </w:p>
    <w:p w14:paraId="5068D1B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根据《民用建筑工程室内环境污染控制规范》（GB50325-2010）规定，现工作阶段应进行土壤氡浓度检测，并出具检测报告。</w:t>
      </w:r>
    </w:p>
    <w:p w14:paraId="1FB9FF69">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rPr>
        <w:t>☑</w:t>
      </w:r>
      <w:r>
        <w:rPr>
          <w:rFonts w:hint="eastAsia" w:ascii="宋体" w:hAnsi="宋体" w:cs="宋体"/>
          <w:sz w:val="24"/>
          <w:szCs w:val="24"/>
        </w:rPr>
        <w:t>地质灾害评估</w:t>
      </w:r>
    </w:p>
    <w:p w14:paraId="2BD7FC26">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kern w:val="0"/>
          <w:sz w:val="24"/>
          <w:szCs w:val="24"/>
        </w:rPr>
        <w:t>分析项目场地地质灾害现状、类型分布及影响因素以及工程建设和建成后可能遭受的地质灾害及其危险性，进行地质灾害危险性预测评估;评估场地适宜性，并提出相应的防治措施和建议，具体工作内容以国土主管部门的要求为准。</w:t>
      </w:r>
    </w:p>
    <w:p w14:paraId="57B386B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rPr>
        <w:t>☑</w:t>
      </w:r>
      <w:r>
        <w:rPr>
          <w:rFonts w:hint="eastAsia" w:ascii="宋体" w:hAnsi="宋体" w:cs="宋体"/>
          <w:sz w:val="24"/>
          <w:szCs w:val="24"/>
        </w:rPr>
        <w:t>相邻设施现状调查</w:t>
      </w:r>
    </w:p>
    <w:p w14:paraId="4AA8D91A">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sz w:val="24"/>
          <w:szCs w:val="24"/>
        </w:rPr>
        <w:t>对相邻设施的现状进行调查，包括地下工程周边建（构）筑物基础、结构型式、地下管线分布等，调查范围应当根据地质条件和相邻设施情况确定，一般情况下，调查范围应当自基坑顶边线起向外延伸相当于基坑开挖深度3倍的距离或地下工程边线向外延伸埋深3倍的距离。</w:t>
      </w:r>
    </w:p>
    <w:p w14:paraId="6597726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rPr>
        <w:t>☑</w:t>
      </w:r>
      <w:r>
        <w:rPr>
          <w:rFonts w:hint="eastAsia" w:ascii="宋体" w:hAnsi="宋体" w:cs="宋体"/>
          <w:sz w:val="24"/>
          <w:szCs w:val="24"/>
        </w:rPr>
        <w:t>施工配合及其他勘察服务相关工作</w:t>
      </w:r>
    </w:p>
    <w:p w14:paraId="397300E8">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（1）配合设计、施工单位进行勘察，解决与施工有关的岩土工程问题，提供相应的勘察资料，并配合甲方完成其他勘察服务相关工作；</w:t>
      </w:r>
    </w:p>
    <w:p w14:paraId="5E8975ED">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（2）相关的反复修改、补勘、成果文件审查、组织、配合并参加相关各种汇报会、论证会，及其它相关施工、审查配合工作；</w:t>
      </w:r>
    </w:p>
    <w:p w14:paraId="23AAA94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（3）勘察单位应无条件配合甲方委托的勘察审查单位开展现场核查工作。</w:t>
      </w:r>
    </w:p>
    <w:p w14:paraId="6417536A">
      <w:pPr>
        <w:keepNext w:val="0"/>
        <w:keepLines w:val="0"/>
        <w:pageBreakBefore w:val="0"/>
        <w:kinsoku/>
        <w:wordWrap/>
        <w:topLinePunct w:val="0"/>
        <w:bidi w:val="0"/>
        <w:adjustRightInd w:val="0"/>
        <w:spacing w:line="360" w:lineRule="auto"/>
        <w:ind w:right="0" w:firstLine="480" w:firstLineChars="200"/>
        <w:jc w:val="left"/>
        <w:textAlignment w:val="auto"/>
        <w:rPr>
          <w:rFonts w:ascii="宋体" w:hAnsi="宋体" w:cs="宋体"/>
          <w:kern w:val="0"/>
          <w:sz w:val="24"/>
          <w:szCs w:val="24"/>
        </w:rPr>
      </w:pPr>
      <w:r>
        <w:rPr>
          <w:rFonts w:ascii="Segoe UI Symbol" w:hAnsi="Segoe UI Symbol" w:cs="Segoe UI Symbol"/>
          <w:snapToGrid w:val="0"/>
          <w:kern w:val="0"/>
          <w:sz w:val="24"/>
        </w:rPr>
        <w:t>☑</w:t>
      </w:r>
      <w:r>
        <w:rPr>
          <w:rFonts w:hint="eastAsia" w:ascii="宋体" w:hAnsi="宋体" w:cs="宋体"/>
          <w:kern w:val="0"/>
          <w:sz w:val="24"/>
          <w:szCs w:val="24"/>
        </w:rPr>
        <w:t>其他工作</w:t>
      </w:r>
    </w:p>
    <w:p w14:paraId="3376B420">
      <w:pPr>
        <w:keepNext w:val="0"/>
        <w:keepLines w:val="0"/>
        <w:pageBreakBefore w:val="0"/>
        <w:kinsoku/>
        <w:wordWrap/>
        <w:topLinePunct w:val="0"/>
        <w:bidi w:val="0"/>
        <w:adjustRightInd w:val="0"/>
        <w:spacing w:line="360" w:lineRule="auto"/>
        <w:ind w:right="0" w:firstLine="480" w:firstLineChars="200"/>
        <w:jc w:val="left"/>
        <w:textAlignment w:val="auto"/>
        <w:rPr>
          <w:rFonts w:ascii="宋体" w:hAnsi="宋体" w:cs="宋体"/>
          <w:kern w:val="0"/>
          <w:sz w:val="24"/>
          <w:szCs w:val="24"/>
        </w:rPr>
      </w:pPr>
      <w:r>
        <w:rPr>
          <w:rFonts w:hint="eastAsia" w:ascii="宋体" w:hAnsi="宋体" w:cs="宋体"/>
          <w:kern w:val="0"/>
          <w:sz w:val="24"/>
          <w:szCs w:val="24"/>
        </w:rPr>
        <w:t>（1）</w:t>
      </w:r>
      <w:r>
        <w:rPr>
          <w:rFonts w:hint="eastAsia" w:ascii="宋体" w:hAnsi="宋体" w:cs="宋体"/>
          <w:sz w:val="24"/>
          <w:szCs w:val="24"/>
        </w:rPr>
        <w:t>无条件</w:t>
      </w:r>
      <w:r>
        <w:rPr>
          <w:rFonts w:hint="eastAsia" w:ascii="宋体" w:hAnsi="宋体" w:cs="宋体"/>
          <w:kern w:val="0"/>
          <w:sz w:val="24"/>
          <w:szCs w:val="24"/>
        </w:rPr>
        <w:t>配合并参加相关各种相关汇报会、论证会，承担</w:t>
      </w:r>
      <w:r>
        <w:rPr>
          <w:rFonts w:hint="eastAsia" w:ascii="宋体" w:hAnsi="宋体" w:cs="宋体"/>
          <w:sz w:val="24"/>
          <w:szCs w:val="24"/>
        </w:rPr>
        <w:t>合同范围内成果文件的反复修改、评审工作</w:t>
      </w:r>
      <w:r>
        <w:rPr>
          <w:rFonts w:hint="eastAsia" w:ascii="宋体" w:hAnsi="宋体" w:cs="宋体"/>
          <w:kern w:val="0"/>
          <w:sz w:val="24"/>
          <w:szCs w:val="24"/>
        </w:rPr>
        <w:t>；</w:t>
      </w:r>
    </w:p>
    <w:p w14:paraId="65442B31">
      <w:pPr>
        <w:keepNext w:val="0"/>
        <w:keepLines w:val="0"/>
        <w:pageBreakBefore w:val="0"/>
        <w:kinsoku/>
        <w:wordWrap/>
        <w:topLinePunct w:val="0"/>
        <w:bidi w:val="0"/>
        <w:adjustRightInd w:val="0"/>
        <w:spacing w:line="360" w:lineRule="auto"/>
        <w:ind w:right="0" w:firstLine="480" w:firstLineChars="200"/>
        <w:jc w:val="left"/>
        <w:textAlignment w:val="auto"/>
        <w:rPr>
          <w:rFonts w:ascii="宋体" w:hAnsi="宋体" w:cs="宋体"/>
          <w:kern w:val="0"/>
          <w:sz w:val="24"/>
          <w:szCs w:val="24"/>
        </w:rPr>
      </w:pPr>
      <w:r>
        <w:rPr>
          <w:rFonts w:hint="eastAsia" w:ascii="宋体" w:hAnsi="宋体" w:cs="宋体"/>
          <w:kern w:val="0"/>
          <w:sz w:val="24"/>
          <w:szCs w:val="24"/>
        </w:rPr>
        <w:t>（2）按要求参加项目例会并在会议纪要上会签，按会议纪要要求对成果文件进行修改、补充和完善；</w:t>
      </w:r>
    </w:p>
    <w:p w14:paraId="168A84D7">
      <w:pPr>
        <w:keepNext w:val="0"/>
        <w:keepLines w:val="0"/>
        <w:pageBreakBefore w:val="0"/>
        <w:kinsoku/>
        <w:wordWrap/>
        <w:topLinePunct w:val="0"/>
        <w:bidi w:val="0"/>
        <w:adjustRightInd w:val="0"/>
        <w:spacing w:line="360" w:lineRule="auto"/>
        <w:ind w:right="0" w:firstLine="480" w:firstLineChars="200"/>
        <w:jc w:val="left"/>
        <w:textAlignment w:val="auto"/>
        <w:rPr>
          <w:rFonts w:ascii="宋体" w:hAnsi="宋体" w:cs="宋体"/>
          <w:kern w:val="0"/>
          <w:sz w:val="24"/>
          <w:szCs w:val="24"/>
        </w:rPr>
      </w:pPr>
      <w:r>
        <w:rPr>
          <w:rFonts w:hint="eastAsia" w:ascii="宋体" w:hAnsi="宋体" w:cs="宋体"/>
          <w:kern w:val="0"/>
          <w:sz w:val="24"/>
          <w:szCs w:val="24"/>
        </w:rPr>
        <w:t>（3）乙方保证工作成果满足设计要求并通过</w:t>
      </w:r>
      <w:r>
        <w:rPr>
          <w:rFonts w:hint="eastAsia" w:ascii="宋体" w:hAnsi="宋体" w:cs="宋体"/>
          <w:sz w:val="24"/>
          <w:szCs w:val="24"/>
        </w:rPr>
        <w:t>甲方（或甲方委托的咨询单位）</w:t>
      </w:r>
      <w:r>
        <w:rPr>
          <w:rFonts w:hint="eastAsia" w:ascii="宋体" w:hAnsi="宋体" w:cs="宋体"/>
          <w:kern w:val="0"/>
          <w:sz w:val="24"/>
          <w:szCs w:val="24"/>
        </w:rPr>
        <w:t>审查。因乙方原因造成工作成果不满足设计要求或未通过</w:t>
      </w:r>
      <w:r>
        <w:rPr>
          <w:rFonts w:hint="eastAsia" w:ascii="宋体" w:hAnsi="宋体" w:cs="宋体"/>
          <w:sz w:val="24"/>
          <w:szCs w:val="24"/>
        </w:rPr>
        <w:t>甲方（或甲方委托的咨询单位）</w:t>
      </w:r>
      <w:r>
        <w:rPr>
          <w:rFonts w:hint="eastAsia" w:ascii="宋体" w:hAnsi="宋体" w:cs="宋体"/>
          <w:kern w:val="0"/>
          <w:sz w:val="24"/>
          <w:szCs w:val="24"/>
        </w:rPr>
        <w:t>审查，乙方负责无偿给予补充完善使其达到质量合格。</w:t>
      </w:r>
    </w:p>
    <w:p w14:paraId="46FDDC26">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sz w:val="24"/>
          <w:szCs w:val="24"/>
        </w:rPr>
      </w:pPr>
      <w:r>
        <w:rPr>
          <w:rFonts w:hint="eastAsia" w:ascii="宋体" w:hAnsi="宋体" w:cs="宋体"/>
          <w:b/>
          <w:kern w:val="0"/>
          <w:sz w:val="24"/>
          <w:szCs w:val="24"/>
        </w:rPr>
        <w:t xml:space="preserve">4.2 </w:t>
      </w:r>
      <w:r>
        <w:rPr>
          <w:rFonts w:hint="eastAsia" w:ascii="宋体" w:hAnsi="宋体" w:cs="宋体"/>
          <w:bCs/>
          <w:kern w:val="0"/>
          <w:sz w:val="24"/>
          <w:szCs w:val="24"/>
        </w:rPr>
        <w:t>本</w:t>
      </w:r>
      <w:r>
        <w:rPr>
          <w:rFonts w:hint="eastAsia" w:ascii="宋体" w:hAnsi="宋体" w:cs="宋体"/>
          <w:bCs/>
          <w:spacing w:val="4"/>
          <w:kern w:val="0"/>
          <w:sz w:val="24"/>
          <w:szCs w:val="24"/>
        </w:rPr>
        <w:t>合同工作范围外，</w:t>
      </w:r>
      <w:r>
        <w:rPr>
          <w:rFonts w:hint="eastAsia" w:ascii="宋体" w:hAnsi="宋体" w:cs="宋体"/>
          <w:bCs/>
          <w:kern w:val="0"/>
          <w:sz w:val="24"/>
          <w:szCs w:val="24"/>
        </w:rPr>
        <w:t>如果甲方提出与本合同相关联的附加服务需求，乙方需在甲方规定时间内无条件执行，费用双方另行协商，存在违约情形的按本合同第十条约定处理。</w:t>
      </w:r>
    </w:p>
    <w:p w14:paraId="0C9C0016">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5" w:name="_Toc8516"/>
      <w:r>
        <w:rPr>
          <w:rFonts w:hint="eastAsia" w:ascii="宋体" w:hAnsi="宋体" w:cs="宋体"/>
          <w:b/>
          <w:bCs/>
          <w:sz w:val="24"/>
          <w:szCs w:val="24"/>
        </w:rPr>
        <w:t>五、工程勘察测量的进度与周期</w:t>
      </w:r>
      <w:bookmarkEnd w:id="5"/>
    </w:p>
    <w:p w14:paraId="34EDFB78">
      <w:pPr>
        <w:keepNext w:val="0"/>
        <w:keepLines w:val="0"/>
        <w:pageBreakBefore w:val="0"/>
        <w:kinsoku/>
        <w:wordWrap/>
        <w:topLinePunct w:val="0"/>
        <w:autoSpaceDE w:val="0"/>
        <w:autoSpaceDN w:val="0"/>
        <w:bidi w:val="0"/>
        <w:adjustRightInd w:val="0"/>
        <w:spacing w:line="360" w:lineRule="auto"/>
        <w:ind w:right="0" w:firstLine="482" w:firstLineChars="200"/>
        <w:jc w:val="left"/>
        <w:textAlignment w:val="auto"/>
        <w:rPr>
          <w:rFonts w:ascii="宋体" w:hAnsi="宋体" w:cs="宋体"/>
          <w:sz w:val="24"/>
          <w:szCs w:val="24"/>
        </w:rPr>
      </w:pPr>
      <w:r>
        <w:rPr>
          <w:rFonts w:hint="eastAsia" w:ascii="宋体" w:hAnsi="宋体" w:cs="宋体"/>
          <w:b/>
          <w:bCs/>
          <w:sz w:val="24"/>
          <w:szCs w:val="24"/>
        </w:rPr>
        <w:t xml:space="preserve">5.1 </w:t>
      </w:r>
      <w:r>
        <w:rPr>
          <w:rFonts w:hint="eastAsia" w:ascii="宋体" w:hAnsi="宋体" w:cs="宋体"/>
          <w:sz w:val="24"/>
          <w:szCs w:val="24"/>
        </w:rPr>
        <w:t>开工及提交勘察成果资料的时间</w:t>
      </w:r>
    </w:p>
    <w:p w14:paraId="589490C3">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ascii="宋体" w:hAnsi="宋体" w:cs="宋体"/>
          <w:sz w:val="24"/>
          <w:szCs w:val="24"/>
        </w:rPr>
      </w:pPr>
      <w:r>
        <w:rPr>
          <w:rFonts w:hint="eastAsia" w:ascii="宋体" w:hAnsi="宋体" w:cs="宋体"/>
          <w:sz w:val="24"/>
          <w:szCs w:val="24"/>
          <w:highlight w:val="none"/>
        </w:rPr>
        <w:t>本工程的勘察工作</w:t>
      </w:r>
      <w:r>
        <w:rPr>
          <w:rFonts w:hint="eastAsia" w:ascii="宋体" w:hAnsi="宋体" w:cs="宋体"/>
          <w:sz w:val="24"/>
          <w:szCs w:val="24"/>
          <w:highlight w:val="none"/>
          <w:u w:val="single"/>
          <w:lang w:val="en-US" w:eastAsia="zh-CN"/>
        </w:rPr>
        <w:t>开工日期</w:t>
      </w:r>
      <w:r>
        <w:rPr>
          <w:rFonts w:hint="eastAsia" w:ascii="宋体" w:hAnsi="宋体" w:cs="宋体"/>
          <w:sz w:val="24"/>
          <w:szCs w:val="24"/>
          <w:highlight w:val="none"/>
          <w:u w:val="single"/>
        </w:rPr>
        <w:t>以甲方指定为准</w:t>
      </w:r>
      <w:r>
        <w:rPr>
          <w:rFonts w:hint="eastAsia" w:ascii="宋体" w:hAnsi="宋体" w:cs="宋体"/>
          <w:sz w:val="24"/>
          <w:szCs w:val="24"/>
          <w:highlight w:val="none"/>
        </w:rPr>
        <w:t>，按甲方要求提交勘察成果资料，总工期不超过</w:t>
      </w:r>
      <w:r>
        <w:rPr>
          <w:rFonts w:hint="eastAsia" w:ascii="宋体" w:hAnsi="宋体" w:cs="宋体"/>
          <w:sz w:val="24"/>
          <w:szCs w:val="24"/>
          <w:highlight w:val="none"/>
          <w:u w:val="single"/>
          <w:lang w:val="en-US" w:eastAsia="zh-CN"/>
        </w:rPr>
        <w:t xml:space="preserve"> 90 </w:t>
      </w:r>
      <w:r>
        <w:rPr>
          <w:rFonts w:hint="eastAsia" w:ascii="宋体" w:hAnsi="宋体" w:cs="宋体"/>
          <w:sz w:val="24"/>
          <w:szCs w:val="24"/>
          <w:highlight w:val="none"/>
        </w:rPr>
        <w:t>日历天，具体以设计单位提交并经甲方批准的勘察任务书为准。由于甲方或乙方的原因</w:t>
      </w:r>
      <w:r>
        <w:rPr>
          <w:rFonts w:hint="eastAsia" w:ascii="宋体" w:hAnsi="宋体" w:cs="宋体"/>
          <w:sz w:val="24"/>
          <w:szCs w:val="24"/>
        </w:rPr>
        <w:t>未能按期开工或提交成果资料时，按本合同第十条规定处理。</w:t>
      </w:r>
    </w:p>
    <w:p w14:paraId="37E9AF29">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ascii="宋体" w:hAnsi="宋体" w:cs="宋体"/>
          <w:sz w:val="24"/>
          <w:szCs w:val="24"/>
        </w:rPr>
      </w:pPr>
      <w:r>
        <w:rPr>
          <w:rFonts w:hint="eastAsia" w:ascii="宋体" w:hAnsi="宋体" w:cs="宋体"/>
          <w:sz w:val="24"/>
          <w:szCs w:val="24"/>
        </w:rPr>
        <w:t>勘察工作有效期限以甲方下达的开工通知书或合同规定的时间为准，如遇特殊情况（设计变更、工作量变化、不可抗力影响以及非乙方原因造成的停、窝工等）时，工期顺延。</w:t>
      </w:r>
    </w:p>
    <w:p w14:paraId="5B796984">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ascii="宋体" w:hAnsi="宋体" w:cs="宋体"/>
          <w:sz w:val="24"/>
          <w:szCs w:val="24"/>
        </w:rPr>
      </w:pPr>
      <w:r>
        <w:rPr>
          <w:rFonts w:hint="eastAsia" w:ascii="宋体" w:hAnsi="宋体" w:cs="宋体"/>
          <w:sz w:val="24"/>
          <w:szCs w:val="24"/>
        </w:rPr>
        <w:t>因土地移交问题，可能会造成部分宗地无法开工或延迟开工，工期同意顺延，但承包人不得因此向发包人要求经济索赔。各个宗地的工期不得超过合同工期。</w:t>
      </w:r>
    </w:p>
    <w:p w14:paraId="776C0A39">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kern w:val="0"/>
          <w:sz w:val="24"/>
          <w:szCs w:val="24"/>
        </w:rPr>
        <w:t>具体时间节点如下：</w:t>
      </w:r>
    </w:p>
    <w:p w14:paraId="7FCCB24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rPr>
        <w:t>☑</w:t>
      </w:r>
      <w:r>
        <w:rPr>
          <w:rFonts w:hint="eastAsia" w:ascii="宋体" w:hAnsi="宋体" w:cs="宋体"/>
          <w:sz w:val="24"/>
          <w:szCs w:val="24"/>
        </w:rPr>
        <w:t>工程测量</w:t>
      </w:r>
    </w:p>
    <w:p w14:paraId="34CB8501">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kern w:val="0"/>
          <w:sz w:val="24"/>
          <w:szCs w:val="24"/>
        </w:rPr>
        <w:t>地形测量工作周期为自收到</w:t>
      </w:r>
      <w:r>
        <w:rPr>
          <w:rFonts w:hint="eastAsia" w:ascii="宋体" w:hAnsi="宋体" w:cs="宋体"/>
          <w:kern w:val="0"/>
          <w:sz w:val="24"/>
          <w:szCs w:val="24"/>
          <w:u w:val="single"/>
        </w:rPr>
        <w:t>测量任务书</w:t>
      </w:r>
      <w:r>
        <w:rPr>
          <w:rFonts w:hint="eastAsia" w:ascii="宋体" w:hAnsi="宋体" w:cs="宋体"/>
          <w:kern w:val="0"/>
          <w:sz w:val="24"/>
          <w:szCs w:val="24"/>
        </w:rPr>
        <w:t>之日起个</w:t>
      </w:r>
      <w:r>
        <w:rPr>
          <w:rFonts w:hint="eastAsia" w:ascii="宋体" w:hAnsi="宋体" w:cs="宋体"/>
          <w:kern w:val="0"/>
          <w:sz w:val="24"/>
          <w:szCs w:val="24"/>
          <w:lang w:val="en-US" w:eastAsia="zh-CN"/>
        </w:rPr>
        <w:t>20</w:t>
      </w:r>
      <w:r>
        <w:rPr>
          <w:rFonts w:hint="eastAsia" w:ascii="宋体" w:hAnsi="宋体" w:cs="宋体"/>
          <w:kern w:val="0"/>
          <w:sz w:val="24"/>
          <w:szCs w:val="24"/>
        </w:rPr>
        <w:t>日历天内；</w:t>
      </w:r>
    </w:p>
    <w:p w14:paraId="4221F9C5">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rPr>
        <w:t>☑</w:t>
      </w:r>
      <w:r>
        <w:rPr>
          <w:rFonts w:hint="eastAsia" w:ascii="宋体" w:hAnsi="宋体" w:cs="宋体"/>
          <w:sz w:val="24"/>
          <w:szCs w:val="24"/>
        </w:rPr>
        <w:t>工程物探</w:t>
      </w:r>
    </w:p>
    <w:p w14:paraId="0DB57AB1">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kern w:val="0"/>
          <w:sz w:val="24"/>
          <w:szCs w:val="24"/>
        </w:rPr>
        <w:t>工程物探工作周期为自收到</w:t>
      </w:r>
      <w:r>
        <w:rPr>
          <w:rFonts w:hint="eastAsia" w:ascii="宋体" w:hAnsi="宋体" w:cs="宋体"/>
          <w:kern w:val="0"/>
          <w:sz w:val="24"/>
          <w:szCs w:val="24"/>
          <w:u w:val="single"/>
        </w:rPr>
        <w:t>工程物探任务书</w:t>
      </w:r>
      <w:r>
        <w:rPr>
          <w:rFonts w:hint="eastAsia" w:ascii="宋体" w:hAnsi="宋体" w:cs="宋体"/>
          <w:kern w:val="0"/>
          <w:sz w:val="24"/>
          <w:szCs w:val="24"/>
        </w:rPr>
        <w:t>之日起个</w:t>
      </w:r>
      <w:r>
        <w:rPr>
          <w:rFonts w:hint="eastAsia" w:ascii="宋体" w:hAnsi="宋体" w:cs="宋体"/>
          <w:kern w:val="0"/>
          <w:sz w:val="24"/>
          <w:szCs w:val="24"/>
          <w:lang w:val="en-US" w:eastAsia="zh-CN"/>
        </w:rPr>
        <w:t>20</w:t>
      </w:r>
      <w:r>
        <w:rPr>
          <w:rFonts w:hint="eastAsia" w:ascii="宋体" w:hAnsi="宋体" w:cs="宋体"/>
          <w:kern w:val="0"/>
          <w:sz w:val="24"/>
          <w:szCs w:val="24"/>
        </w:rPr>
        <w:t>日历天内；</w:t>
      </w:r>
    </w:p>
    <w:p w14:paraId="5F87474E">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rPr>
        <w:t>☑</w:t>
      </w:r>
      <w:r>
        <w:rPr>
          <w:rFonts w:hint="eastAsia" w:ascii="宋体" w:hAnsi="宋体" w:cs="宋体"/>
          <w:sz w:val="24"/>
          <w:szCs w:val="24"/>
        </w:rPr>
        <w:t>岩土工程勘察</w:t>
      </w:r>
    </w:p>
    <w:p w14:paraId="6B2DC44C">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kern w:val="0"/>
          <w:sz w:val="24"/>
          <w:szCs w:val="24"/>
        </w:rPr>
        <w:t>岩土工程勘察工作周期为自收到勘察任务书之日起个</w:t>
      </w:r>
      <w:r>
        <w:rPr>
          <w:rFonts w:hint="eastAsia" w:ascii="宋体" w:hAnsi="宋体" w:cs="宋体"/>
          <w:kern w:val="0"/>
          <w:sz w:val="24"/>
          <w:szCs w:val="24"/>
          <w:lang w:val="en-US" w:eastAsia="zh-CN"/>
        </w:rPr>
        <w:t>60</w:t>
      </w:r>
      <w:r>
        <w:rPr>
          <w:rFonts w:hint="eastAsia" w:ascii="宋体" w:hAnsi="宋体" w:cs="宋体"/>
          <w:kern w:val="0"/>
          <w:sz w:val="24"/>
          <w:szCs w:val="24"/>
        </w:rPr>
        <w:t>日历天内；</w:t>
      </w:r>
    </w:p>
    <w:p w14:paraId="41A8EE29">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rPr>
        <w:t>☑</w:t>
      </w:r>
      <w:r>
        <w:rPr>
          <w:rFonts w:hint="eastAsia" w:ascii="宋体" w:hAnsi="宋体" w:cs="宋体"/>
          <w:sz w:val="24"/>
          <w:szCs w:val="24"/>
        </w:rPr>
        <w:t>土壤氡浓度检测</w:t>
      </w:r>
    </w:p>
    <w:p w14:paraId="0850A4AC">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sz w:val="24"/>
          <w:szCs w:val="24"/>
        </w:rPr>
        <w:t>土壤氡浓度检测</w:t>
      </w:r>
      <w:r>
        <w:rPr>
          <w:rFonts w:hint="eastAsia" w:ascii="宋体" w:hAnsi="宋体" w:cs="宋体"/>
          <w:kern w:val="0"/>
          <w:sz w:val="24"/>
          <w:szCs w:val="24"/>
        </w:rPr>
        <w:t>工作周期为自收到勘察任务书之日起个</w:t>
      </w:r>
      <w:r>
        <w:rPr>
          <w:rFonts w:hint="eastAsia" w:ascii="宋体" w:hAnsi="宋体" w:cs="宋体"/>
          <w:kern w:val="0"/>
          <w:sz w:val="24"/>
          <w:szCs w:val="24"/>
          <w:lang w:val="en-US" w:eastAsia="zh-CN"/>
        </w:rPr>
        <w:t>10</w:t>
      </w:r>
      <w:r>
        <w:rPr>
          <w:rFonts w:hint="eastAsia" w:ascii="宋体" w:hAnsi="宋体" w:cs="宋体"/>
          <w:kern w:val="0"/>
          <w:sz w:val="24"/>
          <w:szCs w:val="24"/>
        </w:rPr>
        <w:t>日历天内；</w:t>
      </w:r>
    </w:p>
    <w:p w14:paraId="28182B0E">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rPr>
        <w:t>☑</w:t>
      </w:r>
      <w:r>
        <w:rPr>
          <w:rFonts w:hint="eastAsia" w:ascii="宋体" w:hAnsi="宋体" w:cs="宋体"/>
          <w:sz w:val="24"/>
          <w:szCs w:val="24"/>
        </w:rPr>
        <w:t>地质灾害评估</w:t>
      </w:r>
    </w:p>
    <w:p w14:paraId="4CCB5AC6">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sz w:val="24"/>
          <w:szCs w:val="24"/>
        </w:rPr>
        <w:t>地质灾害评估</w:t>
      </w:r>
      <w:r>
        <w:rPr>
          <w:rFonts w:hint="eastAsia" w:ascii="宋体" w:hAnsi="宋体" w:cs="宋体"/>
          <w:kern w:val="0"/>
          <w:sz w:val="24"/>
          <w:szCs w:val="24"/>
        </w:rPr>
        <w:t>工作周期为自收到</w:t>
      </w:r>
      <w:r>
        <w:rPr>
          <w:rFonts w:hint="eastAsia" w:ascii="宋体" w:hAnsi="宋体" w:cs="宋体"/>
          <w:sz w:val="24"/>
          <w:szCs w:val="24"/>
        </w:rPr>
        <w:t>甲方后期书面文件</w:t>
      </w:r>
      <w:r>
        <w:rPr>
          <w:rFonts w:hint="eastAsia" w:ascii="宋体" w:hAnsi="宋体" w:cs="宋体"/>
          <w:kern w:val="0"/>
          <w:sz w:val="24"/>
          <w:szCs w:val="24"/>
        </w:rPr>
        <w:t>之日起个</w:t>
      </w:r>
      <w:r>
        <w:rPr>
          <w:rFonts w:hint="eastAsia" w:ascii="宋体" w:hAnsi="宋体" w:cs="宋体"/>
          <w:kern w:val="0"/>
          <w:sz w:val="24"/>
          <w:szCs w:val="24"/>
          <w:lang w:val="en-US" w:eastAsia="zh-CN"/>
        </w:rPr>
        <w:t>20</w:t>
      </w:r>
      <w:r>
        <w:rPr>
          <w:rFonts w:hint="eastAsia" w:ascii="宋体" w:hAnsi="宋体" w:cs="宋体"/>
          <w:kern w:val="0"/>
          <w:sz w:val="24"/>
          <w:szCs w:val="24"/>
        </w:rPr>
        <w:t>日历天内。</w:t>
      </w:r>
    </w:p>
    <w:p w14:paraId="4A57DCD9">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kern w:val="0"/>
          <w:sz w:val="24"/>
          <w:szCs w:val="24"/>
        </w:rPr>
      </w:pPr>
      <w:r>
        <w:rPr>
          <w:rFonts w:hint="eastAsia" w:ascii="宋体" w:hAnsi="宋体" w:cs="宋体"/>
          <w:b/>
          <w:bCs/>
          <w:kern w:val="0"/>
          <w:sz w:val="24"/>
          <w:szCs w:val="24"/>
        </w:rPr>
        <w:t xml:space="preserve">5.2 </w:t>
      </w:r>
      <w:r>
        <w:rPr>
          <w:rFonts w:hint="eastAsia" w:ascii="宋体" w:hAnsi="宋体" w:cs="宋体"/>
          <w:kern w:val="0"/>
          <w:sz w:val="24"/>
          <w:szCs w:val="24"/>
        </w:rPr>
        <w:t>因现场地形变化，或地质条件差异等原因，需进行地形图复测或补勘的，勘察单位应在收到甲方通知后2天内进场作业。未按合同约定工期提交成果的，视为履约不合格。</w:t>
      </w:r>
    </w:p>
    <w:p w14:paraId="58F0207E">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6" w:name="_Toc23510"/>
      <w:r>
        <w:rPr>
          <w:rFonts w:hint="eastAsia" w:ascii="宋体" w:hAnsi="宋体" w:cs="宋体"/>
          <w:b/>
          <w:bCs/>
          <w:sz w:val="24"/>
          <w:szCs w:val="24"/>
        </w:rPr>
        <w:t>六、成果文件</w:t>
      </w:r>
      <w:bookmarkEnd w:id="6"/>
    </w:p>
    <w:tbl>
      <w:tblPr>
        <w:tblStyle w:val="9"/>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3828"/>
        <w:gridCol w:w="1559"/>
        <w:gridCol w:w="2126"/>
      </w:tblGrid>
      <w:tr w14:paraId="0E7B0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trPr>
        <w:tc>
          <w:tcPr>
            <w:tcW w:w="1134" w:type="dxa"/>
            <w:shd w:val="clear" w:color="auto" w:fill="F2F2F2"/>
            <w:vAlign w:val="center"/>
          </w:tcPr>
          <w:p w14:paraId="371D8D8A">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序号</w:t>
            </w:r>
          </w:p>
        </w:tc>
        <w:tc>
          <w:tcPr>
            <w:tcW w:w="3828" w:type="dxa"/>
            <w:shd w:val="clear" w:color="auto" w:fill="F2F2F2"/>
            <w:vAlign w:val="center"/>
          </w:tcPr>
          <w:p w14:paraId="0C79D3F6">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勘察成果资料名称</w:t>
            </w:r>
          </w:p>
        </w:tc>
        <w:tc>
          <w:tcPr>
            <w:tcW w:w="1559" w:type="dxa"/>
            <w:shd w:val="clear" w:color="auto" w:fill="F2F2F2"/>
            <w:vAlign w:val="center"/>
          </w:tcPr>
          <w:p w14:paraId="31D58B59">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正式成果</w:t>
            </w:r>
          </w:p>
          <w:p w14:paraId="1FEAF8AD">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份数(份)</w:t>
            </w:r>
          </w:p>
        </w:tc>
        <w:tc>
          <w:tcPr>
            <w:tcW w:w="2126" w:type="dxa"/>
            <w:shd w:val="clear" w:color="auto" w:fill="F2F2F2"/>
            <w:vAlign w:val="center"/>
          </w:tcPr>
          <w:p w14:paraId="305337E1">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备注</w:t>
            </w:r>
          </w:p>
        </w:tc>
      </w:tr>
      <w:tr w14:paraId="6329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134" w:type="dxa"/>
            <w:vAlign w:val="center"/>
          </w:tcPr>
          <w:p w14:paraId="105EE334">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1</w:t>
            </w:r>
          </w:p>
        </w:tc>
        <w:tc>
          <w:tcPr>
            <w:tcW w:w="3828" w:type="dxa"/>
            <w:vAlign w:val="center"/>
          </w:tcPr>
          <w:p w14:paraId="14827AE9">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物探报告（含图纸）</w:t>
            </w:r>
          </w:p>
        </w:tc>
        <w:tc>
          <w:tcPr>
            <w:tcW w:w="1559" w:type="dxa"/>
            <w:vAlign w:val="center"/>
          </w:tcPr>
          <w:p w14:paraId="46BBAC16">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8</w:t>
            </w:r>
          </w:p>
        </w:tc>
        <w:tc>
          <w:tcPr>
            <w:tcW w:w="2126" w:type="dxa"/>
            <w:vAlign w:val="center"/>
          </w:tcPr>
          <w:p w14:paraId="33C61388">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含电子文件</w:t>
            </w:r>
          </w:p>
        </w:tc>
      </w:tr>
      <w:tr w14:paraId="0783C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134" w:type="dxa"/>
            <w:vAlign w:val="center"/>
          </w:tcPr>
          <w:p w14:paraId="59B09296">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2</w:t>
            </w:r>
          </w:p>
        </w:tc>
        <w:tc>
          <w:tcPr>
            <w:tcW w:w="3828" w:type="dxa"/>
            <w:vAlign w:val="center"/>
          </w:tcPr>
          <w:p w14:paraId="1A4D2DC0">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地勘报告（含图纸）</w:t>
            </w:r>
          </w:p>
        </w:tc>
        <w:tc>
          <w:tcPr>
            <w:tcW w:w="1559" w:type="dxa"/>
            <w:vAlign w:val="center"/>
          </w:tcPr>
          <w:p w14:paraId="5BF0C453">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8</w:t>
            </w:r>
          </w:p>
        </w:tc>
        <w:tc>
          <w:tcPr>
            <w:tcW w:w="2126" w:type="dxa"/>
            <w:vAlign w:val="center"/>
          </w:tcPr>
          <w:p w14:paraId="19293277">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含电子文件</w:t>
            </w:r>
          </w:p>
        </w:tc>
      </w:tr>
      <w:tr w14:paraId="405A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134" w:type="dxa"/>
            <w:vAlign w:val="center"/>
          </w:tcPr>
          <w:p w14:paraId="0D0A0E4A">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3</w:t>
            </w:r>
          </w:p>
        </w:tc>
        <w:tc>
          <w:tcPr>
            <w:tcW w:w="3828" w:type="dxa"/>
            <w:vAlign w:val="center"/>
          </w:tcPr>
          <w:p w14:paraId="2FCCFA61">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地形测绘报告</w:t>
            </w:r>
          </w:p>
        </w:tc>
        <w:tc>
          <w:tcPr>
            <w:tcW w:w="1559" w:type="dxa"/>
            <w:vAlign w:val="center"/>
          </w:tcPr>
          <w:p w14:paraId="4B79D5E5">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ascii="宋体" w:hAnsi="宋体"/>
                <w:kern w:val="0"/>
                <w:sz w:val="24"/>
              </w:rPr>
              <w:t>8</w:t>
            </w:r>
          </w:p>
        </w:tc>
        <w:tc>
          <w:tcPr>
            <w:tcW w:w="2126" w:type="dxa"/>
            <w:vAlign w:val="center"/>
          </w:tcPr>
          <w:p w14:paraId="269332EC">
            <w:pPr>
              <w:keepNext w:val="0"/>
              <w:keepLines w:val="0"/>
              <w:pageBreakBefore w:val="0"/>
              <w:kinsoku/>
              <w:wordWrap/>
              <w:topLinePunct w:val="0"/>
              <w:bidi w:val="0"/>
              <w:spacing w:line="360" w:lineRule="auto"/>
              <w:ind w:right="0" w:firstLine="480" w:firstLineChars="200"/>
              <w:jc w:val="center"/>
              <w:textAlignment w:val="auto"/>
              <w:rPr>
                <w:rFonts w:ascii="宋体" w:hAnsi="宋体"/>
                <w:kern w:val="0"/>
                <w:sz w:val="24"/>
              </w:rPr>
            </w:pPr>
          </w:p>
        </w:tc>
      </w:tr>
      <w:tr w14:paraId="3EFDC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134" w:type="dxa"/>
            <w:vAlign w:val="center"/>
          </w:tcPr>
          <w:p w14:paraId="2CAD3F96">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4</w:t>
            </w:r>
          </w:p>
        </w:tc>
        <w:tc>
          <w:tcPr>
            <w:tcW w:w="3828" w:type="dxa"/>
            <w:vAlign w:val="center"/>
          </w:tcPr>
          <w:p w14:paraId="031EEC28">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土壤氡浓度检测报告</w:t>
            </w:r>
          </w:p>
        </w:tc>
        <w:tc>
          <w:tcPr>
            <w:tcW w:w="1559" w:type="dxa"/>
            <w:vAlign w:val="center"/>
          </w:tcPr>
          <w:p w14:paraId="71542D22">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ascii="宋体" w:hAnsi="宋体"/>
                <w:kern w:val="0"/>
                <w:sz w:val="24"/>
              </w:rPr>
              <w:t>8</w:t>
            </w:r>
          </w:p>
        </w:tc>
        <w:tc>
          <w:tcPr>
            <w:tcW w:w="2126" w:type="dxa"/>
            <w:vAlign w:val="center"/>
          </w:tcPr>
          <w:p w14:paraId="058FD273">
            <w:pPr>
              <w:keepNext w:val="0"/>
              <w:keepLines w:val="0"/>
              <w:pageBreakBefore w:val="0"/>
              <w:kinsoku/>
              <w:wordWrap/>
              <w:topLinePunct w:val="0"/>
              <w:bidi w:val="0"/>
              <w:spacing w:line="360" w:lineRule="auto"/>
              <w:ind w:right="0" w:firstLine="480" w:firstLineChars="200"/>
              <w:jc w:val="center"/>
              <w:textAlignment w:val="auto"/>
              <w:rPr>
                <w:rFonts w:ascii="宋体" w:hAnsi="宋体"/>
                <w:kern w:val="0"/>
                <w:sz w:val="24"/>
              </w:rPr>
            </w:pPr>
          </w:p>
        </w:tc>
      </w:tr>
      <w:tr w14:paraId="1EC7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134" w:type="dxa"/>
            <w:vAlign w:val="center"/>
          </w:tcPr>
          <w:p w14:paraId="3F338FF7">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5</w:t>
            </w:r>
          </w:p>
        </w:tc>
        <w:tc>
          <w:tcPr>
            <w:tcW w:w="3828" w:type="dxa"/>
            <w:vAlign w:val="center"/>
          </w:tcPr>
          <w:p w14:paraId="6521E90A">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现状地面方格网标高图</w:t>
            </w:r>
          </w:p>
        </w:tc>
        <w:tc>
          <w:tcPr>
            <w:tcW w:w="1559" w:type="dxa"/>
            <w:vAlign w:val="center"/>
          </w:tcPr>
          <w:p w14:paraId="3AAB664B">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ascii="宋体" w:hAnsi="宋体"/>
                <w:kern w:val="0"/>
                <w:sz w:val="24"/>
              </w:rPr>
              <w:t>8</w:t>
            </w:r>
          </w:p>
        </w:tc>
        <w:tc>
          <w:tcPr>
            <w:tcW w:w="2126" w:type="dxa"/>
            <w:vAlign w:val="center"/>
          </w:tcPr>
          <w:p w14:paraId="0067C219">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能够用于土石方工程量计算</w:t>
            </w:r>
          </w:p>
        </w:tc>
      </w:tr>
      <w:tr w14:paraId="7E23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134" w:type="dxa"/>
            <w:vAlign w:val="center"/>
          </w:tcPr>
          <w:p w14:paraId="24F39FB6">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6</w:t>
            </w:r>
          </w:p>
        </w:tc>
        <w:tc>
          <w:tcPr>
            <w:tcW w:w="3828" w:type="dxa"/>
            <w:vAlign w:val="center"/>
          </w:tcPr>
          <w:p w14:paraId="40863866">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宗地内树木测绘报告</w:t>
            </w:r>
          </w:p>
        </w:tc>
        <w:tc>
          <w:tcPr>
            <w:tcW w:w="1559" w:type="dxa"/>
            <w:vAlign w:val="center"/>
          </w:tcPr>
          <w:p w14:paraId="2D06511C">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ascii="宋体" w:hAnsi="宋体"/>
                <w:kern w:val="0"/>
                <w:sz w:val="24"/>
              </w:rPr>
              <w:t>8</w:t>
            </w:r>
          </w:p>
        </w:tc>
        <w:tc>
          <w:tcPr>
            <w:tcW w:w="2126" w:type="dxa"/>
            <w:vAlign w:val="center"/>
          </w:tcPr>
          <w:p w14:paraId="23A8968B">
            <w:pPr>
              <w:keepNext w:val="0"/>
              <w:keepLines w:val="0"/>
              <w:pageBreakBefore w:val="0"/>
              <w:kinsoku/>
              <w:wordWrap/>
              <w:topLinePunct w:val="0"/>
              <w:bidi w:val="0"/>
              <w:spacing w:line="360" w:lineRule="auto"/>
              <w:ind w:right="0" w:firstLine="480" w:firstLineChars="200"/>
              <w:jc w:val="center"/>
              <w:textAlignment w:val="auto"/>
              <w:rPr>
                <w:rFonts w:ascii="宋体" w:hAnsi="宋体"/>
                <w:kern w:val="0"/>
                <w:sz w:val="24"/>
              </w:rPr>
            </w:pPr>
          </w:p>
        </w:tc>
      </w:tr>
      <w:tr w14:paraId="4E561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0" w:hRule="atLeast"/>
        </w:trPr>
        <w:tc>
          <w:tcPr>
            <w:tcW w:w="1134" w:type="dxa"/>
            <w:vAlign w:val="center"/>
          </w:tcPr>
          <w:p w14:paraId="31307849">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7</w:t>
            </w:r>
          </w:p>
        </w:tc>
        <w:tc>
          <w:tcPr>
            <w:tcW w:w="3828" w:type="dxa"/>
            <w:vAlign w:val="center"/>
          </w:tcPr>
          <w:p w14:paraId="1ADF3013">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相邻设施现状调查报告</w:t>
            </w:r>
          </w:p>
        </w:tc>
        <w:tc>
          <w:tcPr>
            <w:tcW w:w="1559" w:type="dxa"/>
            <w:vAlign w:val="center"/>
          </w:tcPr>
          <w:p w14:paraId="53A10FF2">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ascii="宋体" w:hAnsi="宋体"/>
                <w:kern w:val="0"/>
                <w:sz w:val="24"/>
              </w:rPr>
              <w:t>8</w:t>
            </w:r>
          </w:p>
        </w:tc>
        <w:tc>
          <w:tcPr>
            <w:tcW w:w="2126" w:type="dxa"/>
            <w:vAlign w:val="center"/>
          </w:tcPr>
          <w:p w14:paraId="639A12E5">
            <w:pPr>
              <w:keepNext w:val="0"/>
              <w:keepLines w:val="0"/>
              <w:pageBreakBefore w:val="0"/>
              <w:kinsoku/>
              <w:wordWrap/>
              <w:topLinePunct w:val="0"/>
              <w:bidi w:val="0"/>
              <w:spacing w:line="360" w:lineRule="auto"/>
              <w:ind w:right="0" w:firstLine="480" w:firstLineChars="200"/>
              <w:jc w:val="center"/>
              <w:textAlignment w:val="auto"/>
              <w:rPr>
                <w:rFonts w:ascii="宋体" w:hAnsi="宋体"/>
                <w:kern w:val="0"/>
                <w:sz w:val="24"/>
              </w:rPr>
            </w:pPr>
          </w:p>
        </w:tc>
      </w:tr>
      <w:tr w14:paraId="76872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134" w:type="dxa"/>
            <w:vAlign w:val="center"/>
          </w:tcPr>
          <w:p w14:paraId="09D4429A">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8</w:t>
            </w:r>
          </w:p>
        </w:tc>
        <w:tc>
          <w:tcPr>
            <w:tcW w:w="3828" w:type="dxa"/>
            <w:vAlign w:val="center"/>
          </w:tcPr>
          <w:p w14:paraId="3086C2F9">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地质灾害评估报告</w:t>
            </w:r>
          </w:p>
        </w:tc>
        <w:tc>
          <w:tcPr>
            <w:tcW w:w="1559" w:type="dxa"/>
            <w:vAlign w:val="center"/>
          </w:tcPr>
          <w:p w14:paraId="6A9030F2">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8</w:t>
            </w:r>
          </w:p>
        </w:tc>
        <w:tc>
          <w:tcPr>
            <w:tcW w:w="2126" w:type="dxa"/>
            <w:vAlign w:val="center"/>
          </w:tcPr>
          <w:p w14:paraId="124D455B">
            <w:pPr>
              <w:keepNext w:val="0"/>
              <w:keepLines w:val="0"/>
              <w:pageBreakBefore w:val="0"/>
              <w:kinsoku/>
              <w:wordWrap/>
              <w:topLinePunct w:val="0"/>
              <w:bidi w:val="0"/>
              <w:spacing w:line="360" w:lineRule="auto"/>
              <w:ind w:right="0" w:firstLine="480" w:firstLineChars="200"/>
              <w:jc w:val="center"/>
              <w:textAlignment w:val="auto"/>
              <w:rPr>
                <w:rFonts w:ascii="宋体" w:hAnsi="宋体"/>
                <w:kern w:val="0"/>
                <w:sz w:val="24"/>
              </w:rPr>
            </w:pPr>
          </w:p>
        </w:tc>
      </w:tr>
    </w:tbl>
    <w:p w14:paraId="558C1B87">
      <w:pPr>
        <w:keepNext w:val="0"/>
        <w:keepLines w:val="0"/>
        <w:pageBreakBefore w:val="0"/>
        <w:kinsoku/>
        <w:wordWrap/>
        <w:topLinePunct w:val="0"/>
        <w:bidi w:val="0"/>
        <w:spacing w:line="360" w:lineRule="auto"/>
        <w:ind w:right="0" w:firstLine="480" w:firstLineChars="200"/>
        <w:textAlignment w:val="auto"/>
        <w:rPr>
          <w:rFonts w:ascii="宋体" w:hAnsi="宋体"/>
          <w:sz w:val="24"/>
          <w:szCs w:val="24"/>
        </w:rPr>
      </w:pPr>
      <w:r>
        <w:rPr>
          <w:rFonts w:hint="eastAsia" w:ascii="宋体" w:hAnsi="宋体"/>
          <w:sz w:val="24"/>
          <w:szCs w:val="24"/>
        </w:rPr>
        <w:t>受托人应对其提交的勘察成果资料的质量负责。受托人在履行和完成本合同服务工作过程中各阶段形成的成果的财产权及知识产权归委托人所有。本工程的勘探要求按《岩土工程勘察规范》</w:t>
      </w:r>
      <w:r>
        <w:rPr>
          <w:rFonts w:hint="eastAsia" w:ascii="宋体"/>
          <w:sz w:val="24"/>
          <w:szCs w:val="24"/>
        </w:rPr>
        <w:t>GB50021-2001（2009版）</w:t>
      </w:r>
      <w:r>
        <w:rPr>
          <w:rFonts w:hint="eastAsia" w:ascii="宋体" w:hAnsi="宋体"/>
          <w:sz w:val="24"/>
          <w:szCs w:val="24"/>
        </w:rPr>
        <w:t>、《深圳市地基基础勘察设计规范》</w:t>
      </w:r>
      <w:r>
        <w:rPr>
          <w:rFonts w:hint="eastAsia" w:ascii="宋体"/>
          <w:sz w:val="24"/>
          <w:szCs w:val="24"/>
        </w:rPr>
        <w:t>SJG01-2010</w:t>
      </w:r>
      <w:r>
        <w:rPr>
          <w:rFonts w:hint="eastAsia" w:ascii="宋体" w:hAnsi="宋体"/>
          <w:sz w:val="24"/>
          <w:szCs w:val="24"/>
        </w:rPr>
        <w:t>、《建筑工程测量规范》</w:t>
      </w:r>
      <w:r>
        <w:rPr>
          <w:rFonts w:hint="eastAsia" w:ascii="宋体"/>
          <w:sz w:val="24"/>
          <w:szCs w:val="24"/>
        </w:rPr>
        <w:t>GB50026-2020</w:t>
      </w:r>
      <w:r>
        <w:rPr>
          <w:rFonts w:hint="eastAsia" w:ascii="宋体" w:hAnsi="宋体"/>
          <w:sz w:val="24"/>
          <w:szCs w:val="24"/>
        </w:rPr>
        <w:t>、《全球定位系统（</w:t>
      </w:r>
      <w:r>
        <w:rPr>
          <w:rFonts w:hint="eastAsia" w:ascii="宋体"/>
          <w:sz w:val="24"/>
          <w:szCs w:val="24"/>
        </w:rPr>
        <w:t>GPS</w:t>
      </w:r>
      <w:r>
        <w:rPr>
          <w:rFonts w:hint="eastAsia" w:ascii="宋体" w:hAnsi="宋体"/>
          <w:sz w:val="24"/>
          <w:szCs w:val="24"/>
        </w:rPr>
        <w:t>）测量规范》</w:t>
      </w:r>
      <w:r>
        <w:rPr>
          <w:rFonts w:hint="eastAsia" w:ascii="宋体"/>
          <w:sz w:val="24"/>
          <w:szCs w:val="24"/>
        </w:rPr>
        <w:t>GB/T 18314-2009</w:t>
      </w:r>
      <w:r>
        <w:rPr>
          <w:rFonts w:hint="eastAsia" w:ascii="宋体" w:hAnsi="宋体"/>
          <w:sz w:val="24"/>
          <w:szCs w:val="24"/>
        </w:rPr>
        <w:t>及国家规范、项目所在地有关部门的技术要求进行，其质量标准应符合国家现行及在合同履行过程中更新的勘探、设计规程、规范和标准，地勘报告应满足单体设计及基坑支护土方工程的要求，物理试验成果报告应齐全、准确。</w:t>
      </w:r>
    </w:p>
    <w:p w14:paraId="282E96F1">
      <w:pPr>
        <w:keepNext w:val="0"/>
        <w:keepLines w:val="0"/>
        <w:pageBreakBefore w:val="0"/>
        <w:numPr>
          <w:ilvl w:val="0"/>
          <w:numId w:val="1"/>
        </w:numPr>
        <w:kinsoku/>
        <w:wordWrap/>
        <w:topLinePunct w:val="0"/>
        <w:bidi w:val="0"/>
        <w:spacing w:line="360" w:lineRule="auto"/>
        <w:ind w:left="0" w:right="0" w:firstLine="480" w:firstLineChars="200"/>
        <w:textAlignment w:val="auto"/>
        <w:rPr>
          <w:rFonts w:ascii="宋体"/>
          <w:sz w:val="24"/>
          <w:szCs w:val="24"/>
        </w:rPr>
      </w:pPr>
      <w:r>
        <w:rPr>
          <w:rFonts w:hint="eastAsia" w:ascii="宋体" w:hAnsi="宋体"/>
          <w:sz w:val="24"/>
          <w:szCs w:val="24"/>
        </w:rPr>
        <w:t>地勘报告成果要求：</w:t>
      </w:r>
    </w:p>
    <w:p w14:paraId="5AA096B9">
      <w:pPr>
        <w:keepNext w:val="0"/>
        <w:keepLines w:val="0"/>
        <w:pageBreakBefore w:val="0"/>
        <w:kinsoku/>
        <w:wordWrap/>
        <w:topLinePunct w:val="0"/>
        <w:bidi w:val="0"/>
        <w:spacing w:line="360" w:lineRule="auto"/>
        <w:ind w:right="0" w:firstLine="480" w:firstLineChars="200"/>
        <w:textAlignment w:val="auto"/>
        <w:rPr>
          <w:rFonts w:ascii="宋体"/>
          <w:sz w:val="24"/>
          <w:szCs w:val="24"/>
        </w:rPr>
      </w:pPr>
      <w:r>
        <w:rPr>
          <w:rFonts w:hint="eastAsia" w:ascii="宋体"/>
          <w:sz w:val="24"/>
          <w:szCs w:val="24"/>
        </w:rPr>
        <w:t xml:space="preserve"> 1.</w:t>
      </w:r>
      <w:r>
        <w:rPr>
          <w:rFonts w:hint="eastAsia" w:ascii="宋体" w:hAnsi="宋体"/>
          <w:sz w:val="24"/>
          <w:szCs w:val="24"/>
        </w:rPr>
        <w:t>勘探点主要数据一览表：深度，孔口标高（黄海绝对标高），各岩、土层厚度及层顶、底标高，地下水稳定水位（含浮动范围、最高水位）；</w:t>
      </w:r>
    </w:p>
    <w:p w14:paraId="5464527C">
      <w:pPr>
        <w:keepNext w:val="0"/>
        <w:keepLines w:val="0"/>
        <w:pageBreakBefore w:val="0"/>
        <w:kinsoku/>
        <w:wordWrap/>
        <w:topLinePunct w:val="0"/>
        <w:bidi w:val="0"/>
        <w:spacing w:line="360" w:lineRule="auto"/>
        <w:ind w:right="0" w:firstLine="480" w:firstLineChars="200"/>
        <w:textAlignment w:val="auto"/>
        <w:rPr>
          <w:rFonts w:ascii="宋体"/>
          <w:sz w:val="24"/>
          <w:szCs w:val="24"/>
        </w:rPr>
      </w:pPr>
      <w:r>
        <w:rPr>
          <w:rFonts w:hint="eastAsia" w:ascii="宋体"/>
          <w:sz w:val="24"/>
          <w:szCs w:val="24"/>
        </w:rPr>
        <w:t xml:space="preserve"> 2.</w:t>
      </w:r>
      <w:r>
        <w:rPr>
          <w:rFonts w:hint="eastAsia" w:ascii="宋体" w:hAnsi="宋体"/>
          <w:sz w:val="24"/>
          <w:szCs w:val="24"/>
        </w:rPr>
        <w:t>勘探点平面布置图，钻孔柱状图，地质剖面图，基岩面等高线图；</w:t>
      </w:r>
    </w:p>
    <w:p w14:paraId="0199CDE4">
      <w:pPr>
        <w:keepNext w:val="0"/>
        <w:keepLines w:val="0"/>
        <w:pageBreakBefore w:val="0"/>
        <w:kinsoku/>
        <w:wordWrap/>
        <w:topLinePunct w:val="0"/>
        <w:bidi w:val="0"/>
        <w:spacing w:line="360" w:lineRule="auto"/>
        <w:ind w:right="0" w:firstLine="480" w:firstLineChars="200"/>
        <w:textAlignment w:val="auto"/>
        <w:rPr>
          <w:rFonts w:ascii="宋体"/>
          <w:sz w:val="24"/>
          <w:szCs w:val="24"/>
        </w:rPr>
      </w:pPr>
      <w:r>
        <w:rPr>
          <w:rFonts w:hint="eastAsia" w:ascii="宋体"/>
          <w:sz w:val="24"/>
          <w:szCs w:val="24"/>
        </w:rPr>
        <w:t xml:space="preserve"> 3.</w:t>
      </w:r>
      <w:r>
        <w:rPr>
          <w:rFonts w:hint="eastAsia" w:ascii="宋体" w:hAnsi="宋体"/>
          <w:sz w:val="24"/>
          <w:szCs w:val="24"/>
        </w:rPr>
        <w:t>各岩、土层主要物理力学指标和土工试验成果表，满足能按承载力变形计算地基的要求数据；</w:t>
      </w:r>
    </w:p>
    <w:p w14:paraId="56921CE1">
      <w:pPr>
        <w:keepNext w:val="0"/>
        <w:keepLines w:val="0"/>
        <w:pageBreakBefore w:val="0"/>
        <w:kinsoku/>
        <w:wordWrap/>
        <w:topLinePunct w:val="0"/>
        <w:bidi w:val="0"/>
        <w:spacing w:line="360" w:lineRule="auto"/>
        <w:ind w:right="0" w:firstLine="480" w:firstLineChars="200"/>
        <w:textAlignment w:val="auto"/>
        <w:rPr>
          <w:rFonts w:ascii="宋体"/>
          <w:sz w:val="24"/>
          <w:szCs w:val="24"/>
        </w:rPr>
      </w:pPr>
      <w:r>
        <w:rPr>
          <w:rFonts w:hint="eastAsia" w:ascii="宋体"/>
          <w:sz w:val="24"/>
          <w:szCs w:val="24"/>
        </w:rPr>
        <w:t xml:space="preserve"> 4.</w:t>
      </w:r>
      <w:r>
        <w:rPr>
          <w:rFonts w:hint="eastAsia" w:ascii="宋体" w:hAnsi="宋体"/>
          <w:sz w:val="24"/>
          <w:szCs w:val="24"/>
        </w:rPr>
        <w:t>水质分析报告及侵蚀性能评价；</w:t>
      </w:r>
    </w:p>
    <w:p w14:paraId="372EFF98">
      <w:pPr>
        <w:keepNext w:val="0"/>
        <w:keepLines w:val="0"/>
        <w:pageBreakBefore w:val="0"/>
        <w:kinsoku/>
        <w:wordWrap/>
        <w:topLinePunct w:val="0"/>
        <w:bidi w:val="0"/>
        <w:spacing w:line="360" w:lineRule="auto"/>
        <w:ind w:right="0" w:firstLine="480" w:firstLineChars="200"/>
        <w:textAlignment w:val="auto"/>
        <w:rPr>
          <w:rFonts w:ascii="宋体"/>
          <w:sz w:val="24"/>
          <w:szCs w:val="24"/>
        </w:rPr>
      </w:pPr>
      <w:r>
        <w:rPr>
          <w:rFonts w:hint="eastAsia" w:ascii="宋体"/>
          <w:sz w:val="24"/>
          <w:szCs w:val="24"/>
        </w:rPr>
        <w:t xml:space="preserve"> 5.</w:t>
      </w:r>
      <w:r>
        <w:rPr>
          <w:rFonts w:hint="eastAsia" w:ascii="宋体" w:hAnsi="宋体"/>
          <w:sz w:val="24"/>
          <w:szCs w:val="24"/>
        </w:rPr>
        <w:t>地震基本烈度，场地土类型及地震液化可能性评价；</w:t>
      </w:r>
    </w:p>
    <w:p w14:paraId="2F03A4D1">
      <w:pPr>
        <w:keepNext w:val="0"/>
        <w:keepLines w:val="0"/>
        <w:pageBreakBefore w:val="0"/>
        <w:kinsoku/>
        <w:wordWrap/>
        <w:topLinePunct w:val="0"/>
        <w:bidi w:val="0"/>
        <w:spacing w:line="360" w:lineRule="auto"/>
        <w:ind w:right="0" w:firstLine="480" w:firstLineChars="200"/>
        <w:textAlignment w:val="auto"/>
        <w:rPr>
          <w:rFonts w:ascii="宋体"/>
          <w:sz w:val="24"/>
          <w:szCs w:val="24"/>
        </w:rPr>
      </w:pPr>
      <w:r>
        <w:rPr>
          <w:rFonts w:hint="eastAsia" w:ascii="宋体"/>
          <w:sz w:val="24"/>
          <w:szCs w:val="24"/>
        </w:rPr>
        <w:t xml:space="preserve"> 6.</w:t>
      </w:r>
      <w:r>
        <w:rPr>
          <w:rFonts w:hint="eastAsia" w:ascii="宋体" w:hAnsi="宋体"/>
          <w:sz w:val="24"/>
          <w:szCs w:val="24"/>
        </w:rPr>
        <w:t>地基土的物理力学性质指标（容重、承载力、液限、塑限、压缩模量、变形模量、内磨擦角、内聚力等）；</w:t>
      </w:r>
    </w:p>
    <w:p w14:paraId="7A16994C">
      <w:pPr>
        <w:keepNext w:val="0"/>
        <w:keepLines w:val="0"/>
        <w:pageBreakBefore w:val="0"/>
        <w:kinsoku/>
        <w:wordWrap/>
        <w:topLinePunct w:val="0"/>
        <w:bidi w:val="0"/>
        <w:spacing w:line="360" w:lineRule="auto"/>
        <w:ind w:right="0" w:firstLine="480" w:firstLineChars="200"/>
        <w:jc w:val="left"/>
        <w:textAlignment w:val="auto"/>
        <w:rPr>
          <w:rFonts w:ascii="宋体" w:hAnsi="宋体"/>
          <w:sz w:val="24"/>
          <w:szCs w:val="24"/>
        </w:rPr>
      </w:pPr>
      <w:r>
        <w:rPr>
          <w:rFonts w:hint="eastAsia" w:ascii="宋体"/>
          <w:sz w:val="24"/>
          <w:szCs w:val="24"/>
        </w:rPr>
        <w:t xml:space="preserve"> 7.</w:t>
      </w:r>
      <w:r>
        <w:rPr>
          <w:rFonts w:hint="eastAsia" w:ascii="宋体" w:hAnsi="宋体"/>
          <w:sz w:val="24"/>
          <w:szCs w:val="24"/>
        </w:rPr>
        <w:t>基础结构方案建议，并提供天然地基或桩基各设计数据；</w:t>
      </w:r>
    </w:p>
    <w:p w14:paraId="517A4D2E">
      <w:pPr>
        <w:keepNext w:val="0"/>
        <w:keepLines w:val="0"/>
        <w:pageBreakBefore w:val="0"/>
        <w:kinsoku/>
        <w:wordWrap/>
        <w:topLinePunct w:val="0"/>
        <w:bidi w:val="0"/>
        <w:spacing w:line="360" w:lineRule="auto"/>
        <w:ind w:right="0" w:firstLine="480" w:firstLineChars="200"/>
        <w:jc w:val="left"/>
        <w:textAlignment w:val="auto"/>
        <w:rPr>
          <w:rFonts w:ascii="宋体"/>
          <w:sz w:val="24"/>
          <w:szCs w:val="24"/>
        </w:rPr>
      </w:pPr>
      <w:r>
        <w:rPr>
          <w:rFonts w:hint="eastAsia" w:ascii="宋体"/>
          <w:sz w:val="24"/>
          <w:szCs w:val="24"/>
        </w:rPr>
        <w:t xml:space="preserve"> 8.</w:t>
      </w:r>
      <w:r>
        <w:rPr>
          <w:rFonts w:hint="eastAsia" w:ascii="宋体" w:hAnsi="宋体"/>
          <w:sz w:val="24"/>
          <w:szCs w:val="24"/>
        </w:rPr>
        <w:t>按勘察规范对拟建场地工程地质及水文地质进行评价及建议，明确设计的采用值。</w:t>
      </w:r>
    </w:p>
    <w:p w14:paraId="2486CC54">
      <w:pPr>
        <w:keepNext w:val="0"/>
        <w:keepLines w:val="0"/>
        <w:pageBreakBefore w:val="0"/>
        <w:kinsoku/>
        <w:wordWrap/>
        <w:topLinePunct w:val="0"/>
        <w:bidi w:val="0"/>
        <w:spacing w:line="360" w:lineRule="auto"/>
        <w:ind w:right="0" w:firstLine="480" w:firstLineChars="200"/>
        <w:textAlignment w:val="auto"/>
        <w:rPr>
          <w:rFonts w:ascii="宋体"/>
          <w:sz w:val="24"/>
          <w:szCs w:val="24"/>
        </w:rPr>
      </w:pPr>
      <w:r>
        <w:rPr>
          <w:rFonts w:hint="eastAsia" w:ascii="宋体" w:hAnsi="宋体"/>
          <w:sz w:val="24"/>
          <w:szCs w:val="24"/>
        </w:rPr>
        <w:t>（二）物探报告成果技术要求：</w:t>
      </w:r>
    </w:p>
    <w:p w14:paraId="3F56E3A1">
      <w:pPr>
        <w:keepNext w:val="0"/>
        <w:keepLines w:val="0"/>
        <w:pageBreakBefore w:val="0"/>
        <w:kinsoku/>
        <w:wordWrap/>
        <w:topLinePunct w:val="0"/>
        <w:bidi w:val="0"/>
        <w:adjustRightInd w:val="0"/>
        <w:snapToGrid w:val="0"/>
        <w:spacing w:line="360" w:lineRule="auto"/>
        <w:ind w:right="0" w:firstLine="480" w:firstLineChars="200"/>
        <w:jc w:val="left"/>
        <w:textAlignment w:val="auto"/>
        <w:rPr>
          <w:rFonts w:ascii="宋体" w:hAnsi="宋体"/>
          <w:sz w:val="24"/>
          <w:szCs w:val="24"/>
        </w:rPr>
      </w:pPr>
      <w:r>
        <w:rPr>
          <w:rFonts w:hint="eastAsia" w:ascii="宋体" w:hAnsi="宋体"/>
          <w:sz w:val="24"/>
          <w:szCs w:val="24"/>
        </w:rPr>
        <w:t>调查满足设计工作需要的工程场区及其周边范围内综合地下管线的位置、埋深、尺寸、材质等属性，绘制综合地下管线成果图和地下管线成果表。</w:t>
      </w:r>
    </w:p>
    <w:p w14:paraId="1D70CC13">
      <w:pPr>
        <w:keepNext w:val="0"/>
        <w:keepLines w:val="0"/>
        <w:pageBreakBefore w:val="0"/>
        <w:kinsoku/>
        <w:wordWrap/>
        <w:topLinePunct w:val="0"/>
        <w:bidi w:val="0"/>
        <w:spacing w:line="360" w:lineRule="auto"/>
        <w:ind w:right="0" w:firstLine="480" w:firstLineChars="200"/>
        <w:textAlignment w:val="auto"/>
        <w:rPr>
          <w:rFonts w:ascii="宋体"/>
          <w:sz w:val="24"/>
          <w:szCs w:val="24"/>
        </w:rPr>
      </w:pPr>
      <w:r>
        <w:rPr>
          <w:rFonts w:hint="eastAsia" w:ascii="宋体" w:hAnsi="宋体"/>
          <w:kern w:val="0"/>
          <w:sz w:val="24"/>
          <w:szCs w:val="24"/>
        </w:rPr>
        <w:t>（三）地形测绘报告</w:t>
      </w:r>
      <w:r>
        <w:rPr>
          <w:rFonts w:hint="eastAsia" w:ascii="宋体" w:hAnsi="宋体"/>
          <w:sz w:val="24"/>
          <w:szCs w:val="24"/>
        </w:rPr>
        <w:t>技术要求：</w:t>
      </w:r>
    </w:p>
    <w:p w14:paraId="283187A2">
      <w:pPr>
        <w:keepNext w:val="0"/>
        <w:keepLines w:val="0"/>
        <w:pageBreakBefore w:val="0"/>
        <w:kinsoku/>
        <w:wordWrap/>
        <w:topLinePunct w:val="0"/>
        <w:bidi w:val="0"/>
        <w:adjustRightInd w:val="0"/>
        <w:snapToGrid w:val="0"/>
        <w:spacing w:line="360" w:lineRule="auto"/>
        <w:ind w:right="0" w:firstLine="480" w:firstLineChars="200"/>
        <w:jc w:val="left"/>
        <w:textAlignment w:val="auto"/>
        <w:rPr>
          <w:rFonts w:ascii="宋体" w:hAnsi="宋体"/>
          <w:sz w:val="24"/>
          <w:szCs w:val="24"/>
        </w:rPr>
      </w:pPr>
      <w:r>
        <w:rPr>
          <w:rFonts w:hint="eastAsia" w:ascii="宋体" w:hAnsi="宋体"/>
          <w:sz w:val="24"/>
          <w:szCs w:val="24"/>
        </w:rPr>
        <w:t>1.测量、收集建设区及周边平面和高程控制点资料，测绘制作反映项目用地及周边（项目宗地红线外50米范围内）现状地形、地物、标高的地形图。</w:t>
      </w:r>
    </w:p>
    <w:p w14:paraId="6313BFDF">
      <w:pPr>
        <w:keepNext w:val="0"/>
        <w:keepLines w:val="0"/>
        <w:pageBreakBefore w:val="0"/>
        <w:kinsoku/>
        <w:wordWrap/>
        <w:topLinePunct w:val="0"/>
        <w:bidi w:val="0"/>
        <w:spacing w:line="360" w:lineRule="auto"/>
        <w:ind w:right="0" w:firstLine="480" w:firstLineChars="200"/>
        <w:textAlignment w:val="auto"/>
        <w:rPr>
          <w:sz w:val="24"/>
          <w:szCs w:val="24"/>
        </w:rPr>
      </w:pPr>
      <w:r>
        <w:rPr>
          <w:rFonts w:hint="eastAsia" w:ascii="宋体" w:hAnsi="宋体"/>
          <w:sz w:val="24"/>
          <w:szCs w:val="24"/>
        </w:rPr>
        <w:t>2.</w:t>
      </w:r>
      <w:r>
        <w:rPr>
          <w:rFonts w:hint="eastAsia"/>
          <w:sz w:val="24"/>
          <w:szCs w:val="24"/>
        </w:rPr>
        <w:t>现状地面方格网标高图</w:t>
      </w:r>
      <w:r>
        <w:rPr>
          <w:rFonts w:hint="eastAsia" w:ascii="宋体" w:hAnsi="宋体"/>
          <w:sz w:val="24"/>
          <w:szCs w:val="24"/>
        </w:rPr>
        <w:t>应如实反馈场地内土方原始标高，满足土方开挖量计算要</w:t>
      </w:r>
      <w:r>
        <w:rPr>
          <w:rFonts w:hint="eastAsia"/>
          <w:sz w:val="24"/>
          <w:szCs w:val="24"/>
        </w:rPr>
        <w:t>求。</w:t>
      </w:r>
    </w:p>
    <w:p w14:paraId="1500AFEB">
      <w:pPr>
        <w:keepNext w:val="0"/>
        <w:keepLines w:val="0"/>
        <w:pageBreakBefore w:val="0"/>
        <w:kinsoku/>
        <w:wordWrap/>
        <w:topLinePunct w:val="0"/>
        <w:bidi w:val="0"/>
        <w:spacing w:line="360" w:lineRule="auto"/>
        <w:ind w:right="0" w:firstLine="480" w:firstLineChars="200"/>
        <w:textAlignment w:val="auto"/>
        <w:rPr>
          <w:rFonts w:ascii="宋体" w:hAnsi="宋体"/>
          <w:kern w:val="0"/>
          <w:sz w:val="24"/>
          <w:szCs w:val="24"/>
        </w:rPr>
      </w:pPr>
      <w:r>
        <w:rPr>
          <w:rFonts w:hint="eastAsia" w:ascii="宋体" w:hAnsi="宋体"/>
          <w:kern w:val="0"/>
          <w:sz w:val="24"/>
          <w:szCs w:val="24"/>
        </w:rPr>
        <w:t>（四）土壤氡浓度报告技术要求：</w:t>
      </w:r>
    </w:p>
    <w:p w14:paraId="39E11F30">
      <w:pPr>
        <w:keepNext w:val="0"/>
        <w:keepLines w:val="0"/>
        <w:pageBreakBefore w:val="0"/>
        <w:kinsoku/>
        <w:wordWrap/>
        <w:topLinePunct w:val="0"/>
        <w:bidi w:val="0"/>
        <w:spacing w:line="360" w:lineRule="auto"/>
        <w:ind w:right="0" w:firstLine="480" w:firstLineChars="200"/>
        <w:textAlignment w:val="auto"/>
        <w:rPr>
          <w:rFonts w:ascii="宋体" w:hAnsi="宋体"/>
          <w:sz w:val="24"/>
          <w:szCs w:val="24"/>
        </w:rPr>
      </w:pPr>
      <w:r>
        <w:rPr>
          <w:rFonts w:hint="eastAsia" w:ascii="宋体" w:hAnsi="宋体"/>
          <w:kern w:val="0"/>
          <w:sz w:val="24"/>
          <w:szCs w:val="24"/>
        </w:rPr>
        <w:t>符合</w:t>
      </w:r>
      <w:r>
        <w:rPr>
          <w:rFonts w:hint="eastAsia" w:ascii="宋体" w:hAnsi="宋体"/>
          <w:sz w:val="24"/>
          <w:szCs w:val="24"/>
        </w:rPr>
        <w:t>GB50325-20</w:t>
      </w:r>
      <w:r>
        <w:rPr>
          <w:rFonts w:hint="eastAsia" w:ascii="宋体" w:hAnsi="宋体"/>
          <w:kern w:val="0"/>
          <w:sz w:val="24"/>
          <w:szCs w:val="24"/>
        </w:rPr>
        <w:t>2</w:t>
      </w:r>
      <w:r>
        <w:rPr>
          <w:rFonts w:hint="eastAsia" w:ascii="宋体" w:hAnsi="宋体"/>
          <w:sz w:val="24"/>
          <w:szCs w:val="24"/>
        </w:rPr>
        <w:t>0《民用建筑工程室内环境污染控制规范》相关规范、规程的要求。</w:t>
      </w:r>
    </w:p>
    <w:p w14:paraId="7B4D5A7A">
      <w:pPr>
        <w:keepNext w:val="0"/>
        <w:keepLines w:val="0"/>
        <w:pageBreakBefore w:val="0"/>
        <w:kinsoku/>
        <w:wordWrap/>
        <w:topLinePunct w:val="0"/>
        <w:bidi w:val="0"/>
        <w:spacing w:line="360" w:lineRule="auto"/>
        <w:ind w:right="0" w:firstLine="480" w:firstLineChars="200"/>
        <w:textAlignment w:val="auto"/>
        <w:rPr>
          <w:rFonts w:ascii="宋体" w:hAnsi="宋体"/>
          <w:kern w:val="0"/>
          <w:sz w:val="24"/>
          <w:szCs w:val="24"/>
        </w:rPr>
      </w:pPr>
      <w:r>
        <w:rPr>
          <w:rFonts w:hint="eastAsia" w:ascii="宋体" w:hAnsi="宋体"/>
          <w:kern w:val="0"/>
          <w:sz w:val="24"/>
          <w:szCs w:val="24"/>
        </w:rPr>
        <w:t>（五）</w:t>
      </w:r>
      <w:r>
        <w:rPr>
          <w:rFonts w:hint="eastAsia" w:ascii="宋体" w:hAnsi="宋体"/>
          <w:sz w:val="24"/>
          <w:szCs w:val="24"/>
        </w:rPr>
        <w:t>宗地</w:t>
      </w:r>
      <w:r>
        <w:rPr>
          <w:rFonts w:hint="eastAsia" w:ascii="宋体" w:hAnsi="宋体"/>
          <w:kern w:val="0"/>
          <w:sz w:val="24"/>
          <w:szCs w:val="24"/>
        </w:rPr>
        <w:t>内树木测绘报告</w:t>
      </w:r>
    </w:p>
    <w:p w14:paraId="176BED00">
      <w:pPr>
        <w:keepNext w:val="0"/>
        <w:keepLines w:val="0"/>
        <w:pageBreakBefore w:val="0"/>
        <w:kinsoku/>
        <w:wordWrap/>
        <w:topLinePunct w:val="0"/>
        <w:bidi w:val="0"/>
        <w:spacing w:line="360" w:lineRule="auto"/>
        <w:ind w:right="0" w:firstLine="480" w:firstLineChars="200"/>
        <w:textAlignment w:val="auto"/>
        <w:rPr>
          <w:rFonts w:ascii="宋体" w:hAnsi="宋体"/>
          <w:kern w:val="0"/>
          <w:sz w:val="24"/>
          <w:szCs w:val="24"/>
        </w:rPr>
      </w:pPr>
      <w:r>
        <w:rPr>
          <w:rFonts w:hint="eastAsia" w:ascii="宋体" w:hAnsi="宋体"/>
          <w:kern w:val="0"/>
          <w:sz w:val="24"/>
          <w:szCs w:val="24"/>
        </w:rPr>
        <w:t>报告应如实反馈</w:t>
      </w:r>
      <w:r>
        <w:rPr>
          <w:rFonts w:hint="eastAsia" w:ascii="宋体" w:hAnsi="宋体"/>
          <w:sz w:val="24"/>
          <w:szCs w:val="24"/>
        </w:rPr>
        <w:t>宗地</w:t>
      </w:r>
      <w:r>
        <w:rPr>
          <w:rFonts w:hint="eastAsia" w:ascii="宋体" w:hAnsi="宋体"/>
          <w:kern w:val="0"/>
          <w:sz w:val="24"/>
          <w:szCs w:val="24"/>
        </w:rPr>
        <w:t>内树木的位置坐标、树木种类、树木胸径、树高、冠幅等数据。</w:t>
      </w:r>
    </w:p>
    <w:p w14:paraId="0167BEBF">
      <w:pPr>
        <w:keepNext w:val="0"/>
        <w:keepLines w:val="0"/>
        <w:pageBreakBefore w:val="0"/>
        <w:kinsoku/>
        <w:wordWrap/>
        <w:topLinePunct w:val="0"/>
        <w:bidi w:val="0"/>
        <w:spacing w:line="360" w:lineRule="auto"/>
        <w:ind w:right="0" w:firstLine="480" w:firstLineChars="200"/>
        <w:textAlignment w:val="auto"/>
        <w:rPr>
          <w:rFonts w:ascii="宋体" w:hAnsi="宋体"/>
          <w:kern w:val="0"/>
          <w:sz w:val="24"/>
          <w:szCs w:val="24"/>
        </w:rPr>
      </w:pPr>
      <w:r>
        <w:rPr>
          <w:rFonts w:hint="eastAsia" w:ascii="宋体" w:hAnsi="宋体"/>
          <w:kern w:val="0"/>
          <w:sz w:val="24"/>
          <w:szCs w:val="24"/>
        </w:rPr>
        <w:t>（六）相邻设施现状调查报告</w:t>
      </w:r>
    </w:p>
    <w:p w14:paraId="2CB96301">
      <w:pPr>
        <w:keepNext w:val="0"/>
        <w:keepLines w:val="0"/>
        <w:pageBreakBefore w:val="0"/>
        <w:kinsoku/>
        <w:wordWrap/>
        <w:topLinePunct w:val="0"/>
        <w:bidi w:val="0"/>
        <w:spacing w:line="360" w:lineRule="auto"/>
        <w:ind w:right="0" w:firstLine="480" w:firstLineChars="200"/>
        <w:textAlignment w:val="auto"/>
        <w:rPr>
          <w:rFonts w:hint="eastAsia" w:ascii="宋体" w:hAnsi="宋体"/>
          <w:kern w:val="0"/>
          <w:sz w:val="24"/>
          <w:szCs w:val="24"/>
        </w:rPr>
      </w:pPr>
      <w:r>
        <w:rPr>
          <w:rFonts w:hint="eastAsia" w:ascii="宋体" w:hAnsi="宋体"/>
          <w:kern w:val="0"/>
          <w:sz w:val="24"/>
          <w:szCs w:val="24"/>
        </w:rPr>
        <w:t>对相邻设施的现状进行调查，包括地下工程周边建（构）筑物基础、结构型式、地下管线分布等，调查范围应当根据地质条件和相邻设施情况确定，一般情况下，调查范围应当自基坑顶边线起向外延伸相当于基坑开挖深度3倍的距离或地下工程边线向外延伸埋深3倍的距离。</w:t>
      </w:r>
      <w:bookmarkStart w:id="7" w:name="_Toc15917"/>
      <w:r>
        <w:rPr>
          <w:rFonts w:hint="eastAsia" w:ascii="宋体" w:hAnsi="宋体"/>
          <w:kern w:val="0"/>
          <w:sz w:val="24"/>
          <w:szCs w:val="24"/>
        </w:rPr>
        <w:t>甲方可以根据实际需要，要求乙方增加文本或电子文档光盘的数量，乙方不另行收费。</w:t>
      </w:r>
      <w:bookmarkEnd w:id="7"/>
    </w:p>
    <w:p w14:paraId="5E105EB3">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8" w:name="_Toc18907"/>
      <w:r>
        <w:rPr>
          <w:rFonts w:hint="eastAsia" w:ascii="宋体" w:hAnsi="宋体" w:cs="宋体"/>
          <w:b/>
          <w:bCs/>
          <w:sz w:val="24"/>
          <w:szCs w:val="24"/>
        </w:rPr>
        <w:t>七、合同价及支付</w:t>
      </w:r>
      <w:bookmarkEnd w:id="8"/>
    </w:p>
    <w:p w14:paraId="44FAD1AC">
      <w:pPr>
        <w:keepNext w:val="0"/>
        <w:keepLines w:val="0"/>
        <w:pageBreakBefore w:val="0"/>
        <w:kinsoku/>
        <w:wordWrap/>
        <w:topLinePunct w:val="0"/>
        <w:autoSpaceDE w:val="0"/>
        <w:autoSpaceDN w:val="0"/>
        <w:bidi w:val="0"/>
        <w:adjustRightInd w:val="0"/>
        <w:spacing w:line="360" w:lineRule="auto"/>
        <w:ind w:right="0" w:firstLine="482" w:firstLineChars="200"/>
        <w:jc w:val="left"/>
        <w:textAlignment w:val="auto"/>
        <w:rPr>
          <w:rFonts w:ascii="宋体" w:hAnsi="宋体" w:cs="宋体"/>
          <w:b/>
          <w:sz w:val="24"/>
          <w:szCs w:val="24"/>
        </w:rPr>
      </w:pPr>
      <w:r>
        <w:rPr>
          <w:rFonts w:hint="eastAsia" w:ascii="宋体" w:hAnsi="宋体" w:cs="宋体"/>
          <w:b/>
          <w:sz w:val="24"/>
          <w:szCs w:val="24"/>
        </w:rPr>
        <w:t>7.1合同当事人约定勘察费合同价格形式：</w:t>
      </w:r>
    </w:p>
    <w:p w14:paraId="657BCFAD">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ascii="宋体" w:hAnsi="宋体" w:cs="宋体"/>
          <w:bCs/>
          <w:sz w:val="24"/>
          <w:szCs w:val="24"/>
        </w:rPr>
      </w:pPr>
      <w:r>
        <w:rPr>
          <w:rFonts w:hint="eastAsia" w:ascii="宋体" w:hAnsi="宋体" w:cs="宋体"/>
          <w:bCs/>
          <w:sz w:val="24"/>
          <w:szCs w:val="24"/>
        </w:rPr>
        <w:t>本合同采用固定总价，合同费用视为已包括乙方按合同规定完成所有工作内容、所有勘察工作量、提供全套勘察测量、专家评审费、全部基础资料和后续服务的全部费用以及承担合同明示和暗示的一切风险、义务、责任等所发生的费用。</w:t>
      </w:r>
    </w:p>
    <w:p w14:paraId="60E5DC4A">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ascii="宋体" w:hAnsi="宋体" w:cs="宋体"/>
          <w:b/>
          <w:sz w:val="24"/>
          <w:szCs w:val="24"/>
        </w:rPr>
      </w:pPr>
      <w:r>
        <w:rPr>
          <w:rFonts w:hint="eastAsia" w:ascii="宋体" w:hAnsi="宋体" w:cs="宋体"/>
          <w:bCs/>
          <w:sz w:val="24"/>
          <w:szCs w:val="24"/>
        </w:rPr>
        <w:t>乙方在勘察过程中发生以下费用，视为已包含在本合同价中，甲方不另行支付：办理工程勘察相关许可，以及购买有关资料费；土石方计算；拆除障碍物，开挖以及修复地下管线费；接通电源、水源以及平整场地费；勘察材料以及加工费；水上作业的水监费；勘察设备搬迁费；青苗、树木以及水域养殖物赔偿费；样品包装、样品运输费；勘察作业围挡费；成果编制费；管理费；利润、税金。</w:t>
      </w:r>
    </w:p>
    <w:p w14:paraId="6EF7444C">
      <w:pPr>
        <w:keepNext w:val="0"/>
        <w:keepLines w:val="0"/>
        <w:pageBreakBefore w:val="0"/>
        <w:kinsoku/>
        <w:wordWrap/>
        <w:topLinePunct w:val="0"/>
        <w:autoSpaceDE w:val="0"/>
        <w:autoSpaceDN w:val="0"/>
        <w:bidi w:val="0"/>
        <w:adjustRightInd w:val="0"/>
        <w:spacing w:line="360" w:lineRule="auto"/>
        <w:ind w:right="0" w:firstLine="482" w:firstLineChars="200"/>
        <w:jc w:val="left"/>
        <w:textAlignment w:val="auto"/>
        <w:rPr>
          <w:rFonts w:ascii="宋体" w:hAnsi="宋体" w:cs="宋体"/>
          <w:bCs/>
          <w:sz w:val="24"/>
          <w:szCs w:val="24"/>
        </w:rPr>
      </w:pPr>
      <w:r>
        <w:rPr>
          <w:rFonts w:hint="eastAsia" w:ascii="宋体" w:hAnsi="宋体" w:cs="宋体"/>
          <w:b/>
          <w:sz w:val="24"/>
          <w:szCs w:val="24"/>
        </w:rPr>
        <w:t xml:space="preserve">7.2 </w:t>
      </w:r>
      <w:r>
        <w:rPr>
          <w:rFonts w:hint="eastAsia" w:ascii="宋体" w:hAnsi="宋体" w:cs="宋体"/>
          <w:bCs/>
          <w:sz w:val="24"/>
          <w:szCs w:val="24"/>
        </w:rPr>
        <w:t>合同价及计费标准</w:t>
      </w:r>
    </w:p>
    <w:p w14:paraId="41F3D0FD">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ascii="宋体" w:hAnsi="宋体" w:cs="宋体"/>
          <w:sz w:val="24"/>
          <w:szCs w:val="24"/>
        </w:rPr>
      </w:pPr>
      <w:r>
        <w:rPr>
          <w:rFonts w:hint="eastAsia" w:ascii="宋体" w:hAnsi="宋体" w:cs="宋体"/>
          <w:sz w:val="24"/>
          <w:szCs w:val="24"/>
        </w:rPr>
        <w:t>本工程合同含税总价为人民币</w:t>
      </w:r>
      <w:r>
        <w:rPr>
          <w:rFonts w:hint="eastAsia" w:ascii="宋体" w:hAnsi="宋体" w:cs="宋体"/>
          <w:sz w:val="24"/>
          <w:szCs w:val="24"/>
          <w:u w:val="single"/>
          <w:lang w:val="en-US" w:eastAsia="zh-CN"/>
        </w:rPr>
        <w:t xml:space="preserve">       </w:t>
      </w:r>
      <w:r>
        <w:rPr>
          <w:rFonts w:hint="eastAsia" w:ascii="宋体" w:hAnsi="宋体" w:cs="宋体"/>
          <w:sz w:val="24"/>
          <w:szCs w:val="24"/>
        </w:rPr>
        <w:t>元（大写：</w:t>
      </w:r>
      <w:r>
        <w:rPr>
          <w:rFonts w:hint="eastAsia" w:ascii="宋体" w:hAnsi="宋体" w:cs="宋体"/>
          <w:sz w:val="24"/>
          <w:szCs w:val="24"/>
          <w:lang w:val="en-US" w:eastAsia="zh-CN"/>
        </w:rPr>
        <w:t xml:space="preserve">           </w:t>
      </w:r>
      <w:r>
        <w:rPr>
          <w:rFonts w:hint="eastAsia" w:ascii="宋体" w:hAnsi="宋体" w:cs="宋体"/>
          <w:sz w:val="24"/>
          <w:szCs w:val="24"/>
        </w:rPr>
        <w:t>），其中地灾评估费用为人民币</w:t>
      </w:r>
      <w:r>
        <w:rPr>
          <w:rFonts w:hint="eastAsia" w:ascii="宋体" w:hAnsi="宋体" w:cs="宋体"/>
          <w:sz w:val="24"/>
          <w:szCs w:val="24"/>
          <w:u w:val="single"/>
          <w:lang w:val="en-US" w:eastAsia="zh-CN"/>
        </w:rPr>
        <w:t xml:space="preserve">          </w:t>
      </w:r>
      <w:r>
        <w:rPr>
          <w:rFonts w:hint="eastAsia" w:ascii="宋体" w:hAnsi="宋体" w:cs="宋体"/>
          <w:sz w:val="24"/>
          <w:szCs w:val="24"/>
        </w:rPr>
        <w:t>元（大写：</w:t>
      </w:r>
      <w:r>
        <w:rPr>
          <w:rFonts w:hint="eastAsia" w:ascii="宋体" w:hAnsi="宋体" w:cs="宋体"/>
          <w:sz w:val="24"/>
          <w:szCs w:val="24"/>
          <w:u w:val="single"/>
          <w:lang w:val="en-US" w:eastAsia="zh-CN"/>
        </w:rPr>
        <w:t xml:space="preserve">               </w:t>
      </w:r>
      <w:r>
        <w:rPr>
          <w:rFonts w:hint="eastAsia" w:ascii="宋体" w:hAnsi="宋体" w:cs="宋体"/>
          <w:sz w:val="24"/>
          <w:szCs w:val="24"/>
        </w:rPr>
        <w:t>）。增值税率</w:t>
      </w:r>
      <w:r>
        <w:rPr>
          <w:rFonts w:hint="eastAsia" w:ascii="宋体" w:hAnsi="宋体" w:cs="宋体"/>
          <w:sz w:val="24"/>
          <w:szCs w:val="24"/>
          <w:u w:val="single"/>
          <w:lang w:val="en-US" w:eastAsia="zh-CN"/>
        </w:rPr>
        <w:t xml:space="preserve"> 6</w:t>
      </w:r>
      <w:r>
        <w:rPr>
          <w:rFonts w:hint="eastAsia" w:ascii="宋体" w:hAnsi="宋体" w:cs="宋体"/>
          <w:sz w:val="24"/>
          <w:szCs w:val="24"/>
          <w:u w:val="single"/>
        </w:rPr>
        <w:t xml:space="preserve"> %</w:t>
      </w:r>
      <w:r>
        <w:rPr>
          <w:rFonts w:hint="eastAsia" w:ascii="宋体" w:hAnsi="宋体" w:cs="宋体"/>
          <w:sz w:val="24"/>
          <w:szCs w:val="24"/>
        </w:rPr>
        <w:t>，若国家政策导致增值税率发生变化的，不含增值税金额保持不变，合同未执行部分含税价按变化后的税率执行。</w:t>
      </w:r>
    </w:p>
    <w:p w14:paraId="6B265DD3">
      <w:pPr>
        <w:keepNext w:val="0"/>
        <w:keepLines w:val="0"/>
        <w:pageBreakBefore w:val="0"/>
        <w:kinsoku/>
        <w:wordWrap/>
        <w:topLinePunct w:val="0"/>
        <w:autoSpaceDE w:val="0"/>
        <w:autoSpaceDN w:val="0"/>
        <w:bidi w:val="0"/>
        <w:adjustRightInd w:val="0"/>
        <w:spacing w:line="360" w:lineRule="auto"/>
        <w:ind w:right="0" w:firstLine="482" w:firstLineChars="200"/>
        <w:jc w:val="left"/>
        <w:textAlignment w:val="auto"/>
        <w:rPr>
          <w:rFonts w:ascii="宋体" w:hAnsi="宋体" w:cs="宋体"/>
          <w:sz w:val="24"/>
          <w:szCs w:val="24"/>
        </w:rPr>
      </w:pPr>
      <w:r>
        <w:rPr>
          <w:rFonts w:hint="eastAsia" w:ascii="宋体" w:hAnsi="宋体" w:cs="宋体"/>
          <w:b/>
          <w:sz w:val="24"/>
          <w:szCs w:val="24"/>
        </w:rPr>
        <w:t xml:space="preserve">7.3 </w:t>
      </w:r>
      <w:r>
        <w:rPr>
          <w:rFonts w:hint="eastAsia" w:ascii="宋体" w:hAnsi="宋体" w:cs="宋体"/>
          <w:bCs/>
          <w:sz w:val="24"/>
          <w:szCs w:val="24"/>
        </w:rPr>
        <w:t>勘察费用结算原则</w:t>
      </w:r>
    </w:p>
    <w:p w14:paraId="531BFA45">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ascii="宋体" w:hAnsi="宋体" w:cs="宋体"/>
          <w:sz w:val="24"/>
          <w:szCs w:val="24"/>
        </w:rPr>
      </w:pPr>
      <w:r>
        <w:rPr>
          <w:rFonts w:ascii="Calibri" w:hAnsi="Calibri" w:cs="Calibri"/>
          <w:sz w:val="24"/>
          <w:szCs w:val="24"/>
        </w:rPr>
        <w:t>①</w:t>
      </w:r>
      <w:r>
        <w:rPr>
          <w:rFonts w:hint="eastAsia" w:ascii="宋体" w:hAnsi="宋体" w:cs="宋体"/>
          <w:sz w:val="24"/>
          <w:szCs w:val="24"/>
        </w:rPr>
        <w:t>地质灾害评估服项目结算时，未发生不予支付本项费用；如发生，按该项目合同价包干结算；</w:t>
      </w:r>
    </w:p>
    <w:p w14:paraId="32146C3B">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ascii="宋体" w:hAnsi="宋体" w:cs="宋体"/>
          <w:sz w:val="24"/>
          <w:szCs w:val="24"/>
        </w:rPr>
      </w:pPr>
      <w:r>
        <w:rPr>
          <w:rFonts w:ascii="Calibri" w:hAnsi="Calibri" w:cs="Calibri"/>
          <w:sz w:val="24"/>
          <w:szCs w:val="24"/>
        </w:rPr>
        <w:t>②</w:t>
      </w:r>
      <w:r>
        <w:rPr>
          <w:rFonts w:hint="eastAsia" w:ascii="宋体" w:hAnsi="宋体" w:cs="宋体"/>
          <w:sz w:val="24"/>
          <w:szCs w:val="24"/>
        </w:rPr>
        <w:t>其余服务项目结算时，采用总价包干；结算金额为（合同总价-地灾评估费用）；</w:t>
      </w:r>
    </w:p>
    <w:p w14:paraId="7145B908">
      <w:pPr>
        <w:keepNext w:val="0"/>
        <w:keepLines w:val="0"/>
        <w:pageBreakBefore w:val="0"/>
        <w:kinsoku/>
        <w:wordWrap/>
        <w:topLinePunct w:val="0"/>
        <w:bidi w:val="0"/>
        <w:spacing w:line="360" w:lineRule="auto"/>
        <w:ind w:right="0" w:firstLine="480" w:firstLineChars="200"/>
        <w:textAlignment w:val="auto"/>
        <w:rPr>
          <w:rFonts w:ascii="Calibri" w:hAnsi="Calibri" w:cs="Calibri"/>
          <w:sz w:val="24"/>
          <w:szCs w:val="24"/>
        </w:rPr>
      </w:pPr>
      <w:r>
        <w:rPr>
          <w:rFonts w:ascii="Calibri" w:hAnsi="Calibri" w:cs="Calibri"/>
          <w:sz w:val="24"/>
          <w:szCs w:val="24"/>
        </w:rPr>
        <w:t>③</w:t>
      </w:r>
      <w:r>
        <w:rPr>
          <w:rFonts w:hint="eastAsia" w:ascii="Calibri" w:hAnsi="Calibri" w:cs="Calibri"/>
          <w:sz w:val="24"/>
          <w:szCs w:val="24"/>
        </w:rPr>
        <w:t>其他说明：同一标段每个宗地地质灾害服务价格相同。</w:t>
      </w:r>
    </w:p>
    <w:p w14:paraId="0CF6ADD7">
      <w:pPr>
        <w:keepNext w:val="0"/>
        <w:keepLines w:val="0"/>
        <w:pageBreakBefore w:val="0"/>
        <w:kinsoku/>
        <w:wordWrap/>
        <w:topLinePunct w:val="0"/>
        <w:autoSpaceDE w:val="0"/>
        <w:autoSpaceDN w:val="0"/>
        <w:bidi w:val="0"/>
        <w:adjustRightInd w:val="0"/>
        <w:spacing w:line="360" w:lineRule="auto"/>
        <w:ind w:right="0" w:firstLine="482" w:firstLineChars="200"/>
        <w:jc w:val="left"/>
        <w:textAlignment w:val="auto"/>
        <w:rPr>
          <w:rFonts w:ascii="宋体" w:hAnsi="宋体" w:cs="宋体"/>
          <w:bCs/>
          <w:sz w:val="24"/>
          <w:szCs w:val="24"/>
        </w:rPr>
      </w:pPr>
      <w:r>
        <w:rPr>
          <w:rFonts w:hint="eastAsia" w:ascii="宋体" w:hAnsi="宋体" w:cs="宋体"/>
          <w:b/>
          <w:sz w:val="24"/>
          <w:szCs w:val="24"/>
        </w:rPr>
        <w:t>7.4</w:t>
      </w:r>
      <w:r>
        <w:rPr>
          <w:rFonts w:hint="eastAsia" w:ascii="宋体" w:hAnsi="宋体" w:cs="宋体"/>
          <w:bCs/>
          <w:sz w:val="24"/>
          <w:szCs w:val="24"/>
        </w:rPr>
        <w:t>付费节点：</w:t>
      </w:r>
    </w:p>
    <w:p w14:paraId="07979F3F">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ascii="宋体" w:hAnsi="宋体"/>
          <w:sz w:val="24"/>
          <w:szCs w:val="24"/>
        </w:rPr>
      </w:pPr>
      <w:r>
        <w:rPr>
          <w:rFonts w:hint="eastAsia" w:ascii="宋体" w:hAnsi="宋体"/>
          <w:sz w:val="24"/>
          <w:szCs w:val="24"/>
        </w:rPr>
        <w:t>受托人应按本合同要求提交勘察成果资料，委托人按期支付受托人勘察费，每期的勘察费支付条件及时间节点如下：</w:t>
      </w:r>
    </w:p>
    <w:p w14:paraId="62A22B73">
      <w:pPr>
        <w:keepNext w:val="0"/>
        <w:keepLines w:val="0"/>
        <w:pageBreakBefore w:val="0"/>
        <w:kinsoku/>
        <w:wordWrap/>
        <w:topLinePunct w:val="0"/>
        <w:bidi w:val="0"/>
        <w:spacing w:line="360" w:lineRule="auto"/>
        <w:ind w:right="0" w:firstLine="480" w:firstLineChars="200"/>
        <w:textAlignment w:val="auto"/>
        <w:rPr>
          <w:rFonts w:hint="eastAsia" w:ascii="宋体" w:hAnsi="宋体"/>
          <w:sz w:val="24"/>
          <w:szCs w:val="24"/>
          <w:highlight w:val="none"/>
        </w:rPr>
      </w:pPr>
      <w:r>
        <w:rPr>
          <w:rFonts w:hint="eastAsia" w:ascii="宋体" w:hAnsi="宋体"/>
          <w:sz w:val="24"/>
          <w:szCs w:val="24"/>
          <w:highlight w:val="none"/>
        </w:rPr>
        <w:t>1.提交合格的勘察成果并经委托人认可后，支付合同价（不含地质灾害评估费用）的50%；</w:t>
      </w:r>
    </w:p>
    <w:p w14:paraId="1749802E">
      <w:pPr>
        <w:keepNext w:val="0"/>
        <w:keepLines w:val="0"/>
        <w:pageBreakBefore w:val="0"/>
        <w:kinsoku/>
        <w:wordWrap/>
        <w:topLinePunct w:val="0"/>
        <w:bidi w:val="0"/>
        <w:spacing w:line="360" w:lineRule="auto"/>
        <w:ind w:right="0" w:firstLine="480" w:firstLineChars="200"/>
        <w:textAlignment w:val="auto"/>
        <w:rPr>
          <w:rFonts w:hint="eastAsia" w:ascii="宋体" w:hAnsi="宋体"/>
          <w:sz w:val="24"/>
          <w:szCs w:val="24"/>
          <w:highlight w:val="none"/>
        </w:rPr>
      </w:pPr>
      <w:r>
        <w:rPr>
          <w:rFonts w:hint="eastAsia" w:ascii="宋体" w:hAnsi="宋体"/>
          <w:sz w:val="24"/>
          <w:szCs w:val="24"/>
          <w:highlight w:val="none"/>
        </w:rPr>
        <w:t>2.提交合格的土壤氡浓度检测成果并经委托人认可后，支付合同价（不含地质灾害评估费用）的15%；</w:t>
      </w:r>
    </w:p>
    <w:p w14:paraId="6BC1FD1D">
      <w:pPr>
        <w:keepNext w:val="0"/>
        <w:keepLines w:val="0"/>
        <w:pageBreakBefore w:val="0"/>
        <w:kinsoku/>
        <w:wordWrap/>
        <w:topLinePunct w:val="0"/>
        <w:bidi w:val="0"/>
        <w:spacing w:line="360" w:lineRule="auto"/>
        <w:ind w:right="0" w:firstLine="480" w:firstLineChars="200"/>
        <w:textAlignment w:val="auto"/>
        <w:rPr>
          <w:rFonts w:hint="eastAsia" w:ascii="宋体" w:hAnsi="宋体"/>
          <w:sz w:val="24"/>
          <w:szCs w:val="24"/>
          <w:highlight w:val="none"/>
        </w:rPr>
      </w:pPr>
      <w:r>
        <w:rPr>
          <w:rFonts w:hint="eastAsia" w:ascii="宋体" w:hAnsi="宋体"/>
          <w:sz w:val="24"/>
          <w:szCs w:val="24"/>
          <w:highlight w:val="none"/>
        </w:rPr>
        <w:t>3.提交合格的地质灾害评估成果文件并经委托人认可后（如有发生），支付地质灾害评估费用的100%；</w:t>
      </w:r>
    </w:p>
    <w:p w14:paraId="48573CC4">
      <w:pPr>
        <w:keepNext w:val="0"/>
        <w:keepLines w:val="0"/>
        <w:pageBreakBefore w:val="0"/>
        <w:kinsoku/>
        <w:wordWrap/>
        <w:topLinePunct w:val="0"/>
        <w:bidi w:val="0"/>
        <w:spacing w:line="360" w:lineRule="auto"/>
        <w:ind w:right="0" w:firstLine="480" w:firstLineChars="200"/>
        <w:textAlignment w:val="auto"/>
        <w:rPr>
          <w:rFonts w:ascii="宋体" w:hAnsi="宋体"/>
          <w:sz w:val="24"/>
          <w:szCs w:val="24"/>
          <w:highlight w:val="none"/>
        </w:rPr>
      </w:pPr>
      <w:r>
        <w:rPr>
          <w:rFonts w:hint="eastAsia" w:ascii="宋体" w:hAnsi="宋体"/>
          <w:sz w:val="24"/>
          <w:szCs w:val="24"/>
          <w:highlight w:val="none"/>
        </w:rPr>
        <w:t>4.桩基础和基坑支护土石方现场施工结束后，且勘察完成结算后，支付至结算价的100%。</w:t>
      </w:r>
    </w:p>
    <w:p w14:paraId="12A10F9C">
      <w:pPr>
        <w:keepNext w:val="0"/>
        <w:keepLines w:val="0"/>
        <w:pageBreakBefore w:val="0"/>
        <w:kinsoku/>
        <w:wordWrap/>
        <w:overflowPunct w:val="0"/>
        <w:topLinePunct w:val="0"/>
        <w:bidi w:val="0"/>
        <w:adjustRightInd w:val="0"/>
        <w:snapToGrid w:val="0"/>
        <w:spacing w:line="360" w:lineRule="auto"/>
        <w:ind w:right="0" w:firstLine="480" w:firstLineChars="200"/>
        <w:jc w:val="left"/>
        <w:textAlignment w:val="auto"/>
        <w:rPr>
          <w:rFonts w:ascii="宋体" w:hAnsi="宋体" w:cs="宋体"/>
          <w:bCs/>
          <w:kern w:val="0"/>
          <w:sz w:val="24"/>
          <w:szCs w:val="24"/>
        </w:rPr>
      </w:pPr>
      <w:r>
        <w:rPr>
          <w:rFonts w:hint="eastAsia" w:ascii="宋体" w:hAnsi="宋体" w:cs="宋体"/>
          <w:bCs/>
          <w:kern w:val="0"/>
          <w:sz w:val="24"/>
          <w:szCs w:val="24"/>
        </w:rPr>
        <w:t>当期工程进度款=基础费用－应扣金额</w:t>
      </w:r>
    </w:p>
    <w:p w14:paraId="62465B56">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ascii="宋体" w:hAnsi="宋体" w:cs="宋体"/>
          <w:bCs/>
          <w:kern w:val="0"/>
          <w:sz w:val="24"/>
          <w:szCs w:val="24"/>
        </w:rPr>
      </w:pPr>
      <w:r>
        <w:rPr>
          <w:rFonts w:hint="eastAsia" w:ascii="宋体" w:hAnsi="宋体" w:cs="宋体"/>
          <w:bCs/>
          <w:kern w:val="0"/>
          <w:sz w:val="24"/>
          <w:szCs w:val="24"/>
        </w:rPr>
        <w:t>履约评价细则按照委托人建立的履约评价考核制度执行（详见合同附件3），受托人须无条件接受甲方考评。</w:t>
      </w:r>
    </w:p>
    <w:p w14:paraId="75B0A568">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kern w:val="0"/>
          <w:sz w:val="24"/>
          <w:szCs w:val="24"/>
        </w:rPr>
      </w:pPr>
      <w:r>
        <w:rPr>
          <w:rFonts w:hint="eastAsia" w:ascii="宋体" w:hAnsi="宋体" w:cs="宋体"/>
          <w:bCs/>
          <w:kern w:val="0"/>
          <w:sz w:val="24"/>
          <w:szCs w:val="24"/>
        </w:rPr>
        <w:t>备注：任一勘察阶段工作未实际发生，则甲方无须支付此阶段费用。不含增值税价款不因增值税政策的变化而变化，若国家政策导致增值税率发生变化的，合同未执行部分含增值税价按不含增值税价及变化后的增值税税率换算后执行。乙方每次申请支付时需提供一般纳税人增值税专用发票。</w:t>
      </w:r>
      <w:bookmarkStart w:id="9" w:name="_Toc7114"/>
      <w:r>
        <w:rPr>
          <w:rFonts w:hint="eastAsia" w:ascii="宋体" w:hAnsi="宋体" w:cs="宋体"/>
          <w:bCs/>
          <w:kern w:val="0"/>
          <w:sz w:val="24"/>
          <w:szCs w:val="24"/>
        </w:rPr>
        <w:t>乙方保证其提供的银行账号真实、合法、有效，甲方向乙方指定的银行账号转入款项后即视为甲方履行完毕付款义务，合同支付方式包括但不限于银行转账、银行承兑汇票、商业承兑汇票等形式。若甲方以银行承兑汇票、商业承兑汇票等票据形式（票据期限不超过三个月）向乙方支付工程款时，因票据贴现产生的利息，由乙方承担。乙方开户银行、账号等如有变更，应在当期工程款申请时同步以书面方式通知甲方。如乙方未按合同约定及时通知甲方，由此导致的不利后果及损失均由乙方承担，给甲方造成经济损失的需予以赔偿。</w:t>
      </w:r>
    </w:p>
    <w:p w14:paraId="65D42F73">
      <w:pPr>
        <w:keepNext w:val="0"/>
        <w:keepLines w:val="0"/>
        <w:pageBreakBefore w:val="0"/>
        <w:kinsoku/>
        <w:wordWrap/>
        <w:topLinePunct w:val="0"/>
        <w:autoSpaceDE w:val="0"/>
        <w:autoSpaceDN w:val="0"/>
        <w:bidi w:val="0"/>
        <w:adjustRightInd w:val="0"/>
        <w:spacing w:line="360" w:lineRule="auto"/>
        <w:ind w:right="0" w:firstLine="482" w:firstLineChars="200"/>
        <w:jc w:val="left"/>
        <w:textAlignment w:val="auto"/>
        <w:rPr>
          <w:rFonts w:hint="eastAsia" w:ascii="宋体" w:hAnsi="宋体" w:cs="宋体"/>
          <w:bCs/>
          <w:sz w:val="24"/>
          <w:szCs w:val="24"/>
        </w:rPr>
      </w:pPr>
      <w:r>
        <w:rPr>
          <w:rFonts w:hint="eastAsia" w:ascii="宋体" w:hAnsi="宋体" w:cs="宋体"/>
          <w:b/>
          <w:sz w:val="24"/>
          <w:szCs w:val="24"/>
        </w:rPr>
        <w:t>7.</w:t>
      </w:r>
      <w:r>
        <w:rPr>
          <w:rFonts w:hint="eastAsia" w:ascii="宋体" w:hAnsi="宋体" w:cs="宋体"/>
          <w:b/>
          <w:sz w:val="24"/>
          <w:szCs w:val="24"/>
          <w:lang w:val="en-US" w:eastAsia="zh-CN"/>
        </w:rPr>
        <w:t>5</w:t>
      </w:r>
      <w:r>
        <w:rPr>
          <w:rFonts w:hint="eastAsia" w:ascii="宋体" w:hAnsi="宋体" w:cs="宋体"/>
          <w:bCs/>
          <w:sz w:val="24"/>
          <w:szCs w:val="24"/>
          <w:lang w:val="en-US" w:eastAsia="zh-CN"/>
        </w:rPr>
        <w:t>履约评价</w:t>
      </w:r>
      <w:r>
        <w:rPr>
          <w:rFonts w:hint="eastAsia" w:ascii="宋体" w:hAnsi="宋体" w:cs="宋体"/>
          <w:bCs/>
          <w:sz w:val="24"/>
          <w:szCs w:val="24"/>
        </w:rPr>
        <w:t>：</w:t>
      </w:r>
    </w:p>
    <w:p w14:paraId="201A7CF0">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凡履约评价为不合格的单位，给予一定的处罚或根据《深圳市人民政府印发关于建设工程招标投标改革若干规定的通知》（深府〔2015〕73号）的有关规定，不接受其在一定时期内参与集团项目投标（限制期在截标前已经生效的，应当不接受其参与集团项目投标），具体如下：</w:t>
      </w:r>
    </w:p>
    <w:p w14:paraId="6916A385">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1.即时履约评价不合格的履约单位，按其定期履约评价不合格进行处罚，与对应当期的定期履约评价不合格不进行重复处罚，但若被政府相关部门处罚则按政府相关部门要求执行。</w:t>
      </w:r>
    </w:p>
    <w:p w14:paraId="4876FB5F">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2.定期履约评价不合格的履约单位，按不同类别合同进行处罚(罚款自履约评价结果公告后下一次进度款申请中予以扣除)，具体处罚金额如下:</w:t>
      </w:r>
    </w:p>
    <w:p w14:paraId="090D7665">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（1）合同金额≤200万元的，罚款2万元；</w:t>
      </w:r>
    </w:p>
    <w:p w14:paraId="487A808B">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（2）200万元＜合同金额≤1000万元，罚款5万元；</w:t>
      </w:r>
    </w:p>
    <w:p w14:paraId="474347DE">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（3）1000万元＜合同金额≤1亿元，罚款10万元；</w:t>
      </w:r>
    </w:p>
    <w:p w14:paraId="20A61E91">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（4）1亿元＜合同金额≤5亿元，罚款15万元；</w:t>
      </w:r>
    </w:p>
    <w:p w14:paraId="0204FF58">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（5）合同金额＞5亿元的，罚款20万元。</w:t>
      </w:r>
    </w:p>
    <w:p w14:paraId="04B29197">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3.即时履约评价不合格的履约单位，自即时履约评价结果公告起，三个月内不接受其参加集团项目的投标或承接新的工程；</w:t>
      </w:r>
    </w:p>
    <w:p w14:paraId="27B911FE">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4.定期履约评价不合格的履约单位，自定期履约评价结果公告起，三个月内不接受其参加集团项目的投标或承接新的工程；</w:t>
      </w:r>
    </w:p>
    <w:p w14:paraId="2169ADB3">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5.最终履约评价不合格的履约单位，自最终履约评价结果公告起，三年内不接受其参加集团项目的投标或承接新的工程。</w:t>
      </w:r>
    </w:p>
    <w:p w14:paraId="2ECF8CD4">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r>
        <w:rPr>
          <w:rFonts w:hint="eastAsia" w:ascii="宋体" w:hAnsi="宋体" w:cs="宋体"/>
          <w:b/>
          <w:bCs/>
          <w:sz w:val="24"/>
          <w:szCs w:val="24"/>
        </w:rPr>
        <w:t>八、甲方的权利与义务</w:t>
      </w:r>
      <w:bookmarkEnd w:id="9"/>
    </w:p>
    <w:p w14:paraId="7EF17C02">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8.1 </w:t>
      </w:r>
      <w:r>
        <w:rPr>
          <w:rFonts w:hint="eastAsia" w:ascii="宋体" w:hAnsi="宋体" w:cs="宋体"/>
          <w:bCs/>
          <w:kern w:val="0"/>
          <w:sz w:val="24"/>
          <w:szCs w:val="24"/>
        </w:rPr>
        <w:t>过程监督</w:t>
      </w:r>
    </w:p>
    <w:p w14:paraId="01DF7B7B">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b/>
          <w:bCs/>
          <w:sz w:val="24"/>
          <w:szCs w:val="24"/>
        </w:rPr>
      </w:pPr>
      <w:r>
        <w:rPr>
          <w:rFonts w:hint="eastAsia" w:ascii="宋体" w:hAnsi="宋体" w:cs="宋体"/>
          <w:sz w:val="24"/>
          <w:szCs w:val="24"/>
        </w:rPr>
        <w:t>甲方有权根据工程需要，要求乙方自行抽查、校核或另行委托其他单位抽查、校核乙方的成果，抽查、校核的部分成果不合格，乙方要承担相应费用及处罚。</w:t>
      </w:r>
    </w:p>
    <w:p w14:paraId="51D25BE7">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
          <w:kern w:val="0"/>
          <w:sz w:val="24"/>
          <w:szCs w:val="24"/>
        </w:rPr>
      </w:pPr>
      <w:r>
        <w:rPr>
          <w:rFonts w:hint="eastAsia" w:ascii="宋体" w:hAnsi="宋体" w:cs="宋体"/>
          <w:b/>
          <w:kern w:val="0"/>
          <w:sz w:val="24"/>
          <w:szCs w:val="24"/>
        </w:rPr>
        <w:t xml:space="preserve">8.2 </w:t>
      </w:r>
      <w:r>
        <w:rPr>
          <w:rFonts w:hint="eastAsia" w:ascii="宋体" w:hAnsi="宋体" w:cs="宋体"/>
          <w:bCs/>
          <w:kern w:val="0"/>
          <w:sz w:val="24"/>
          <w:szCs w:val="24"/>
        </w:rPr>
        <w:t>对乙方提出人员配置要求</w:t>
      </w:r>
    </w:p>
    <w:p w14:paraId="11D95EBE">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检查乙方项目报告编制组的组成和人员到位、人员稳定情况，考核主要技术骨干的工作能力，如因设备、人力或能力不足致使工程勘察工作不能按计划完成时，可要求乙方采取必要措施保证设备供应或替换相应的服务人员，乙方不得拒绝。</w:t>
      </w:r>
    </w:p>
    <w:p w14:paraId="0FA7295E">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kern w:val="0"/>
          <w:sz w:val="24"/>
          <w:szCs w:val="24"/>
        </w:rPr>
        <w:t>甲方有权要求乙方投入充足的勘察人员和设备</w:t>
      </w:r>
      <w:r>
        <w:rPr>
          <w:rFonts w:hint="eastAsia" w:ascii="宋体" w:hAnsi="宋体" w:cs="宋体"/>
          <w:sz w:val="24"/>
          <w:szCs w:val="24"/>
        </w:rPr>
        <w:t>（勘察人员要求：为保证项目勘察的进度和质量，要求乙方委派的项目勘察人员不少于3人（岩土工程勘察、地形测绘、工程物探各相关专业不少于1人且为中级或以上职称））</w:t>
      </w:r>
      <w:r>
        <w:rPr>
          <w:rFonts w:hint="eastAsia" w:ascii="宋体" w:hAnsi="宋体" w:cs="宋体"/>
          <w:kern w:val="0"/>
          <w:sz w:val="24"/>
          <w:szCs w:val="24"/>
        </w:rPr>
        <w:t>，对乙方无法胜任工程勘察工作的人员有权提出更换，如果甲方要求乙方更换项目组人员的，乙方应在</w:t>
      </w:r>
      <w:r>
        <w:rPr>
          <w:rFonts w:hint="eastAsia" w:ascii="宋体" w:hAnsi="宋体" w:cs="宋体"/>
          <w:kern w:val="0"/>
          <w:sz w:val="24"/>
          <w:szCs w:val="24"/>
          <w:u w:val="single"/>
          <w:lang w:val="en-US" w:eastAsia="zh-CN"/>
        </w:rPr>
        <w:t xml:space="preserve"> 3 </w:t>
      </w:r>
      <w:r>
        <w:rPr>
          <w:rFonts w:hint="eastAsia" w:ascii="宋体" w:hAnsi="宋体" w:cs="宋体"/>
          <w:kern w:val="0"/>
          <w:sz w:val="24"/>
          <w:szCs w:val="24"/>
        </w:rPr>
        <w:t>日内更换。</w:t>
      </w:r>
    </w:p>
    <w:p w14:paraId="1DEDFA21">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kern w:val="0"/>
          <w:sz w:val="24"/>
          <w:szCs w:val="24"/>
        </w:rPr>
        <w:t>（1）项目负责人：姓名：</w:t>
      </w:r>
      <w:r>
        <w:rPr>
          <w:rFonts w:hint="eastAsia" w:ascii="宋体" w:hAnsi="宋体" w:cs="宋体"/>
          <w:kern w:val="0"/>
          <w:sz w:val="24"/>
          <w:szCs w:val="24"/>
          <w:u w:val="single"/>
          <w:lang w:val="en-US" w:eastAsia="zh-CN"/>
        </w:rPr>
        <w:t xml:space="preserve">     </w:t>
      </w:r>
      <w:r>
        <w:rPr>
          <w:rFonts w:hint="eastAsia" w:ascii="宋体" w:hAnsi="宋体" w:cs="宋体"/>
          <w:kern w:val="0"/>
          <w:sz w:val="24"/>
          <w:szCs w:val="24"/>
        </w:rPr>
        <w:t>、身份证号码：</w:t>
      </w:r>
      <w:r>
        <w:rPr>
          <w:rFonts w:hint="eastAsia" w:ascii="宋体" w:hAnsi="宋体" w:cs="宋体"/>
          <w:kern w:val="0"/>
          <w:sz w:val="24"/>
          <w:szCs w:val="24"/>
          <w:u w:val="single"/>
          <w:lang w:val="en-US" w:eastAsia="zh-CN"/>
        </w:rPr>
        <w:t xml:space="preserve">         </w:t>
      </w:r>
      <w:r>
        <w:rPr>
          <w:rFonts w:hint="eastAsia" w:ascii="宋体" w:hAnsi="宋体" w:cs="宋体"/>
          <w:kern w:val="0"/>
          <w:sz w:val="24"/>
          <w:szCs w:val="24"/>
        </w:rPr>
        <w:t>、联系方式：</w:t>
      </w:r>
      <w:r>
        <w:rPr>
          <w:rFonts w:hint="eastAsia" w:ascii="宋体" w:hAnsi="宋体" w:cs="宋体"/>
          <w:kern w:val="0"/>
          <w:sz w:val="24"/>
          <w:szCs w:val="24"/>
          <w:u w:val="single"/>
          <w:lang w:val="en-US" w:eastAsia="zh-CN"/>
        </w:rPr>
        <w:t xml:space="preserve">      </w:t>
      </w:r>
      <w:r>
        <w:rPr>
          <w:rFonts w:hint="eastAsia" w:ascii="宋体" w:hAnsi="宋体" w:cs="宋体"/>
          <w:kern w:val="0"/>
          <w:sz w:val="24"/>
          <w:szCs w:val="24"/>
        </w:rPr>
        <w:t>。</w:t>
      </w:r>
    </w:p>
    <w:p w14:paraId="79331B33">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kern w:val="0"/>
          <w:sz w:val="24"/>
          <w:szCs w:val="24"/>
        </w:rPr>
        <w:t>（2）技术负责人：姓名：</w:t>
      </w:r>
      <w:r>
        <w:rPr>
          <w:rFonts w:hint="eastAsia" w:ascii="宋体" w:hAnsi="宋体" w:cs="宋体"/>
          <w:kern w:val="0"/>
          <w:sz w:val="24"/>
          <w:szCs w:val="24"/>
          <w:u w:val="single"/>
          <w:lang w:val="en-US" w:eastAsia="zh-CN"/>
        </w:rPr>
        <w:t xml:space="preserve">     </w:t>
      </w:r>
      <w:r>
        <w:rPr>
          <w:rFonts w:hint="eastAsia" w:ascii="宋体" w:hAnsi="宋体" w:cs="宋体"/>
          <w:kern w:val="0"/>
          <w:sz w:val="24"/>
          <w:szCs w:val="24"/>
        </w:rPr>
        <w:t>、身份证号码：</w:t>
      </w:r>
      <w:r>
        <w:rPr>
          <w:rFonts w:hint="eastAsia" w:ascii="宋体" w:hAnsi="宋体" w:cs="宋体"/>
          <w:kern w:val="0"/>
          <w:sz w:val="24"/>
          <w:szCs w:val="24"/>
          <w:u w:val="single"/>
          <w:lang w:val="en-US" w:eastAsia="zh-CN"/>
        </w:rPr>
        <w:t xml:space="preserve">         </w:t>
      </w:r>
      <w:r>
        <w:rPr>
          <w:rFonts w:hint="eastAsia" w:ascii="宋体" w:hAnsi="宋体" w:cs="宋体"/>
          <w:kern w:val="0"/>
          <w:sz w:val="24"/>
          <w:szCs w:val="24"/>
        </w:rPr>
        <w:t>、联系方式：</w:t>
      </w:r>
      <w:r>
        <w:rPr>
          <w:rFonts w:hint="eastAsia" w:ascii="宋体" w:hAnsi="宋体" w:cs="宋体"/>
          <w:kern w:val="0"/>
          <w:sz w:val="24"/>
          <w:szCs w:val="24"/>
          <w:u w:val="single"/>
          <w:lang w:val="en-US" w:eastAsia="zh-CN"/>
        </w:rPr>
        <w:t xml:space="preserve">       </w:t>
      </w:r>
      <w:r>
        <w:rPr>
          <w:rFonts w:hint="eastAsia" w:ascii="宋体" w:hAnsi="宋体" w:cs="宋体"/>
          <w:kern w:val="0"/>
          <w:sz w:val="24"/>
          <w:szCs w:val="24"/>
        </w:rPr>
        <w:t>。</w:t>
      </w:r>
    </w:p>
    <w:p w14:paraId="32583946">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kern w:val="0"/>
          <w:sz w:val="24"/>
          <w:szCs w:val="24"/>
        </w:rPr>
        <w:t>乙方委派的项目负责人不得随意更换，如确需更换项目负责人，应至少提前5个工作日以书面形式通知甲方，并征得甲方书面同意后方可更换。</w:t>
      </w:r>
    </w:p>
    <w:p w14:paraId="68974A32">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8.3 </w:t>
      </w:r>
      <w:r>
        <w:rPr>
          <w:rFonts w:hint="eastAsia" w:ascii="宋体" w:hAnsi="宋体" w:cs="宋体"/>
          <w:bCs/>
          <w:kern w:val="0"/>
          <w:sz w:val="24"/>
          <w:szCs w:val="24"/>
        </w:rPr>
        <w:t>协助工作</w:t>
      </w:r>
    </w:p>
    <w:p w14:paraId="0B2F25F9">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lang w:bidi="zh-CN"/>
        </w:rPr>
      </w:pPr>
      <w:r>
        <w:rPr>
          <w:rFonts w:hint="eastAsia" w:ascii="宋体" w:hAnsi="宋体" w:cs="宋体"/>
          <w:sz w:val="24"/>
          <w:szCs w:val="24"/>
        </w:rPr>
        <w:t>在项目进行中，</w:t>
      </w:r>
      <w:r>
        <w:rPr>
          <w:rFonts w:hint="eastAsia" w:ascii="宋体" w:hAnsi="宋体" w:cs="宋体"/>
          <w:sz w:val="24"/>
          <w:szCs w:val="24"/>
          <w:lang w:bidi="zh-CN"/>
        </w:rPr>
        <w:t>指派专人与乙方保持密切联系，及时协调现场调研、进场施工、现场管理及其它有关问题。</w:t>
      </w:r>
    </w:p>
    <w:p w14:paraId="13611948">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8.4 </w:t>
      </w:r>
      <w:r>
        <w:rPr>
          <w:rFonts w:hint="eastAsia" w:ascii="宋体" w:hAnsi="宋体" w:cs="宋体"/>
          <w:bCs/>
          <w:kern w:val="0"/>
          <w:sz w:val="24"/>
          <w:szCs w:val="24"/>
        </w:rPr>
        <w:t>支付费用</w:t>
      </w:r>
    </w:p>
    <w:p w14:paraId="1B2AB38A">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lang w:bidi="zh-CN"/>
        </w:rPr>
      </w:pPr>
      <w:r>
        <w:rPr>
          <w:rFonts w:hint="eastAsia" w:ascii="宋体" w:hAnsi="宋体" w:cs="宋体"/>
          <w:sz w:val="24"/>
          <w:szCs w:val="24"/>
          <w:lang w:bidi="zh-CN"/>
        </w:rPr>
        <w:t>按本合同条款规定，及时支付乙方费用，并对乙方履约情况进行监督与处罚。</w:t>
      </w:r>
    </w:p>
    <w:p w14:paraId="7BBBB32A">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8.5 </w:t>
      </w:r>
      <w:r>
        <w:rPr>
          <w:rFonts w:hint="eastAsia" w:ascii="宋体" w:hAnsi="宋体" w:cs="宋体"/>
          <w:bCs/>
          <w:kern w:val="0"/>
          <w:sz w:val="24"/>
          <w:szCs w:val="24"/>
        </w:rPr>
        <w:t>额外服务要求</w:t>
      </w:r>
    </w:p>
    <w:p w14:paraId="5FA0E877">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lang w:bidi="zh-CN"/>
        </w:rPr>
        <w:t>甲方根据工程需要，提出本合同范围以外的与勘察测量相关的工作内容，乙方应予以执行，所发生费用，双方另行协商解决，存在违约情形的按本合同约定处理。</w:t>
      </w:r>
    </w:p>
    <w:p w14:paraId="46B7A4C5">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
          <w:kern w:val="0"/>
          <w:sz w:val="24"/>
          <w:szCs w:val="24"/>
        </w:rPr>
      </w:pPr>
      <w:r>
        <w:rPr>
          <w:rFonts w:hint="eastAsia" w:ascii="宋体" w:hAnsi="宋体" w:cs="宋体"/>
          <w:b/>
          <w:kern w:val="0"/>
          <w:sz w:val="24"/>
          <w:szCs w:val="24"/>
        </w:rPr>
        <w:t xml:space="preserve">8.6 </w:t>
      </w:r>
      <w:r>
        <w:rPr>
          <w:rFonts w:hint="eastAsia" w:ascii="宋体" w:hAnsi="宋体" w:cs="宋体"/>
          <w:bCs/>
          <w:kern w:val="0"/>
          <w:sz w:val="24"/>
          <w:szCs w:val="24"/>
        </w:rPr>
        <w:t>履约考核</w:t>
      </w:r>
    </w:p>
    <w:p w14:paraId="7259D78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甲方有权对乙方在本项目合同执行的全过程按甲方提供的“勘察合同履约情况表”施行履约评价，并根据评价结果进行处罚或奖励。</w:t>
      </w:r>
    </w:p>
    <w:p w14:paraId="4414C9DB">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10" w:name="_Toc12917"/>
      <w:r>
        <w:rPr>
          <w:rFonts w:hint="eastAsia" w:ascii="宋体" w:hAnsi="宋体" w:cs="宋体"/>
          <w:b/>
          <w:bCs/>
          <w:sz w:val="24"/>
          <w:szCs w:val="24"/>
        </w:rPr>
        <w:t>九、乙方的权利与义务</w:t>
      </w:r>
      <w:bookmarkEnd w:id="10"/>
    </w:p>
    <w:p w14:paraId="04506272">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
          <w:kern w:val="0"/>
          <w:sz w:val="24"/>
          <w:szCs w:val="24"/>
        </w:rPr>
      </w:pPr>
      <w:r>
        <w:rPr>
          <w:rFonts w:hint="eastAsia" w:ascii="宋体" w:hAnsi="宋体" w:cs="宋体"/>
          <w:b/>
          <w:kern w:val="0"/>
          <w:sz w:val="24"/>
          <w:szCs w:val="24"/>
        </w:rPr>
        <w:t xml:space="preserve">9.1 </w:t>
      </w:r>
      <w:r>
        <w:rPr>
          <w:rFonts w:hint="eastAsia" w:ascii="宋体" w:hAnsi="宋体" w:cs="宋体"/>
          <w:bCs/>
          <w:kern w:val="0"/>
          <w:sz w:val="24"/>
          <w:szCs w:val="24"/>
        </w:rPr>
        <w:t>完成合同规定的任务</w:t>
      </w:r>
    </w:p>
    <w:p w14:paraId="1C54B730">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乙方应根据本合同工程项目的具体情况，按项目地质勘察技术要求的规定及国家有关的技术规范、相关标准的规定，在合同规定的期限内完成本合同工作内容，并确保满足设计要求。</w:t>
      </w:r>
    </w:p>
    <w:p w14:paraId="515FFFA6">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乙</w:t>
      </w:r>
      <w:r>
        <w:rPr>
          <w:rFonts w:hint="eastAsia" w:ascii="宋体" w:hAnsi="宋体" w:cs="宋体"/>
          <w:spacing w:val="-4"/>
          <w:sz w:val="24"/>
          <w:szCs w:val="24"/>
        </w:rPr>
        <w:t>方应确保为项目配备足够的人员、设备资源以满足项目进度要求及质量管理要求。</w:t>
      </w:r>
    </w:p>
    <w:p w14:paraId="5BCD1C23">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
          <w:kern w:val="0"/>
          <w:sz w:val="24"/>
          <w:szCs w:val="24"/>
        </w:rPr>
      </w:pPr>
      <w:r>
        <w:rPr>
          <w:rFonts w:hint="eastAsia" w:ascii="宋体" w:hAnsi="宋体" w:cs="宋体"/>
          <w:b/>
          <w:kern w:val="0"/>
          <w:sz w:val="24"/>
          <w:szCs w:val="24"/>
        </w:rPr>
        <w:t xml:space="preserve">9.2 </w:t>
      </w:r>
      <w:r>
        <w:rPr>
          <w:rFonts w:hint="eastAsia" w:ascii="宋体" w:hAnsi="宋体" w:cs="宋体"/>
          <w:bCs/>
          <w:kern w:val="0"/>
          <w:sz w:val="24"/>
          <w:szCs w:val="24"/>
        </w:rPr>
        <w:t>特殊情况反馈及工程变更</w:t>
      </w:r>
    </w:p>
    <w:p w14:paraId="5FC1533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乙方应在勘察过程中遇到不良地质情况或特殊埋藏物情况应及时反馈，以便采取相应的验收处理措施。</w:t>
      </w:r>
    </w:p>
    <w:p w14:paraId="091E7031">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乙方应根据现场情况、国家规范或设计要求，及时提出调整地下埋藏物调查和探测范围或修改钻探孔数量、深度的意见，并办理正式变更手续。当甲方要求增加探测范围或钻孔数量、深度时，乙方应无条件满足甲方要求。</w:t>
      </w:r>
    </w:p>
    <w:p w14:paraId="6E90A163">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
          <w:kern w:val="0"/>
          <w:sz w:val="24"/>
          <w:szCs w:val="24"/>
        </w:rPr>
      </w:pPr>
      <w:r>
        <w:rPr>
          <w:rFonts w:hint="eastAsia" w:ascii="宋体" w:hAnsi="宋体" w:cs="宋体"/>
          <w:b/>
          <w:kern w:val="0"/>
          <w:sz w:val="24"/>
          <w:szCs w:val="24"/>
        </w:rPr>
        <w:t xml:space="preserve">9.3 </w:t>
      </w:r>
      <w:r>
        <w:rPr>
          <w:rFonts w:hint="eastAsia" w:ascii="宋体" w:hAnsi="宋体" w:cs="宋体"/>
          <w:bCs/>
          <w:kern w:val="0"/>
          <w:sz w:val="24"/>
          <w:szCs w:val="24"/>
        </w:rPr>
        <w:t>按时提供成果资料</w:t>
      </w:r>
    </w:p>
    <w:p w14:paraId="0E217A9A">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乙方应根据甲方要求，分批、分阶段提供所需的阶段成果资料，完成后，再提供全部的工作成果文件。</w:t>
      </w:r>
    </w:p>
    <w:p w14:paraId="7BCBDE71">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9.4 </w:t>
      </w:r>
      <w:r>
        <w:rPr>
          <w:rFonts w:hint="eastAsia" w:ascii="宋体" w:hAnsi="宋体" w:cs="宋体"/>
          <w:bCs/>
          <w:kern w:val="0"/>
          <w:sz w:val="24"/>
          <w:szCs w:val="24"/>
        </w:rPr>
        <w:t>保证工程质量</w:t>
      </w:r>
    </w:p>
    <w:p w14:paraId="4A3877CB">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乙方必须根据委托合同中甲方提供的勘察技术任务书、工程测量任务书、工程物探任务书、勘察布点图、建筑总平面图等项目资料以及工程相关法规及技术规范要求，完成户外测量、物探、勘察施工及测量报告、物探调查报告、勘察报告文件编制工作，相关报告文件需按照要求进行审核，成果报告描述与实际地质情况基本吻合。</w:t>
      </w:r>
    </w:p>
    <w:p w14:paraId="22FDFBD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乙方应对成果文件的准确性</w:t>
      </w:r>
      <w:r>
        <w:rPr>
          <w:rFonts w:hint="eastAsia" w:ascii="宋体" w:hAnsi="宋体" w:cs="宋体"/>
          <w:sz w:val="24"/>
          <w:szCs w:val="24"/>
          <w:lang w:val="en-US" w:eastAsia="zh-CN"/>
        </w:rPr>
        <w:t>和真实性</w:t>
      </w:r>
      <w:r>
        <w:rPr>
          <w:rFonts w:hint="eastAsia" w:ascii="宋体" w:hAnsi="宋体" w:cs="宋体"/>
          <w:sz w:val="24"/>
          <w:szCs w:val="24"/>
        </w:rPr>
        <w:t>负责，甲方对乙方所做的验收或认可均不能免除或减轻合同规定的应由乙方承担的责任。合同履行完毕后，乙方有义务协助甲方完善属乙方职责范围内的相关工作。</w:t>
      </w:r>
    </w:p>
    <w:p w14:paraId="10247197">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9.5 </w:t>
      </w:r>
      <w:r>
        <w:rPr>
          <w:rFonts w:hint="eastAsia" w:ascii="宋体" w:hAnsi="宋体" w:cs="宋体"/>
          <w:bCs/>
          <w:kern w:val="0"/>
          <w:sz w:val="24"/>
          <w:szCs w:val="24"/>
        </w:rPr>
        <w:t>项目全过程配合</w:t>
      </w:r>
    </w:p>
    <w:p w14:paraId="0531FFBC">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9.5.1乙方应积极参加与地基与基础相关的各类施工交底及工程验收，配合处理施工过程中出现的地质问题，并根据甲方要求，及时派驻专业工程师到现场解决问题。</w:t>
      </w:r>
    </w:p>
    <w:p w14:paraId="1D55E0E0">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9.5.2乙方应无条件配合甲方委托的勘察审查单位开展现场核查。</w:t>
      </w:r>
    </w:p>
    <w:p w14:paraId="696A4EC5">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9.5.3工作开展过程中，根据合同约定乙方完成对应阶段工作且提交的成果文件经甲方确认后，乙方应按甲方要求及时将对应阶段的电子成果文件上传至甲方指定的信息化平台。合同约定的各项工作完成后，乙方应将最终的设计成果文件刻录成光盘（一式两份）交甲方档案室保存。</w:t>
      </w:r>
    </w:p>
    <w:p w14:paraId="4F21AF07">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sz w:val="24"/>
          <w:szCs w:val="24"/>
        </w:rPr>
      </w:pPr>
      <w:r>
        <w:rPr>
          <w:rFonts w:hint="eastAsia" w:ascii="宋体" w:hAnsi="宋体" w:cs="宋体"/>
          <w:b/>
          <w:kern w:val="0"/>
          <w:sz w:val="24"/>
          <w:szCs w:val="24"/>
        </w:rPr>
        <w:t xml:space="preserve">9.6 </w:t>
      </w:r>
      <w:r>
        <w:rPr>
          <w:rFonts w:hint="eastAsia" w:ascii="宋体" w:hAnsi="宋体" w:cs="宋体"/>
          <w:bCs/>
          <w:sz w:val="24"/>
          <w:szCs w:val="24"/>
        </w:rPr>
        <w:t>项目若移交给其他建设单位后，乙方需要根据项目建设单位要求开展后续工作，不得拒绝，否则视为违约，按照延误的天数，每迟交一次成果扣除1000元，在当阶段勘察费中予以扣除。具体移交时间以甲方与建设单位签订的项目移交协议时间为准，乙方自移交之日起向实际建设单位依据本协议向建设的单位履行相应义务。</w:t>
      </w:r>
    </w:p>
    <w:p w14:paraId="14174027">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
          <w:kern w:val="0"/>
          <w:sz w:val="24"/>
          <w:szCs w:val="24"/>
        </w:rPr>
      </w:pPr>
      <w:r>
        <w:rPr>
          <w:rFonts w:hint="eastAsia" w:ascii="宋体" w:hAnsi="宋体" w:cs="宋体"/>
          <w:b/>
          <w:kern w:val="0"/>
          <w:sz w:val="24"/>
          <w:szCs w:val="24"/>
        </w:rPr>
        <w:t xml:space="preserve">9.7 </w:t>
      </w:r>
      <w:r>
        <w:rPr>
          <w:rFonts w:hint="eastAsia" w:ascii="宋体" w:hAnsi="宋体" w:cs="宋体"/>
          <w:bCs/>
          <w:kern w:val="0"/>
          <w:sz w:val="24"/>
          <w:szCs w:val="24"/>
        </w:rPr>
        <w:t>勤勉义务</w:t>
      </w:r>
    </w:p>
    <w:p w14:paraId="456B66EF">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乙方在根据本合同履行其义务时，应按要求运用专业技能，谨慎、尽职地配合甲方的开展工作，以完成甲方的委托。</w:t>
      </w:r>
    </w:p>
    <w:p w14:paraId="4805B220">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9.8 </w:t>
      </w:r>
      <w:r>
        <w:rPr>
          <w:rFonts w:hint="eastAsia" w:ascii="宋体" w:hAnsi="宋体" w:cs="宋体"/>
          <w:bCs/>
          <w:kern w:val="0"/>
          <w:sz w:val="24"/>
          <w:szCs w:val="24"/>
        </w:rPr>
        <w:t>施工安全责任</w:t>
      </w:r>
    </w:p>
    <w:p w14:paraId="229A36AB">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乙方应保证勘察过程的安全文明，杜绝安全事故的发生。勘察前详细了解场地地下管线及埋藏物等情况，并做好物理勘探，工程勘察中保证不损坏地下管线及埋藏物。对市政工程，应特别加强道路勘察安全保护措施。如发生与勘察有关的安全事故，造成不良的社会影响及经济损失，一切责任均由乙方承担。</w:t>
      </w:r>
    </w:p>
    <w:p w14:paraId="3649B461">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9.9 </w:t>
      </w:r>
      <w:r>
        <w:rPr>
          <w:rFonts w:hint="eastAsia" w:ascii="宋体" w:hAnsi="宋体" w:cs="宋体"/>
          <w:bCs/>
          <w:kern w:val="0"/>
          <w:sz w:val="24"/>
          <w:szCs w:val="24"/>
        </w:rPr>
        <w:t>保密义务</w:t>
      </w:r>
    </w:p>
    <w:p w14:paraId="66440AE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9.9.1乙方对甲方提交的有关文件材料负保密义务，并仅限用于本项目的勘察工作。</w:t>
      </w:r>
    </w:p>
    <w:p w14:paraId="57810A6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9.9.2乙方及其工作人员应对勘察工作中知悉的的国家机密、政府机密、商业秘密及个人隐私应当承担保密义务。</w:t>
      </w:r>
    </w:p>
    <w:p w14:paraId="20E39309">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11" w:name="_Toc26557"/>
      <w:r>
        <w:rPr>
          <w:rFonts w:hint="eastAsia" w:ascii="宋体" w:hAnsi="宋体" w:cs="宋体"/>
          <w:b/>
          <w:bCs/>
          <w:sz w:val="24"/>
          <w:szCs w:val="24"/>
        </w:rPr>
        <w:t>十、违约责任</w:t>
      </w:r>
      <w:bookmarkEnd w:id="11"/>
    </w:p>
    <w:p w14:paraId="3F15361A">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10.1</w:t>
      </w:r>
      <w:r>
        <w:rPr>
          <w:rFonts w:hint="eastAsia" w:ascii="宋体" w:hAnsi="宋体" w:cs="宋体"/>
          <w:bCs/>
          <w:kern w:val="0"/>
          <w:sz w:val="24"/>
          <w:szCs w:val="24"/>
        </w:rPr>
        <w:t>甲方违约</w:t>
      </w:r>
    </w:p>
    <w:p w14:paraId="5ADD56A6">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非乙方过错，甲方未按合同约定办理支付手续，自约定之日起，应当向乙方补偿应支付费用的利息，利息额按约定支付期限最后一天全国银行间同业拆借中心公布的贷款市场报价利率计算。但甲方在约定期限内已按财政集中支付程序办理付款手续即视为甲方履行付款义务，因乙方原因或财政支付程序导致付款迟延，甲方不承担任何责任，乙方应继续履行合同约定义务，乙方自行解决由此引起的劳务、材料、设备、资金等一切纠纷，并承担因此而发生的相应费用。</w:t>
      </w:r>
    </w:p>
    <w:p w14:paraId="788EB04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合同履行期间，由于工程停建而终止合同或甲方要求解除合同时，乙方未进行勘察工作的，合同自然解除；己进行勘察工作的，按实际完成的并经甲方书面确认的工作量支付勘察费。</w:t>
      </w:r>
    </w:p>
    <w:p w14:paraId="43B411B2">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10.2 </w:t>
      </w:r>
      <w:r>
        <w:rPr>
          <w:rFonts w:hint="eastAsia" w:ascii="宋体" w:hAnsi="宋体" w:cs="宋体"/>
          <w:bCs/>
          <w:kern w:val="0"/>
          <w:sz w:val="24"/>
          <w:szCs w:val="24"/>
        </w:rPr>
        <w:t>乙方违约</w:t>
      </w:r>
    </w:p>
    <w:p w14:paraId="7E35789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10.2.1未经甲方书面许可，乙方擅自变更项目负责人、技术负责人等项目主要服务人员，视为乙方严重违约，甲方有权确定乙方履约评价为不合格并扣除部分合同价款作为违约金：</w:t>
      </w:r>
    </w:p>
    <w:p w14:paraId="1E0F1F0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（1）乙方调整项目负责人的，扣除违约金</w:t>
      </w:r>
      <w:r>
        <w:rPr>
          <w:rFonts w:hint="eastAsia" w:ascii="宋体" w:hAnsi="宋体" w:cs="宋体"/>
          <w:sz w:val="24"/>
          <w:szCs w:val="24"/>
          <w:u w:val="single"/>
        </w:rPr>
        <w:t>20000</w:t>
      </w:r>
      <w:r>
        <w:rPr>
          <w:rFonts w:hint="eastAsia" w:ascii="宋体" w:hAnsi="宋体" w:cs="宋体"/>
          <w:sz w:val="24"/>
          <w:szCs w:val="24"/>
        </w:rPr>
        <w:t>元。</w:t>
      </w:r>
    </w:p>
    <w:p w14:paraId="2A89CB19">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（2）乙方调整技术负责人的，扣除违约金</w:t>
      </w:r>
      <w:r>
        <w:rPr>
          <w:rFonts w:hint="eastAsia" w:ascii="宋体" w:hAnsi="宋体" w:cs="宋体"/>
          <w:sz w:val="24"/>
          <w:szCs w:val="24"/>
          <w:u w:val="single"/>
        </w:rPr>
        <w:t>5000</w:t>
      </w:r>
      <w:r>
        <w:rPr>
          <w:rFonts w:hint="eastAsia" w:ascii="宋体" w:hAnsi="宋体" w:cs="宋体"/>
          <w:sz w:val="24"/>
          <w:szCs w:val="24"/>
        </w:rPr>
        <w:t>元。</w:t>
      </w:r>
    </w:p>
    <w:p w14:paraId="1BC271B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10.2.2乙方无正当理由拒绝甲方要求增加或替换相应的服务人员要求的，甲方有权扣除部分合同价款：</w:t>
      </w:r>
    </w:p>
    <w:p w14:paraId="3C20F2EE">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单次扣除签约合同价的10%的违约金。</w:t>
      </w:r>
    </w:p>
    <w:p w14:paraId="11301A9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10.2.3甲方依据委托合同，要求乙方积极做好参加会议、调研等配合工作。乙方有以下行为，甲方有权作出相应处理：</w:t>
      </w:r>
    </w:p>
    <w:p w14:paraId="4EAA3FE9">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（1）配合工作中，迟到半个小时以上（含半个小时），一次扣除200元；迟到次数达3次以上（含3次），其履约评价不能评优；</w:t>
      </w:r>
    </w:p>
    <w:p w14:paraId="38917A25">
      <w:pPr>
        <w:keepNext w:val="0"/>
        <w:keepLines w:val="0"/>
        <w:pageBreakBefore w:val="0"/>
        <w:kinsoku/>
        <w:wordWrap/>
        <w:topLinePunct w:val="0"/>
        <w:bidi w:val="0"/>
        <w:adjustRightInd w:val="0"/>
        <w:spacing w:line="360" w:lineRule="auto"/>
        <w:ind w:right="0" w:firstLine="480" w:firstLineChars="200"/>
        <w:textAlignment w:val="auto"/>
        <w:rPr>
          <w:rFonts w:hint="default" w:eastAsia="宋体"/>
          <w:lang w:val="en-US" w:eastAsia="zh-CN"/>
        </w:rPr>
      </w:pPr>
      <w:r>
        <w:rPr>
          <w:rFonts w:hint="eastAsia" w:ascii="宋体" w:hAnsi="宋体" w:cs="宋体"/>
          <w:sz w:val="24"/>
          <w:szCs w:val="24"/>
        </w:rPr>
        <w:t>（2）配合工作中，每缺席一次扣除500元；缺席次数达2次以上（含2次），其履约评价不能评优。</w:t>
      </w:r>
    </w:p>
    <w:p w14:paraId="6C087D78">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10.2.4因乙方自身原因，未能按照合同约定及时提交成果材料，甲方有权扣除部分合同价款。每逾期一天，扣除1000元；逾期超过7日的，其履约评价不能评优；逾期超过30日的，甲方有权单方解除合同并有权要求乙方赔偿因此造成的损失。</w:t>
      </w:r>
    </w:p>
    <w:p w14:paraId="1B8FEDD6">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10.2.5乙方未按合同约定履行职责的，甲方有权要求乙方立即纠正，乙方收到甲方纠正通知后五日内未予纠正的，甲方有权追究违约责任或直接解除合同。</w:t>
      </w:r>
    </w:p>
    <w:p w14:paraId="4E020A1D">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10.2.6因乙方的原因而产生报告质量事故、工期延误或报告缺陷，造成甲方损失或虽未发生实际损失但存在风险，乙方应承担相应赔偿责任。</w:t>
      </w:r>
    </w:p>
    <w:p w14:paraId="183AC9BF">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10.2.7乙方提供不合格文件成果，造成地基与基础工程变更幅度超过地基与基础工程造价5%的，按以下公式计算扣除勘察合同价款：</w:t>
      </w:r>
    </w:p>
    <w:p w14:paraId="02B42F1C">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扣除勘察合同价款=（基础工程施工增加费÷基础工程总费用）×岩土工程勘察合同价款基本计费金额</w:t>
      </w:r>
    </w:p>
    <w:p w14:paraId="2F3E1F78">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sz w:val="24"/>
        </w:rPr>
        <w:t>10.2.8乙方将工程勘察任务转包，或者未经甲方同意私自分包的，甲方有权终止合同，并有权要求乙方返还已支付费用，并收取暂定合同价</w:t>
      </w:r>
      <w:r>
        <w:rPr>
          <w:rFonts w:hint="eastAsia" w:ascii="宋体" w:hAnsi="宋体"/>
          <w:sz w:val="24"/>
          <w:u w:val="single"/>
        </w:rPr>
        <w:t>10%的违约金</w:t>
      </w:r>
      <w:r>
        <w:rPr>
          <w:rFonts w:hint="eastAsia" w:ascii="宋体" w:hAnsi="宋体"/>
          <w:sz w:val="24"/>
        </w:rPr>
        <w:t>。</w:t>
      </w:r>
    </w:p>
    <w:p w14:paraId="3DA1A8FC">
      <w:pPr>
        <w:keepNext w:val="0"/>
        <w:keepLines w:val="0"/>
        <w:pageBreakBefore w:val="0"/>
        <w:shd w:val="clear"/>
        <w:kinsoku/>
        <w:wordWrap/>
        <w:topLinePunct w:val="0"/>
        <w:bidi w:val="0"/>
        <w:adjustRightInd w:val="0"/>
        <w:spacing w:line="360" w:lineRule="auto"/>
        <w:ind w:right="0" w:firstLine="480" w:firstLineChars="200"/>
        <w:textAlignment w:val="auto"/>
        <w:rPr>
          <w:rFonts w:hint="eastAsia" w:ascii="宋体" w:hAnsi="宋体" w:cs="宋体"/>
          <w:color w:val="auto"/>
          <w:sz w:val="24"/>
          <w:szCs w:val="24"/>
          <w:highlight w:val="none"/>
        </w:rPr>
      </w:pPr>
      <w:r>
        <w:rPr>
          <w:rFonts w:hint="eastAsia" w:ascii="宋体" w:hAnsi="宋体" w:cs="宋体"/>
          <w:sz w:val="24"/>
          <w:szCs w:val="24"/>
        </w:rPr>
        <w:t>10.2.9甲方要求乙方自行抽查、校核或另行委托其他单位抽查、校核乙方的成果，抽查、校核的部分成果不合格，乙方应承担相应抽查核校核费用并负责对成果进行修改完善直至符合要求，且甲方有权要求乙方支付勘察费1‰的违约金并赔偿因</w:t>
      </w:r>
      <w:r>
        <w:rPr>
          <w:rFonts w:hint="eastAsia" w:ascii="宋体" w:hAnsi="宋体" w:cs="宋体"/>
          <w:color w:val="auto"/>
          <w:sz w:val="24"/>
          <w:szCs w:val="24"/>
          <w:highlight w:val="none"/>
        </w:rPr>
        <w:t>此造成的损失。</w:t>
      </w:r>
    </w:p>
    <w:p w14:paraId="09AE541A">
      <w:pPr>
        <w:keepNext w:val="0"/>
        <w:keepLines w:val="0"/>
        <w:pageBreakBefore w:val="0"/>
        <w:shd w:val="clear"/>
        <w:kinsoku/>
        <w:wordWrap/>
        <w:topLinePunct w:val="0"/>
        <w:bidi w:val="0"/>
        <w:adjustRightInd w:val="0"/>
        <w:spacing w:line="360" w:lineRule="auto"/>
        <w:ind w:right="0" w:firstLine="480" w:firstLineChars="200"/>
        <w:textAlignment w:val="auto"/>
        <w:rPr>
          <w:rFonts w:hint="eastAsia" w:ascii="宋体" w:hAnsi="宋体" w:cs="宋体"/>
          <w:color w:val="auto"/>
          <w:sz w:val="24"/>
          <w:szCs w:val="24"/>
          <w:highlight w:val="none"/>
          <w:u w:val="single"/>
        </w:rPr>
      </w:pPr>
      <w:r>
        <w:rPr>
          <w:rFonts w:hint="eastAsia" w:ascii="宋体" w:hAnsi="宋体" w:cs="宋体"/>
          <w:color w:val="auto"/>
          <w:sz w:val="24"/>
          <w:szCs w:val="24"/>
          <w:highlight w:val="none"/>
          <w:u w:val="single"/>
        </w:rPr>
        <w:t>10.2.</w:t>
      </w:r>
      <w:r>
        <w:rPr>
          <w:rFonts w:hint="eastAsia" w:ascii="宋体" w:hAnsi="宋体" w:cs="宋体"/>
          <w:color w:val="auto"/>
          <w:sz w:val="24"/>
          <w:szCs w:val="24"/>
          <w:highlight w:val="none"/>
          <w:u w:val="single"/>
          <w:lang w:val="en-US" w:eastAsia="zh-CN"/>
        </w:rPr>
        <w:t>10</w:t>
      </w:r>
      <w:r>
        <w:rPr>
          <w:rFonts w:hint="eastAsia" w:ascii="宋体" w:hAnsi="宋体" w:cs="宋体"/>
          <w:color w:val="auto"/>
          <w:sz w:val="24"/>
          <w:szCs w:val="24"/>
          <w:highlight w:val="none"/>
          <w:u w:val="single"/>
        </w:rPr>
        <w:t>在收到乙方提交的勘察报告后，甲方将对勘察报告与现场实际情况的一致性进行审查，若乙方提供的勘察报告与现场实际情况不符且导致工程费用增加的，甲方有权根据其严重性扣除</w:t>
      </w:r>
      <w:r>
        <w:rPr>
          <w:rFonts w:hint="eastAsia" w:ascii="宋体" w:hAnsi="宋体" w:cs="宋体"/>
          <w:color w:val="auto"/>
          <w:sz w:val="24"/>
          <w:szCs w:val="24"/>
          <w:highlight w:val="none"/>
          <w:u w:val="single"/>
          <w:lang w:eastAsia="zh-CN"/>
        </w:rPr>
        <w:t>2</w:t>
      </w:r>
      <w:r>
        <w:rPr>
          <w:rFonts w:hint="eastAsia" w:ascii="宋体" w:hAnsi="宋体" w:cs="宋体"/>
          <w:color w:val="auto"/>
          <w:sz w:val="24"/>
          <w:szCs w:val="24"/>
          <w:highlight w:val="none"/>
          <w:u w:val="single"/>
          <w:lang w:val="en-US" w:eastAsia="zh-CN"/>
        </w:rPr>
        <w:t>-10万元的违约金</w:t>
      </w:r>
      <w:r>
        <w:rPr>
          <w:rFonts w:hint="eastAsia" w:ascii="宋体" w:hAnsi="宋体" w:cs="宋体"/>
          <w:color w:val="auto"/>
          <w:sz w:val="24"/>
          <w:szCs w:val="24"/>
          <w:highlight w:val="none"/>
          <w:u w:val="single"/>
        </w:rPr>
        <w:t>，并要求乙方在规定的时间内无条件地进行补勘，相关费用均由乙方自行承担。</w:t>
      </w:r>
    </w:p>
    <w:p w14:paraId="73AFD3DF">
      <w:pPr>
        <w:keepNext w:val="0"/>
        <w:keepLines w:val="0"/>
        <w:pageBreakBefore w:val="0"/>
        <w:shd w:val="clear"/>
        <w:kinsoku/>
        <w:wordWrap/>
        <w:topLinePunct w:val="0"/>
        <w:bidi w:val="0"/>
        <w:adjustRightInd w:val="0"/>
        <w:spacing w:line="360" w:lineRule="auto"/>
        <w:ind w:right="0" w:firstLine="480" w:firstLineChars="200"/>
        <w:textAlignment w:val="auto"/>
        <w:rPr>
          <w:rFonts w:hint="default" w:ascii="宋体" w:hAnsi="宋体" w:cs="宋体"/>
          <w:color w:val="auto"/>
          <w:sz w:val="24"/>
          <w:szCs w:val="24"/>
          <w:highlight w:val="none"/>
          <w:u w:val="single"/>
          <w:lang w:val="en-US"/>
        </w:rPr>
      </w:pPr>
      <w:r>
        <w:rPr>
          <w:rFonts w:hint="eastAsia" w:ascii="宋体" w:hAnsi="宋体" w:cs="宋体"/>
          <w:color w:val="auto"/>
          <w:sz w:val="24"/>
          <w:szCs w:val="24"/>
          <w:highlight w:val="none"/>
          <w:u w:val="single"/>
          <w:lang w:val="en-US" w:eastAsia="zh-CN"/>
        </w:rPr>
        <w:t>10.2.11</w:t>
      </w:r>
      <w:r>
        <w:rPr>
          <w:rFonts w:hint="eastAsia" w:ascii="宋体" w:hAnsi="宋体" w:cs="宋体"/>
          <w:color w:val="auto"/>
          <w:sz w:val="24"/>
          <w:szCs w:val="24"/>
          <w:highlight w:val="none"/>
          <w:u w:val="single"/>
        </w:rPr>
        <w:t>由于勘察质量的原因或提供虚假勘察报告导致重大设计变更造成工程费用增加的，</w:t>
      </w:r>
      <w:r>
        <w:rPr>
          <w:rFonts w:hint="eastAsia" w:ascii="宋体" w:hAnsi="宋体" w:cs="宋体"/>
          <w:color w:val="auto"/>
          <w:sz w:val="24"/>
          <w:szCs w:val="24"/>
          <w:highlight w:val="none"/>
          <w:u w:val="single"/>
          <w:lang w:val="en-US" w:eastAsia="zh-CN"/>
        </w:rPr>
        <w:t>乙方应承担相关法律责任，向甲方赔偿因此造成的全部经济损失，且扣除不准确勘察成果对应工作的工程勘察费。</w:t>
      </w:r>
    </w:p>
    <w:p w14:paraId="4305B3AD">
      <w:pPr>
        <w:keepNext w:val="0"/>
        <w:keepLines w:val="0"/>
        <w:pageBreakBefore w:val="0"/>
        <w:shd w:val="clear"/>
        <w:kinsoku/>
        <w:wordWrap/>
        <w:topLinePunct w:val="0"/>
        <w:bidi w:val="0"/>
        <w:adjustRightInd w:val="0"/>
        <w:spacing w:line="360" w:lineRule="auto"/>
        <w:ind w:right="0" w:firstLine="480" w:firstLineChars="200"/>
        <w:textAlignment w:val="auto"/>
        <w:rPr>
          <w:rFonts w:hint="default" w:ascii="宋体" w:hAnsi="宋体" w:cs="宋体"/>
          <w:color w:val="auto"/>
          <w:sz w:val="24"/>
          <w:szCs w:val="24"/>
          <w:highlight w:val="none"/>
          <w:u w:val="single"/>
        </w:rPr>
      </w:pPr>
      <w:r>
        <w:rPr>
          <w:rFonts w:hint="eastAsia" w:ascii="宋体" w:hAnsi="宋体" w:cs="宋体"/>
          <w:color w:val="auto"/>
          <w:sz w:val="24"/>
          <w:szCs w:val="24"/>
          <w:highlight w:val="none"/>
          <w:u w:val="single"/>
          <w:lang w:val="en-US" w:eastAsia="zh-CN"/>
        </w:rPr>
        <w:t>10.2.12</w:t>
      </w:r>
      <w:r>
        <w:rPr>
          <w:rFonts w:hint="eastAsia" w:ascii="宋体" w:hAnsi="宋体" w:cs="宋体"/>
          <w:color w:val="auto"/>
          <w:sz w:val="24"/>
          <w:szCs w:val="24"/>
          <w:highlight w:val="none"/>
          <w:u w:val="single"/>
        </w:rPr>
        <w:t>由于乙方未提供准确的勘察成果资料（包括但不限于岩土勘察、工程物探、地形测量、施工控制点放点、红线点测放、水文地质勘察、地质灾害危险性评估、超前钻）致使工程</w:t>
      </w:r>
      <w:r>
        <w:rPr>
          <w:rFonts w:hint="eastAsia" w:ascii="宋体" w:hAnsi="宋体" w:cs="宋体"/>
          <w:color w:val="auto"/>
          <w:sz w:val="24"/>
          <w:szCs w:val="24"/>
          <w:highlight w:val="none"/>
          <w:u w:val="single"/>
          <w:lang w:val="en-US" w:eastAsia="zh-CN"/>
        </w:rPr>
        <w:t xml:space="preserve">工期发生延误的，乙方应向甲方支付赔偿金，赔偿金数额为2000元/天。  </w:t>
      </w:r>
    </w:p>
    <w:p w14:paraId="3A1BA699">
      <w:pPr>
        <w:keepNext w:val="0"/>
        <w:keepLines w:val="0"/>
        <w:pageBreakBefore w:val="0"/>
        <w:shd w:val="clear"/>
        <w:kinsoku/>
        <w:wordWrap/>
        <w:topLinePunct w:val="0"/>
        <w:bidi w:val="0"/>
        <w:adjustRightInd w:val="0"/>
        <w:spacing w:line="360" w:lineRule="auto"/>
        <w:ind w:right="0" w:firstLine="480" w:firstLineChars="200"/>
        <w:textAlignment w:val="auto"/>
        <w:rPr>
          <w:rFonts w:hint="eastAsia" w:ascii="宋体" w:hAnsi="宋体" w:cs="宋体"/>
          <w:color w:val="auto"/>
          <w:sz w:val="24"/>
          <w:szCs w:val="24"/>
          <w:highlight w:val="none"/>
          <w:u w:val="single"/>
        </w:rPr>
      </w:pPr>
      <w:r>
        <w:rPr>
          <w:rFonts w:hint="eastAsia" w:ascii="宋体" w:hAnsi="宋体" w:cs="宋体"/>
          <w:color w:val="auto"/>
          <w:sz w:val="24"/>
          <w:szCs w:val="24"/>
          <w:highlight w:val="none"/>
          <w:u w:val="single"/>
          <w:lang w:val="en-US" w:eastAsia="zh-CN"/>
        </w:rPr>
        <w:t>10.2.13</w:t>
      </w:r>
      <w:r>
        <w:rPr>
          <w:rFonts w:hint="eastAsia" w:ascii="宋体" w:hAnsi="宋体" w:cs="宋体"/>
          <w:color w:val="auto"/>
          <w:sz w:val="24"/>
          <w:szCs w:val="24"/>
          <w:highlight w:val="none"/>
          <w:u w:val="single"/>
        </w:rPr>
        <w:t>由于乙方未提供准确的勘察成果资料（包括但不限于岩土勘察、工程物探、地形测量、施工控制点放点、红线点测放、水文地质勘察、地质灾害危险性评估、超前钻）致使工程施工单位在作业时对工程本体、城市地下管线和设施等埋藏物及第三方财产和人身造成破坏的，乙方应承担相关法律责任，向甲方赔偿因此造成的全部经济损失，且扣除不准确勘察成果对应工作的工程勘察费。</w:t>
      </w:r>
    </w:p>
    <w:p w14:paraId="676EF5C7">
      <w:pPr>
        <w:keepNext w:val="0"/>
        <w:keepLines w:val="0"/>
        <w:pageBreakBefore w:val="0"/>
        <w:shd w:val="clear"/>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color w:val="auto"/>
          <w:sz w:val="24"/>
          <w:szCs w:val="24"/>
          <w:highlight w:val="none"/>
          <w:u w:val="single"/>
          <w:lang w:val="en-US" w:eastAsia="zh-CN"/>
        </w:rPr>
        <w:t>10.2.14</w:t>
      </w:r>
      <w:r>
        <w:rPr>
          <w:rFonts w:hint="eastAsia" w:ascii="宋体" w:hAnsi="宋体" w:cs="宋体"/>
          <w:color w:val="auto"/>
          <w:sz w:val="24"/>
          <w:szCs w:val="24"/>
          <w:highlight w:val="none"/>
          <w:u w:val="single"/>
        </w:rPr>
        <w:t>如发生与勘察有关的安全事故，或被如住建部门等行业主管部门进行立案调查的事故，造成不良的社会影响及经济损失，每次事故乙方应承担1万至5万元不等的罚金，罚金金额由甲方根据项目具体情况确认，并在给予履约评价不合格处理。</w:t>
      </w:r>
    </w:p>
    <w:p w14:paraId="58C9DE51">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12" w:name="_Toc16381"/>
      <w:r>
        <w:rPr>
          <w:rFonts w:hint="eastAsia" w:ascii="宋体" w:hAnsi="宋体" w:cs="宋体"/>
          <w:b/>
          <w:bCs/>
          <w:sz w:val="24"/>
          <w:szCs w:val="24"/>
        </w:rPr>
        <w:t>十一、工作要求</w:t>
      </w:r>
      <w:bookmarkEnd w:id="12"/>
    </w:p>
    <w:p w14:paraId="74B9FDD7">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11.1 </w:t>
      </w:r>
      <w:r>
        <w:rPr>
          <w:rFonts w:hint="eastAsia" w:ascii="宋体" w:hAnsi="宋体" w:cs="宋体"/>
          <w:bCs/>
          <w:kern w:val="0"/>
          <w:sz w:val="24"/>
          <w:szCs w:val="24"/>
        </w:rPr>
        <w:t>一般要求</w:t>
      </w:r>
    </w:p>
    <w:p w14:paraId="0FDE7C69">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11.1.1提</w:t>
      </w:r>
      <w:r>
        <w:rPr>
          <w:rFonts w:hint="eastAsia" w:ascii="宋体" w:hAnsi="宋体" w:cs="宋体"/>
          <w:spacing w:val="-4"/>
          <w:sz w:val="24"/>
          <w:szCs w:val="24"/>
        </w:rPr>
        <w:t>交的测量报告、物探调查报告、地质勘察报告等成果文件必须符合国家各部委颁发的现行的法律法规、规范、规定、规程和标准并通过甲方、政府各主管部门及相关单位的审查。</w:t>
      </w:r>
    </w:p>
    <w:p w14:paraId="6B1006E6">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11.1.2各项工作进度必须符合甲方及工程建设总体进度要求，满足工程建设需要。</w:t>
      </w:r>
    </w:p>
    <w:p w14:paraId="6275286F">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11.2 </w:t>
      </w:r>
      <w:r>
        <w:rPr>
          <w:rFonts w:hint="eastAsia" w:ascii="宋体" w:hAnsi="宋体" w:cs="宋体"/>
          <w:bCs/>
          <w:kern w:val="0"/>
          <w:sz w:val="24"/>
          <w:szCs w:val="24"/>
        </w:rPr>
        <w:t>地形测量</w:t>
      </w:r>
    </w:p>
    <w:p w14:paraId="1CD903AC">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11.2.1按照国家技术规范、标准、规程和发包人的任务委托书及工程测量任务书进行工程测量，按本合同规定的时间提交质量合格的测量成果资料，并对其负责。</w:t>
      </w:r>
    </w:p>
    <w:p w14:paraId="39BF3CDD">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11.2.2乙方对测量任务书有权提出合理化建议，但必须经审查后予以更改。</w:t>
      </w:r>
    </w:p>
    <w:p w14:paraId="36A242C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11.2.3并保证测量成果满足建设主管部门验收要求。</w:t>
      </w:r>
    </w:p>
    <w:p w14:paraId="53B34A6B">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11.3 </w:t>
      </w:r>
      <w:r>
        <w:rPr>
          <w:rFonts w:hint="eastAsia" w:ascii="宋体" w:hAnsi="宋体" w:cs="宋体"/>
          <w:bCs/>
          <w:kern w:val="0"/>
          <w:sz w:val="24"/>
          <w:szCs w:val="24"/>
        </w:rPr>
        <w:t>工程物探</w:t>
      </w:r>
    </w:p>
    <w:p w14:paraId="2D9883EA">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11.3.1按照国家技术规范、标准、规程和发包人的任务委托书及工程物探任务书开展工程物探工作，按本合同规定的时间提交质量合格的物探调查资料，并对其负责。</w:t>
      </w:r>
    </w:p>
    <w:p w14:paraId="508E16E6">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11.3.2乙方对物探任务书有权提出合理化建议，但必须经审查后予以更改。</w:t>
      </w:r>
    </w:p>
    <w:p w14:paraId="7756B265">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11.4 </w:t>
      </w:r>
      <w:r>
        <w:rPr>
          <w:rFonts w:hint="eastAsia" w:ascii="宋体" w:hAnsi="宋体" w:cs="宋体"/>
          <w:bCs/>
          <w:kern w:val="0"/>
          <w:sz w:val="24"/>
          <w:szCs w:val="24"/>
        </w:rPr>
        <w:t>岩土工程勘察</w:t>
      </w:r>
    </w:p>
    <w:p w14:paraId="27EC8361">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11.4.1技术要求以设计单位提出的勘察任务书为准。乙方对该任务书有权提出合理化建议，但必须经审查后予以更改。</w:t>
      </w:r>
    </w:p>
    <w:p w14:paraId="222CF4F7">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11.4.2勘察成果必须真实、准确地反映地上、地下情况、地质地理环境特征、岩土工程条件，为设计工作提供必须的参数、合理化建议。</w:t>
      </w:r>
    </w:p>
    <w:p w14:paraId="6CC385E1">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11.4.3土石方工程中对于挖方区域应根据工程造价书编制需要，按土壤及岩石（普氏）分类表提交土石鉴定及类别划分专项报告。</w:t>
      </w:r>
    </w:p>
    <w:p w14:paraId="7046EEB9">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11.4.4勘察单位应为基础选型提供可靠的地质勘察报告，并对地基处理、基础选型、基坑支护、工程降水和不良地质作用的防治等提出建议。场地较大、或者地质条件复杂、或者有两个及以上单体建筑的项目，应分区、分单体提出基础选型方案，该方案须符合当地环保要求（如锤击预应力管桩的噪音限制、强夯的振动及噪音限制等）。</w:t>
      </w:r>
    </w:p>
    <w:p w14:paraId="6A23793F">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11.5 </w:t>
      </w:r>
      <w:r>
        <w:rPr>
          <w:rFonts w:hint="eastAsia" w:ascii="宋体" w:hAnsi="宋体" w:cs="宋体"/>
          <w:bCs/>
          <w:kern w:val="0"/>
          <w:sz w:val="24"/>
          <w:szCs w:val="24"/>
        </w:rPr>
        <w:t>后期配合要求</w:t>
      </w:r>
    </w:p>
    <w:p w14:paraId="3822C7D5">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11.5.1工程开工前，负责与监理、施工单位办理交接桩手续（包括测量成果）；</w:t>
      </w:r>
    </w:p>
    <w:p w14:paraId="3C59E9A7">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11.5.2工程开工后，应配合设计、施工单位进行基础施工，并协助解决施工中的岩土设计技术问题，主要包括（但不限于）：</w:t>
      </w:r>
    </w:p>
    <w:p w14:paraId="4A35899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（1）派遣本项目的主要专业工程师进行施工验槽；</w:t>
      </w:r>
    </w:p>
    <w:p w14:paraId="70F3AE2B">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（2）基槽开挖后，岩土条件与设计假定条件不符时，配合处理，需要时实施补充勘察；</w:t>
      </w:r>
    </w:p>
    <w:p w14:paraId="499FAB30">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（3）地基中溶洞或土洞较发育时，必须进一步查明并提出处理建议；</w:t>
      </w:r>
    </w:p>
    <w:p w14:paraId="6D06ECBF">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（4）在基础施工过程需要补充勘察时，必须及时实施补充勘察任务。如非详勘资料错漏原因引起的补充勘察费用，按实际增加的工程量纳入结算；</w:t>
      </w:r>
    </w:p>
    <w:p w14:paraId="563A06FB">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（5）其</w:t>
      </w:r>
      <w:r>
        <w:rPr>
          <w:rFonts w:hint="eastAsia" w:ascii="宋体" w:hAnsi="宋体" w:cs="宋体"/>
          <w:spacing w:val="6"/>
          <w:sz w:val="24"/>
          <w:szCs w:val="24"/>
        </w:rPr>
        <w:t>它与工程勘察相关的工作内容在有需要时须及时无条件协助相关方进行处理。</w:t>
      </w:r>
    </w:p>
    <w:p w14:paraId="2CBEC536">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11.5.3结算及审计阶段：按甲方及政府审计部门或建设单位委托的第三方机构要求整理合同“六、成果文件的交付”部分规定份数的结算资料，并跟踪、配合审计决算工作。</w:t>
      </w:r>
    </w:p>
    <w:p w14:paraId="7B3986B2">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13" w:name="_Toc25382"/>
      <w:r>
        <w:rPr>
          <w:rFonts w:hint="eastAsia" w:ascii="宋体" w:hAnsi="宋体" w:cs="宋体"/>
          <w:b/>
          <w:bCs/>
          <w:sz w:val="24"/>
          <w:szCs w:val="24"/>
        </w:rPr>
        <w:t>十二、关于安全生产的约定</w:t>
      </w:r>
      <w:bookmarkEnd w:id="13"/>
    </w:p>
    <w:p w14:paraId="6E12E460">
      <w:pPr>
        <w:keepNext w:val="0"/>
        <w:keepLines w:val="0"/>
        <w:pageBreakBefore w:val="0"/>
        <w:kinsoku/>
        <w:wordWrap/>
        <w:topLinePunct w:val="0"/>
        <w:bidi w:val="0"/>
        <w:adjustRightInd w:val="0"/>
        <w:spacing w:line="360" w:lineRule="auto"/>
        <w:ind w:right="0" w:firstLine="506" w:firstLineChars="200"/>
        <w:textAlignment w:val="auto"/>
        <w:rPr>
          <w:rFonts w:ascii="宋体" w:hAnsi="宋体" w:cs="宋体"/>
          <w:b/>
          <w:spacing w:val="6"/>
          <w:sz w:val="24"/>
          <w:szCs w:val="24"/>
        </w:rPr>
      </w:pPr>
      <w:r>
        <w:rPr>
          <w:rFonts w:hint="eastAsia" w:ascii="宋体" w:hAnsi="宋体" w:cs="宋体"/>
          <w:b/>
          <w:bCs/>
          <w:spacing w:val="6"/>
          <w:sz w:val="24"/>
          <w:szCs w:val="24"/>
        </w:rPr>
        <w:t xml:space="preserve">12.1 </w:t>
      </w:r>
      <w:r>
        <w:rPr>
          <w:rFonts w:hint="eastAsia" w:ascii="宋体" w:hAnsi="宋体" w:cs="宋体"/>
          <w:b/>
          <w:spacing w:val="6"/>
          <w:sz w:val="24"/>
          <w:szCs w:val="24"/>
        </w:rPr>
        <w:t>甲乙双方需要另行签订安全生产协议书，作为本工程勘察服务合同的补充条款，与本合同具有同等的法律效力，具体内容详见合同附件《安全生产协议书》。</w:t>
      </w:r>
    </w:p>
    <w:p w14:paraId="0B61DCAC">
      <w:pPr>
        <w:keepNext w:val="0"/>
        <w:keepLines w:val="0"/>
        <w:pageBreakBefore w:val="0"/>
        <w:kinsoku/>
        <w:wordWrap/>
        <w:topLinePunct w:val="0"/>
        <w:bidi w:val="0"/>
        <w:adjustRightInd w:val="0"/>
        <w:spacing w:line="360" w:lineRule="auto"/>
        <w:ind w:right="0" w:firstLine="506" w:firstLineChars="200"/>
        <w:textAlignment w:val="auto"/>
        <w:rPr>
          <w:rFonts w:ascii="宋体" w:hAnsi="宋体" w:cs="宋体"/>
          <w:spacing w:val="6"/>
          <w:sz w:val="24"/>
          <w:szCs w:val="24"/>
        </w:rPr>
      </w:pPr>
      <w:r>
        <w:rPr>
          <w:rFonts w:hint="eastAsia" w:ascii="宋体" w:hAnsi="宋体" w:cs="宋体"/>
          <w:b/>
          <w:bCs/>
          <w:spacing w:val="6"/>
          <w:sz w:val="24"/>
          <w:szCs w:val="24"/>
        </w:rPr>
        <w:t>12.2</w:t>
      </w:r>
      <w:r>
        <w:rPr>
          <w:rFonts w:hint="eastAsia" w:ascii="宋体" w:hAnsi="宋体" w:cs="宋体"/>
          <w:spacing w:val="6"/>
          <w:sz w:val="24"/>
          <w:szCs w:val="24"/>
        </w:rPr>
        <w:t>乙方须严格遵守安全生产协议中的各项条款，严格执行国家有关安全技术规范要求。</w:t>
      </w:r>
    </w:p>
    <w:p w14:paraId="406620C2">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14" w:name="_Toc31069"/>
      <w:r>
        <w:rPr>
          <w:rFonts w:hint="eastAsia" w:ascii="宋体" w:hAnsi="宋体" w:cs="宋体"/>
          <w:b/>
          <w:bCs/>
          <w:sz w:val="24"/>
          <w:szCs w:val="24"/>
        </w:rPr>
        <w:t>十三、合同的生效、变更及终止</w:t>
      </w:r>
      <w:bookmarkEnd w:id="14"/>
    </w:p>
    <w:p w14:paraId="1D01E947">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sz w:val="24"/>
          <w:szCs w:val="24"/>
        </w:rPr>
      </w:pPr>
      <w:r>
        <w:rPr>
          <w:rFonts w:hint="eastAsia" w:ascii="宋体" w:hAnsi="宋体" w:cs="宋体"/>
          <w:b/>
          <w:bCs/>
          <w:sz w:val="24"/>
          <w:szCs w:val="24"/>
        </w:rPr>
        <w:t xml:space="preserve">13.1 </w:t>
      </w:r>
      <w:r>
        <w:rPr>
          <w:rFonts w:hint="eastAsia" w:ascii="宋体" w:hAnsi="宋体" w:cs="宋体"/>
          <w:sz w:val="24"/>
          <w:szCs w:val="24"/>
        </w:rPr>
        <w:t>本合同经双方法定代表人或其委托代理人签名并加盖公章后生效；合同生效的时间以双方签署的合同上注明的时间为准。</w:t>
      </w:r>
    </w:p>
    <w:p w14:paraId="4E6057D8">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sz w:val="24"/>
          <w:szCs w:val="24"/>
        </w:rPr>
      </w:pPr>
      <w:r>
        <w:rPr>
          <w:rFonts w:hint="eastAsia" w:ascii="宋体" w:hAnsi="宋体" w:cs="宋体"/>
          <w:b/>
          <w:bCs/>
          <w:sz w:val="24"/>
          <w:szCs w:val="24"/>
        </w:rPr>
        <w:t xml:space="preserve">13.2 </w:t>
      </w:r>
      <w:r>
        <w:rPr>
          <w:rFonts w:hint="eastAsia" w:ascii="宋体" w:hAnsi="宋体" w:cs="宋体"/>
          <w:sz w:val="24"/>
          <w:szCs w:val="24"/>
        </w:rPr>
        <w:t>对本合同条款的任何变更、修改或增减，须经双方协商同意后由法定代表人或其授权代理人签署书面文件方为有效，并作为本合同的组成部分。</w:t>
      </w:r>
    </w:p>
    <w:p w14:paraId="6CFB3E6C">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sz w:val="24"/>
          <w:szCs w:val="24"/>
        </w:rPr>
      </w:pPr>
      <w:r>
        <w:rPr>
          <w:rFonts w:hint="eastAsia" w:ascii="宋体" w:hAnsi="宋体" w:cs="宋体"/>
          <w:b/>
          <w:bCs/>
          <w:sz w:val="24"/>
          <w:szCs w:val="24"/>
        </w:rPr>
        <w:t xml:space="preserve">13.3 </w:t>
      </w:r>
      <w:r>
        <w:rPr>
          <w:rFonts w:hint="eastAsia" w:ascii="宋体" w:hAnsi="宋体" w:cs="宋体"/>
          <w:sz w:val="24"/>
          <w:szCs w:val="24"/>
        </w:rPr>
        <w:t>双方协商一致，可以解除合同。</w:t>
      </w:r>
    </w:p>
    <w:p w14:paraId="2324A2A2">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sz w:val="24"/>
          <w:szCs w:val="24"/>
        </w:rPr>
      </w:pPr>
      <w:r>
        <w:rPr>
          <w:rFonts w:hint="eastAsia" w:ascii="宋体" w:hAnsi="宋体" w:cs="宋体"/>
          <w:b/>
          <w:bCs/>
          <w:sz w:val="24"/>
          <w:szCs w:val="24"/>
        </w:rPr>
        <w:t xml:space="preserve">13.4 </w:t>
      </w:r>
      <w:r>
        <w:rPr>
          <w:rFonts w:hint="eastAsia" w:ascii="宋体" w:hAnsi="宋体" w:cs="宋体"/>
          <w:sz w:val="24"/>
          <w:szCs w:val="24"/>
        </w:rPr>
        <w:t>双方因不可抗力致使合同无法履行，任何一方可以解除合同。但解除方应同时提供其受不可抗力影响之证据并通知对方。</w:t>
      </w:r>
    </w:p>
    <w:p w14:paraId="65EF2EDB">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sz w:val="24"/>
          <w:szCs w:val="24"/>
        </w:rPr>
      </w:pPr>
      <w:r>
        <w:rPr>
          <w:rFonts w:hint="eastAsia" w:ascii="宋体" w:hAnsi="宋体" w:cs="宋体"/>
          <w:b/>
          <w:bCs/>
          <w:sz w:val="24"/>
          <w:szCs w:val="24"/>
        </w:rPr>
        <w:t xml:space="preserve">13.5 </w:t>
      </w:r>
      <w:r>
        <w:rPr>
          <w:rFonts w:hint="eastAsia" w:ascii="宋体" w:hAnsi="宋体" w:cs="宋体"/>
          <w:sz w:val="24"/>
          <w:szCs w:val="24"/>
        </w:rPr>
        <w:t>甲方有权依据项目的实际情况，提前终止合同，但应当提前五个工作日书面通知乙方；甲方应当按乙方实际完成并经甲方书面确认的工作量，依据合同约定的标准支付勘察费，除此之外，乙方不再要求甲方承担其他责任，亦不要求甲方支付其他情形的赔偿或补偿。</w:t>
      </w:r>
    </w:p>
    <w:p w14:paraId="49853D3F">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sz w:val="24"/>
          <w:szCs w:val="24"/>
        </w:rPr>
      </w:pPr>
      <w:r>
        <w:rPr>
          <w:rFonts w:hint="eastAsia" w:ascii="宋体" w:hAnsi="宋体" w:cs="宋体"/>
          <w:b/>
          <w:bCs/>
          <w:sz w:val="24"/>
          <w:szCs w:val="24"/>
        </w:rPr>
        <w:t xml:space="preserve">13.6 </w:t>
      </w:r>
      <w:r>
        <w:rPr>
          <w:rFonts w:hint="eastAsia" w:ascii="宋体" w:hAnsi="宋体" w:cs="宋体"/>
          <w:sz w:val="24"/>
          <w:szCs w:val="24"/>
        </w:rPr>
        <w:t>乙方完成甲方全部委托业务，且甲方支付了全部合同款（含附加服务的合同款）后本合同终止。</w:t>
      </w:r>
    </w:p>
    <w:p w14:paraId="1AAC9730">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sz w:val="24"/>
          <w:szCs w:val="24"/>
        </w:rPr>
      </w:pPr>
      <w:r>
        <w:rPr>
          <w:rFonts w:hint="eastAsia" w:ascii="宋体" w:hAnsi="宋体" w:cs="宋体"/>
          <w:b/>
          <w:bCs/>
          <w:sz w:val="24"/>
          <w:szCs w:val="24"/>
        </w:rPr>
        <w:t xml:space="preserve">13.7 </w:t>
      </w:r>
      <w:r>
        <w:rPr>
          <w:rFonts w:hint="eastAsia" w:ascii="宋体" w:hAnsi="宋体" w:cs="宋体"/>
          <w:sz w:val="24"/>
          <w:szCs w:val="24"/>
        </w:rPr>
        <w:t>本合同生效期间及权利和义务终止后，甲方和乙方应当遵循诚实信用原则，履行通知、协助、保密等义务。</w:t>
      </w:r>
    </w:p>
    <w:p w14:paraId="36B29A20">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15" w:name="_Toc27988"/>
      <w:r>
        <w:rPr>
          <w:rFonts w:hint="eastAsia" w:ascii="宋体" w:hAnsi="宋体" w:cs="宋体"/>
          <w:b/>
          <w:bCs/>
          <w:sz w:val="24"/>
          <w:szCs w:val="24"/>
        </w:rPr>
        <w:t>十四、其他</w:t>
      </w:r>
      <w:bookmarkEnd w:id="15"/>
    </w:p>
    <w:p w14:paraId="634B6747">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14.1 </w:t>
      </w:r>
      <w:r>
        <w:rPr>
          <w:rFonts w:hint="eastAsia" w:ascii="宋体" w:hAnsi="宋体" w:cs="宋体"/>
          <w:bCs/>
          <w:kern w:val="0"/>
          <w:sz w:val="24"/>
          <w:szCs w:val="24"/>
        </w:rPr>
        <w:t>语言和法律</w:t>
      </w:r>
    </w:p>
    <w:p w14:paraId="720D8CD1">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所有报告文件的文字表述以中文为准</w:t>
      </w:r>
    </w:p>
    <w:p w14:paraId="6631A9E1">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14.2 </w:t>
      </w:r>
      <w:r>
        <w:rPr>
          <w:rFonts w:hint="eastAsia" w:ascii="宋体" w:hAnsi="宋体" w:cs="宋体"/>
          <w:bCs/>
          <w:kern w:val="0"/>
          <w:sz w:val="24"/>
          <w:szCs w:val="24"/>
        </w:rPr>
        <w:t>转让和分包合同</w:t>
      </w:r>
    </w:p>
    <w:p w14:paraId="65047829">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14.2.1除</w:t>
      </w:r>
      <w:r>
        <w:rPr>
          <w:rFonts w:hint="eastAsia" w:ascii="宋体" w:hAnsi="宋体" w:cs="宋体"/>
          <w:spacing w:val="-6"/>
          <w:sz w:val="24"/>
          <w:szCs w:val="24"/>
        </w:rPr>
        <w:t>支付款项的转让外，没有甲方的书面同意，乙方不得转让本合同涉及到的权利义务。</w:t>
      </w:r>
    </w:p>
    <w:p w14:paraId="386175D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14.2.2没有甲方的书面同意，乙方不得签订、开始实施、更改或终止履行全部或部分服务的任何分包合同。</w:t>
      </w:r>
    </w:p>
    <w:p w14:paraId="3553DC47">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14.3 </w:t>
      </w:r>
      <w:r>
        <w:rPr>
          <w:rFonts w:hint="eastAsia" w:ascii="宋体" w:hAnsi="宋体" w:cs="宋体"/>
          <w:bCs/>
          <w:kern w:val="0"/>
          <w:sz w:val="24"/>
          <w:szCs w:val="24"/>
        </w:rPr>
        <w:t>知识产权</w:t>
      </w:r>
    </w:p>
    <w:p w14:paraId="12C2A9F3">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kern w:val="0"/>
          <w:sz w:val="24"/>
          <w:szCs w:val="24"/>
        </w:rPr>
        <w:t>14.3.1本项目实施过程中产生的全部知识成果及知识产权归甲方所有。本合同项下的全部工作成果（包括但不限于工程勘察报告等）的著作权归甲方所有，未经甲方书面许可，乙方不得用于其它项目或公开。</w:t>
      </w:r>
    </w:p>
    <w:p w14:paraId="71EEDB0D">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14.3.2乙方保证，甲方使用乙方报告将不会对任何第三方构成侵权，任何第三方向甲方提出的侵权之诉讼或索赔均由乙方承担处理、应诉和赔偿责任。</w:t>
      </w:r>
    </w:p>
    <w:p w14:paraId="5055D950">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14.4 </w:t>
      </w:r>
      <w:r>
        <w:rPr>
          <w:rFonts w:hint="eastAsia" w:ascii="宋体" w:hAnsi="宋体" w:cs="宋体"/>
          <w:bCs/>
          <w:kern w:val="0"/>
          <w:sz w:val="24"/>
          <w:szCs w:val="24"/>
        </w:rPr>
        <w:t>利益的冲突</w:t>
      </w:r>
    </w:p>
    <w:p w14:paraId="7CDB46F3">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kern w:val="0"/>
          <w:sz w:val="24"/>
          <w:szCs w:val="24"/>
        </w:rPr>
        <w:t>14.4.1</w:t>
      </w:r>
      <w:r>
        <w:rPr>
          <w:rFonts w:hint="eastAsia" w:ascii="宋体" w:hAnsi="宋体" w:cs="宋体"/>
          <w:sz w:val="24"/>
          <w:szCs w:val="24"/>
        </w:rPr>
        <w:t>除非甲方另外书面同意，乙方及其职员不应获得也不应接受合同规定以外的与项目有关的利益和合同款。</w:t>
      </w:r>
    </w:p>
    <w:p w14:paraId="3F62F45E">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14.4.2乙方不得参与可能与合同中规定的甲方的利益相冲突的任何活动。</w:t>
      </w:r>
    </w:p>
    <w:p w14:paraId="1D459B20">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14.5 </w:t>
      </w:r>
      <w:r>
        <w:rPr>
          <w:rFonts w:hint="eastAsia" w:ascii="宋体" w:hAnsi="宋体" w:cs="宋体"/>
          <w:bCs/>
          <w:kern w:val="0"/>
          <w:sz w:val="24"/>
          <w:szCs w:val="24"/>
        </w:rPr>
        <w:t>通知</w:t>
      </w:r>
    </w:p>
    <w:p w14:paraId="4E23A171">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与本合同有关的通知可用邮寄方式送达，邮寄地址以本合同中约定的地址为准，寄出三日后即视为送达，任何一方变更地址的，应书面方式通知对方。</w:t>
      </w:r>
    </w:p>
    <w:p w14:paraId="71CCC4A2">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16" w:name="_Toc3213"/>
      <w:r>
        <w:rPr>
          <w:rFonts w:hint="eastAsia" w:ascii="宋体" w:hAnsi="宋体" w:cs="宋体"/>
          <w:b/>
          <w:bCs/>
          <w:sz w:val="24"/>
          <w:szCs w:val="24"/>
        </w:rPr>
        <w:t>十五、争议及解决</w:t>
      </w:r>
      <w:bookmarkEnd w:id="16"/>
    </w:p>
    <w:p w14:paraId="1CDC5A2E">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bookmarkStart w:id="17" w:name="_Toc424572241"/>
      <w:r>
        <w:rPr>
          <w:rFonts w:hint="eastAsia" w:ascii="宋体" w:hAnsi="宋体" w:cs="宋体"/>
          <w:sz w:val="24"/>
          <w:szCs w:val="24"/>
        </w:rPr>
        <w:t>双方约定，凡因执行本合同所发生的与本合同有关的一切争议，当和解或调解不成时，应</w:t>
      </w:r>
      <w:bookmarkEnd w:id="17"/>
      <w:r>
        <w:rPr>
          <w:rFonts w:hint="eastAsia" w:ascii="宋体" w:hAnsi="宋体" w:cs="宋体"/>
          <w:sz w:val="24"/>
          <w:szCs w:val="24"/>
        </w:rPr>
        <w:t>依法向</w:t>
      </w:r>
      <w:r>
        <w:rPr>
          <w:rFonts w:hint="eastAsia" w:ascii="宋体" w:hAnsi="宋体" w:cs="宋体"/>
          <w:sz w:val="24"/>
          <w:szCs w:val="24"/>
          <w:u w:val="single"/>
        </w:rPr>
        <w:t>深圳市龙华区人民法院</w:t>
      </w:r>
      <w:r>
        <w:rPr>
          <w:rFonts w:hint="eastAsia" w:ascii="宋体" w:hAnsi="宋体" w:cs="宋体"/>
          <w:sz w:val="24"/>
          <w:szCs w:val="24"/>
        </w:rPr>
        <w:t>提起诉讼。</w:t>
      </w:r>
    </w:p>
    <w:p w14:paraId="09F11A4B">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18" w:name="_Toc8372"/>
      <w:r>
        <w:rPr>
          <w:rFonts w:hint="eastAsia" w:ascii="宋体" w:hAnsi="宋体" w:cs="宋体"/>
          <w:b/>
          <w:bCs/>
          <w:sz w:val="24"/>
          <w:szCs w:val="24"/>
        </w:rPr>
        <w:t>十六、补充协议</w:t>
      </w:r>
      <w:bookmarkEnd w:id="18"/>
    </w:p>
    <w:p w14:paraId="39550FC5">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b/>
          <w:bCs/>
          <w:sz w:val="24"/>
          <w:szCs w:val="24"/>
        </w:rPr>
      </w:pPr>
      <w:r>
        <w:rPr>
          <w:rFonts w:hint="eastAsia" w:ascii="宋体" w:hAnsi="宋体" w:cs="宋体"/>
          <w:sz w:val="24"/>
          <w:szCs w:val="24"/>
        </w:rPr>
        <w:t>合同未尽事宜，合同当事人另行签订补充协议，补充协议是合同的组成部分。</w:t>
      </w:r>
    </w:p>
    <w:p w14:paraId="6D4FB541">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19" w:name="_Toc9526"/>
      <w:r>
        <w:rPr>
          <w:rFonts w:hint="eastAsia" w:ascii="宋体" w:hAnsi="宋体" w:cs="宋体"/>
          <w:b/>
          <w:bCs/>
          <w:sz w:val="24"/>
          <w:szCs w:val="24"/>
        </w:rPr>
        <w:t>十七、合同份数</w:t>
      </w:r>
      <w:bookmarkEnd w:id="19"/>
    </w:p>
    <w:p w14:paraId="2F2B217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17.1本合同一式</w:t>
      </w:r>
      <w:r>
        <w:rPr>
          <w:rFonts w:hint="eastAsia" w:ascii="宋体" w:hAnsi="宋体" w:cs="宋体"/>
          <w:sz w:val="24"/>
          <w:szCs w:val="24"/>
          <w:u w:val="single"/>
          <w:lang w:val="en-US" w:eastAsia="zh-CN"/>
        </w:rPr>
        <w:t>拾</w:t>
      </w:r>
      <w:r>
        <w:rPr>
          <w:rFonts w:hint="eastAsia" w:ascii="宋体" w:hAnsi="宋体" w:cs="宋体"/>
          <w:sz w:val="24"/>
          <w:szCs w:val="24"/>
          <w:u w:val="single"/>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甲方执</w:t>
      </w:r>
      <w:r>
        <w:rPr>
          <w:rFonts w:hint="eastAsia" w:ascii="宋体" w:hAnsi="宋体" w:cs="宋体"/>
          <w:sz w:val="24"/>
          <w:szCs w:val="24"/>
          <w:u w:val="single"/>
          <w:lang w:val="en-US" w:eastAsia="zh-CN"/>
        </w:rPr>
        <w:t xml:space="preserve"> 陆 </w:t>
      </w:r>
      <w:r>
        <w:rPr>
          <w:rFonts w:hint="eastAsia" w:ascii="宋体" w:hAnsi="宋体" w:cs="宋体"/>
          <w:sz w:val="24"/>
          <w:szCs w:val="24"/>
        </w:rPr>
        <w:t>份，乙方执</w:t>
      </w:r>
      <w:r>
        <w:rPr>
          <w:rFonts w:hint="eastAsia" w:ascii="宋体" w:hAnsi="宋体" w:cs="宋体"/>
          <w:sz w:val="24"/>
          <w:szCs w:val="24"/>
          <w:u w:val="single"/>
          <w:lang w:val="en-US" w:eastAsia="zh-CN"/>
        </w:rPr>
        <w:t xml:space="preserve"> 陆 </w:t>
      </w:r>
      <w:r>
        <w:rPr>
          <w:rFonts w:hint="eastAsia" w:ascii="宋体" w:hAnsi="宋体" w:cs="宋体"/>
          <w:sz w:val="24"/>
          <w:szCs w:val="24"/>
        </w:rPr>
        <w:t>份。</w:t>
      </w:r>
    </w:p>
    <w:p w14:paraId="0FCDA31C">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17.2合同签订地点：</w:t>
      </w:r>
      <w:r>
        <w:rPr>
          <w:rFonts w:hint="eastAsia" w:ascii="宋体" w:hAnsi="宋体" w:cs="宋体"/>
          <w:kern w:val="0"/>
          <w:sz w:val="24"/>
          <w:szCs w:val="24"/>
          <w:u w:val="single"/>
        </w:rPr>
        <w:t>深圳市龙华区</w:t>
      </w:r>
    </w:p>
    <w:p w14:paraId="10D8D353">
      <w:pPr>
        <w:spacing w:before="120" w:beforeLines="50"/>
        <w:rPr>
          <w:rFonts w:ascii="宋体" w:hAnsi="宋体" w:cs="宋体"/>
          <w:sz w:val="24"/>
          <w:szCs w:val="24"/>
        </w:rPr>
      </w:pP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14:paraId="25A9E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3" w:hRule="atLeast"/>
        </w:trPr>
        <w:tc>
          <w:tcPr>
            <w:tcW w:w="4261" w:type="dxa"/>
          </w:tcPr>
          <w:p w14:paraId="5C5D6D60">
            <w:pPr>
              <w:spacing w:line="400" w:lineRule="exact"/>
              <w:rPr>
                <w:rFonts w:hint="eastAsia" w:ascii="宋体" w:hAnsi="宋体" w:cs="宋体"/>
                <w:kern w:val="0"/>
                <w:sz w:val="24"/>
                <w:szCs w:val="24"/>
                <w:u w:val="single"/>
                <w:lang w:eastAsia="zh-CN"/>
              </w:rPr>
            </w:pPr>
            <w:r>
              <w:rPr>
                <w:rFonts w:hint="eastAsia" w:ascii="宋体" w:hAnsi="宋体" w:cs="宋体"/>
                <w:kern w:val="0"/>
                <w:sz w:val="24"/>
                <w:szCs w:val="24"/>
              </w:rPr>
              <w:t>甲方：</w:t>
            </w:r>
            <w:r>
              <w:rPr>
                <w:rFonts w:hint="eastAsia" w:ascii="宋体" w:hAnsi="宋体" w:cs="宋体"/>
                <w:kern w:val="0"/>
                <w:sz w:val="24"/>
                <w:szCs w:val="24"/>
                <w:u w:val="single"/>
              </w:rPr>
              <w:t>（盖章）</w:t>
            </w:r>
            <w:r>
              <w:rPr>
                <w:rFonts w:hint="eastAsia" w:ascii="宋体" w:hAnsi="宋体" w:cs="宋体"/>
                <w:kern w:val="0"/>
                <w:sz w:val="24"/>
                <w:szCs w:val="24"/>
                <w:u w:val="single"/>
                <w:lang w:eastAsia="zh-CN"/>
              </w:rPr>
              <w:t>深圳市新龙观投资发展有限公司</w:t>
            </w:r>
          </w:p>
          <w:p w14:paraId="0F4D1B1A">
            <w:pPr>
              <w:pStyle w:val="2"/>
            </w:pPr>
          </w:p>
        </w:tc>
        <w:tc>
          <w:tcPr>
            <w:tcW w:w="4261" w:type="dxa"/>
          </w:tcPr>
          <w:p w14:paraId="35AF2244">
            <w:pPr>
              <w:spacing w:line="400" w:lineRule="exact"/>
              <w:rPr>
                <w:rFonts w:ascii="宋体" w:hAnsi="Courier New" w:cs="Courier New"/>
                <w:kern w:val="0"/>
                <w:sz w:val="24"/>
                <w:szCs w:val="24"/>
              </w:rPr>
            </w:pPr>
            <w:r>
              <w:rPr>
                <w:rFonts w:hint="eastAsia" w:ascii="宋体" w:hAnsi="宋体" w:cs="宋体"/>
                <w:kern w:val="0"/>
                <w:sz w:val="24"/>
                <w:szCs w:val="24"/>
              </w:rPr>
              <w:t>乙方：</w:t>
            </w:r>
            <w:r>
              <w:rPr>
                <w:rFonts w:hint="eastAsia" w:ascii="宋体" w:hAnsi="宋体" w:cs="宋体"/>
                <w:kern w:val="0"/>
                <w:sz w:val="24"/>
                <w:szCs w:val="24"/>
                <w:u w:val="single"/>
              </w:rPr>
              <w:t>（盖章）</w:t>
            </w:r>
            <w:r>
              <w:rPr>
                <w:rFonts w:hint="eastAsia" w:ascii="宋体" w:hAnsi="宋体" w:cs="宋体"/>
                <w:kern w:val="0"/>
                <w:sz w:val="24"/>
                <w:szCs w:val="24"/>
                <w:u w:val="single"/>
                <w:lang w:eastAsia="zh-CN"/>
              </w:rPr>
              <w:t>xxxx</w:t>
            </w:r>
          </w:p>
        </w:tc>
      </w:tr>
      <w:tr w14:paraId="3C249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4261" w:type="dxa"/>
          </w:tcPr>
          <w:p w14:paraId="71DDD5CB">
            <w:pPr>
              <w:spacing w:line="400" w:lineRule="exact"/>
              <w:rPr>
                <w:rFonts w:ascii="宋体" w:hAnsi="Courier New" w:cs="Courier New"/>
                <w:kern w:val="0"/>
                <w:sz w:val="24"/>
                <w:szCs w:val="24"/>
              </w:rPr>
            </w:pPr>
            <w:r>
              <w:rPr>
                <w:rFonts w:hint="eastAsia" w:ascii="宋体" w:hAnsi="宋体" w:cs="宋体"/>
                <w:kern w:val="0"/>
                <w:sz w:val="24"/>
                <w:szCs w:val="24"/>
              </w:rPr>
              <w:t>法定代表人或其委托代理人：（签名）</w:t>
            </w:r>
          </w:p>
        </w:tc>
        <w:tc>
          <w:tcPr>
            <w:tcW w:w="4261" w:type="dxa"/>
          </w:tcPr>
          <w:p w14:paraId="1714846F">
            <w:pPr>
              <w:spacing w:line="400" w:lineRule="exact"/>
              <w:jc w:val="left"/>
              <w:rPr>
                <w:kern w:val="0"/>
                <w:sz w:val="24"/>
                <w:szCs w:val="24"/>
              </w:rPr>
            </w:pPr>
            <w:r>
              <w:rPr>
                <w:rFonts w:hint="eastAsia" w:ascii="宋体" w:hAnsi="宋体" w:cs="宋体"/>
                <w:kern w:val="0"/>
                <w:sz w:val="24"/>
                <w:szCs w:val="24"/>
              </w:rPr>
              <w:t>法定代表人或其委托代理人：（签名）</w:t>
            </w:r>
          </w:p>
        </w:tc>
      </w:tr>
      <w:tr w14:paraId="48151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4261" w:type="dxa"/>
          </w:tcPr>
          <w:p w14:paraId="6888D7B8">
            <w:pPr>
              <w:spacing w:line="400" w:lineRule="exact"/>
              <w:rPr>
                <w:rFonts w:hint="eastAsia" w:ascii="宋体" w:hAnsi="宋体" w:cs="宋体"/>
                <w:kern w:val="0"/>
                <w:sz w:val="24"/>
                <w:szCs w:val="24"/>
              </w:rPr>
            </w:pPr>
          </w:p>
        </w:tc>
        <w:tc>
          <w:tcPr>
            <w:tcW w:w="4261" w:type="dxa"/>
          </w:tcPr>
          <w:p w14:paraId="3016577F">
            <w:pPr>
              <w:spacing w:line="400" w:lineRule="exact"/>
              <w:jc w:val="left"/>
              <w:rPr>
                <w:rFonts w:hint="eastAsia" w:ascii="宋体" w:hAnsi="宋体" w:cs="宋体"/>
                <w:kern w:val="0"/>
                <w:sz w:val="24"/>
                <w:szCs w:val="24"/>
              </w:rPr>
            </w:pPr>
          </w:p>
        </w:tc>
      </w:tr>
      <w:tr w14:paraId="32095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4261" w:type="dxa"/>
          </w:tcPr>
          <w:p w14:paraId="368C2958">
            <w:pPr>
              <w:spacing w:line="400" w:lineRule="exact"/>
              <w:rPr>
                <w:rFonts w:hint="eastAsia" w:ascii="宋体" w:hAnsi="宋体" w:cs="宋体"/>
                <w:kern w:val="0"/>
                <w:sz w:val="24"/>
                <w:szCs w:val="24"/>
                <w:u w:val="single"/>
              </w:rPr>
            </w:pPr>
            <w:r>
              <w:rPr>
                <w:rFonts w:hint="eastAsia" w:ascii="宋体" w:hAnsi="宋体" w:cs="宋体"/>
                <w:kern w:val="0"/>
                <w:sz w:val="24"/>
                <w:szCs w:val="24"/>
              </w:rPr>
              <w:t>统一社会信用代码：</w:t>
            </w:r>
            <w:r>
              <w:rPr>
                <w:rFonts w:hint="eastAsia" w:ascii="宋体" w:hAnsi="宋体" w:cs="宋体"/>
                <w:kern w:val="0"/>
                <w:sz w:val="24"/>
                <w:szCs w:val="24"/>
                <w:u w:val="single"/>
              </w:rPr>
              <w:t>91440300MA5H3J8A2K</w:t>
            </w:r>
          </w:p>
          <w:p w14:paraId="6E3423F5">
            <w:pPr>
              <w:spacing w:line="400" w:lineRule="exact"/>
              <w:rPr>
                <w:rFonts w:hint="eastAsia" w:ascii="宋体" w:hAnsi="宋体" w:cs="宋体"/>
                <w:kern w:val="0"/>
                <w:sz w:val="24"/>
                <w:szCs w:val="24"/>
                <w:u w:val="single"/>
              </w:rPr>
            </w:pPr>
          </w:p>
        </w:tc>
        <w:tc>
          <w:tcPr>
            <w:tcW w:w="4261" w:type="dxa"/>
          </w:tcPr>
          <w:p w14:paraId="21B83153">
            <w:pPr>
              <w:spacing w:line="400" w:lineRule="exact"/>
              <w:rPr>
                <w:rFonts w:hint="default" w:ascii="宋体" w:hAnsi="Courier New" w:eastAsia="宋体" w:cs="Courier New"/>
                <w:kern w:val="0"/>
                <w:sz w:val="24"/>
                <w:szCs w:val="24"/>
                <w:lang w:val="en-US" w:eastAsia="zh-CN"/>
              </w:rPr>
            </w:pPr>
            <w:r>
              <w:rPr>
                <w:rFonts w:hint="eastAsia" w:ascii="宋体" w:hAnsi="宋体" w:cs="宋体"/>
                <w:kern w:val="0"/>
                <w:sz w:val="24"/>
                <w:szCs w:val="24"/>
              </w:rPr>
              <w:t>统一社会信用代码：</w:t>
            </w:r>
            <w:r>
              <w:rPr>
                <w:rFonts w:hint="eastAsia" w:ascii="宋体" w:hAnsi="宋体" w:cs="宋体"/>
                <w:kern w:val="0"/>
                <w:sz w:val="24"/>
                <w:szCs w:val="24"/>
                <w:u w:val="single"/>
                <w:lang w:val="en-US" w:eastAsia="zh-CN"/>
              </w:rPr>
              <w:t xml:space="preserve">        </w:t>
            </w:r>
          </w:p>
        </w:tc>
      </w:tr>
      <w:tr w14:paraId="45A75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4261" w:type="dxa"/>
          </w:tcPr>
          <w:p w14:paraId="3F7DA0F7">
            <w:pPr>
              <w:spacing w:line="400" w:lineRule="exact"/>
              <w:rPr>
                <w:rFonts w:ascii="宋体" w:hAnsi="Courier New" w:cs="Courier New"/>
                <w:kern w:val="0"/>
                <w:sz w:val="24"/>
                <w:szCs w:val="24"/>
              </w:rPr>
            </w:pPr>
            <w:r>
              <w:rPr>
                <w:rFonts w:hint="eastAsia" w:ascii="宋体" w:hAnsi="宋体" w:cs="宋体"/>
                <w:kern w:val="0"/>
                <w:sz w:val="24"/>
                <w:szCs w:val="24"/>
              </w:rPr>
              <w:t>地址：</w:t>
            </w:r>
            <w:r>
              <w:rPr>
                <w:rFonts w:hint="eastAsia" w:ascii="宋体" w:hAnsi="Courier New" w:cs="Courier New"/>
                <w:kern w:val="0"/>
                <w:sz w:val="24"/>
                <w:szCs w:val="24"/>
                <w:u w:val="single"/>
              </w:rPr>
              <w:t>深圳市龙华区观盛三路龙馨家园A座</w:t>
            </w:r>
          </w:p>
        </w:tc>
        <w:tc>
          <w:tcPr>
            <w:tcW w:w="4261" w:type="dxa"/>
          </w:tcPr>
          <w:p w14:paraId="15C1AACC">
            <w:pPr>
              <w:spacing w:line="400" w:lineRule="exact"/>
              <w:rPr>
                <w:rFonts w:hint="default" w:ascii="宋体" w:hAnsi="Courier New" w:cs="Courier New"/>
                <w:kern w:val="0"/>
                <w:sz w:val="24"/>
                <w:szCs w:val="24"/>
                <w:lang w:val="en-US"/>
              </w:rPr>
            </w:pPr>
            <w:r>
              <w:rPr>
                <w:rFonts w:hint="eastAsia" w:ascii="宋体" w:hAnsi="宋体" w:cs="宋体"/>
                <w:kern w:val="0"/>
                <w:sz w:val="24"/>
                <w:szCs w:val="24"/>
              </w:rPr>
              <w:t>地址：</w:t>
            </w:r>
            <w:r>
              <w:rPr>
                <w:rFonts w:hint="eastAsia" w:ascii="宋体" w:hAnsi="Courier New" w:cs="Courier New"/>
                <w:kern w:val="0"/>
                <w:sz w:val="24"/>
                <w:szCs w:val="24"/>
                <w:u w:val="single"/>
                <w:lang w:val="en-US" w:eastAsia="zh-CN"/>
              </w:rPr>
              <w:t xml:space="preserve">                  </w:t>
            </w:r>
          </w:p>
        </w:tc>
      </w:tr>
      <w:tr w14:paraId="473E2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4261" w:type="dxa"/>
          </w:tcPr>
          <w:p w14:paraId="550ECE5C">
            <w:pPr>
              <w:spacing w:line="400" w:lineRule="exact"/>
              <w:rPr>
                <w:rFonts w:ascii="宋体" w:hAnsi="Courier New" w:cs="Courier New"/>
                <w:kern w:val="0"/>
                <w:sz w:val="24"/>
                <w:szCs w:val="24"/>
              </w:rPr>
            </w:pPr>
            <w:r>
              <w:rPr>
                <w:rFonts w:hint="eastAsia" w:ascii="宋体" w:hAnsi="宋体" w:cs="宋体"/>
                <w:kern w:val="0"/>
                <w:sz w:val="24"/>
                <w:szCs w:val="24"/>
              </w:rPr>
              <w:t>邮政编码：</w:t>
            </w:r>
          </w:p>
        </w:tc>
        <w:tc>
          <w:tcPr>
            <w:tcW w:w="4261" w:type="dxa"/>
          </w:tcPr>
          <w:p w14:paraId="667BD6C6">
            <w:pPr>
              <w:spacing w:line="400" w:lineRule="exact"/>
              <w:rPr>
                <w:rFonts w:ascii="宋体" w:hAnsi="Courier New" w:cs="Courier New"/>
                <w:kern w:val="0"/>
                <w:sz w:val="24"/>
                <w:szCs w:val="24"/>
              </w:rPr>
            </w:pPr>
            <w:r>
              <w:rPr>
                <w:rFonts w:hint="eastAsia" w:ascii="宋体" w:hAnsi="宋体" w:cs="宋体"/>
                <w:kern w:val="0"/>
                <w:sz w:val="24"/>
                <w:szCs w:val="24"/>
              </w:rPr>
              <w:t>邮政编码：</w:t>
            </w:r>
          </w:p>
        </w:tc>
      </w:tr>
      <w:tr w14:paraId="078A1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4261" w:type="dxa"/>
          </w:tcPr>
          <w:p w14:paraId="64569675">
            <w:pPr>
              <w:spacing w:line="400" w:lineRule="exact"/>
              <w:rPr>
                <w:rFonts w:ascii="宋体" w:hAnsi="Courier New" w:cs="Courier New"/>
                <w:kern w:val="0"/>
                <w:sz w:val="24"/>
                <w:szCs w:val="24"/>
              </w:rPr>
            </w:pPr>
            <w:r>
              <w:rPr>
                <w:rFonts w:hint="eastAsia" w:ascii="宋体" w:hAnsi="宋体" w:cs="宋体"/>
                <w:kern w:val="0"/>
                <w:sz w:val="24"/>
                <w:szCs w:val="24"/>
              </w:rPr>
              <w:t>法定代表人：</w:t>
            </w:r>
          </w:p>
        </w:tc>
        <w:tc>
          <w:tcPr>
            <w:tcW w:w="4261" w:type="dxa"/>
          </w:tcPr>
          <w:p w14:paraId="73136F86">
            <w:pPr>
              <w:spacing w:line="400" w:lineRule="exact"/>
              <w:rPr>
                <w:rFonts w:ascii="宋体" w:hAnsi="Courier New" w:cs="Courier New"/>
                <w:kern w:val="0"/>
                <w:sz w:val="24"/>
                <w:szCs w:val="24"/>
              </w:rPr>
            </w:pPr>
            <w:r>
              <w:rPr>
                <w:rFonts w:hint="eastAsia" w:ascii="宋体" w:hAnsi="宋体" w:cs="宋体"/>
                <w:kern w:val="0"/>
                <w:sz w:val="24"/>
                <w:szCs w:val="24"/>
              </w:rPr>
              <w:t>法定代表人：</w:t>
            </w:r>
          </w:p>
        </w:tc>
      </w:tr>
      <w:tr w14:paraId="733D8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4261" w:type="dxa"/>
          </w:tcPr>
          <w:p w14:paraId="2C2297F3">
            <w:pPr>
              <w:spacing w:line="400" w:lineRule="exact"/>
              <w:rPr>
                <w:rFonts w:ascii="宋体" w:hAnsi="Courier New" w:cs="Courier New"/>
                <w:kern w:val="0"/>
                <w:sz w:val="24"/>
                <w:szCs w:val="24"/>
              </w:rPr>
            </w:pPr>
            <w:r>
              <w:rPr>
                <w:rFonts w:hint="eastAsia" w:ascii="宋体" w:hAnsi="宋体" w:cs="宋体"/>
                <w:kern w:val="0"/>
                <w:sz w:val="24"/>
                <w:szCs w:val="24"/>
                <w:lang w:val="en-US" w:eastAsia="zh-CN"/>
              </w:rPr>
              <w:t>或</w:t>
            </w:r>
            <w:r>
              <w:rPr>
                <w:rFonts w:hint="eastAsia" w:ascii="宋体" w:hAnsi="宋体" w:cs="宋体"/>
                <w:kern w:val="0"/>
                <w:sz w:val="24"/>
                <w:szCs w:val="24"/>
              </w:rPr>
              <w:t>委托代理人：</w:t>
            </w:r>
          </w:p>
        </w:tc>
        <w:tc>
          <w:tcPr>
            <w:tcW w:w="4261" w:type="dxa"/>
          </w:tcPr>
          <w:p w14:paraId="7C9385A1">
            <w:pPr>
              <w:spacing w:line="400" w:lineRule="exact"/>
              <w:rPr>
                <w:rFonts w:hint="eastAsia" w:ascii="宋体" w:hAnsi="Courier New" w:eastAsia="宋体" w:cs="Courier New"/>
                <w:kern w:val="0"/>
                <w:sz w:val="24"/>
                <w:szCs w:val="24"/>
                <w:lang w:val="en-US" w:eastAsia="zh-CN"/>
              </w:rPr>
            </w:pPr>
            <w:r>
              <w:rPr>
                <w:rFonts w:hint="eastAsia" w:ascii="宋体" w:hAnsi="Courier New" w:cs="Courier New"/>
                <w:kern w:val="0"/>
                <w:sz w:val="24"/>
                <w:szCs w:val="24"/>
                <w:lang w:val="en-US" w:eastAsia="zh-CN"/>
              </w:rPr>
              <w:t>或</w:t>
            </w:r>
            <w:r>
              <w:rPr>
                <w:rFonts w:hint="eastAsia" w:ascii="宋体" w:hAnsi="宋体" w:cs="宋体"/>
                <w:kern w:val="0"/>
                <w:sz w:val="24"/>
                <w:szCs w:val="24"/>
              </w:rPr>
              <w:t>委托代理人：</w:t>
            </w:r>
          </w:p>
        </w:tc>
      </w:tr>
      <w:tr w14:paraId="3FCBF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4261" w:type="dxa"/>
          </w:tcPr>
          <w:p w14:paraId="49189C2E">
            <w:pPr>
              <w:spacing w:line="400" w:lineRule="exact"/>
              <w:rPr>
                <w:rFonts w:ascii="宋体" w:hAnsi="Courier New" w:cs="Courier New"/>
                <w:kern w:val="0"/>
                <w:sz w:val="24"/>
                <w:szCs w:val="24"/>
              </w:rPr>
            </w:pPr>
          </w:p>
        </w:tc>
        <w:tc>
          <w:tcPr>
            <w:tcW w:w="4261" w:type="dxa"/>
          </w:tcPr>
          <w:p w14:paraId="7F6B951B">
            <w:pPr>
              <w:spacing w:line="400" w:lineRule="exact"/>
              <w:rPr>
                <w:rFonts w:ascii="宋体" w:hAnsi="Courier New" w:cs="Courier New"/>
                <w:kern w:val="0"/>
                <w:sz w:val="24"/>
                <w:szCs w:val="24"/>
              </w:rPr>
            </w:pPr>
          </w:p>
        </w:tc>
      </w:tr>
      <w:tr w14:paraId="369FE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4261" w:type="dxa"/>
          </w:tcPr>
          <w:p w14:paraId="04F3EDA1">
            <w:pPr>
              <w:spacing w:line="400" w:lineRule="exact"/>
              <w:rPr>
                <w:rFonts w:ascii="宋体" w:hAnsi="Courier New" w:cs="Courier New"/>
                <w:kern w:val="0"/>
                <w:sz w:val="24"/>
                <w:szCs w:val="24"/>
              </w:rPr>
            </w:pPr>
            <w:r>
              <w:rPr>
                <w:rFonts w:hint="eastAsia" w:ascii="宋体" w:hAnsi="宋体" w:cs="宋体"/>
                <w:kern w:val="0"/>
                <w:sz w:val="24"/>
                <w:szCs w:val="24"/>
              </w:rPr>
              <w:t>电话：</w:t>
            </w:r>
          </w:p>
        </w:tc>
        <w:tc>
          <w:tcPr>
            <w:tcW w:w="4261" w:type="dxa"/>
          </w:tcPr>
          <w:p w14:paraId="6DDB4240">
            <w:pPr>
              <w:spacing w:line="400" w:lineRule="exact"/>
              <w:rPr>
                <w:rFonts w:ascii="宋体" w:hAnsi="Courier New" w:cs="Courier New"/>
                <w:kern w:val="0"/>
                <w:sz w:val="24"/>
                <w:szCs w:val="24"/>
                <w:u w:val="none"/>
              </w:rPr>
            </w:pPr>
            <w:r>
              <w:rPr>
                <w:rFonts w:hint="eastAsia" w:ascii="宋体" w:hAnsi="宋体" w:cs="宋体"/>
                <w:kern w:val="0"/>
                <w:sz w:val="24"/>
                <w:szCs w:val="24"/>
                <w:u w:val="none"/>
              </w:rPr>
              <w:t>电话：</w:t>
            </w:r>
            <w:r>
              <w:rPr>
                <w:rFonts w:hint="eastAsia" w:ascii="宋体" w:hAnsi="宋体" w:cs="宋体"/>
                <w:kern w:val="0"/>
                <w:sz w:val="24"/>
                <w:szCs w:val="24"/>
                <w:u w:val="none"/>
                <w:lang w:eastAsia="zh-CN"/>
              </w:rPr>
              <w:t>：</w:t>
            </w:r>
            <w:r>
              <w:rPr>
                <w:rFonts w:hint="eastAsia" w:ascii="宋体" w:hAnsi="宋体" w:cs="宋体"/>
                <w:kern w:val="0"/>
                <w:sz w:val="24"/>
                <w:szCs w:val="24"/>
                <w:u w:val="none"/>
                <w:lang w:val="en-US" w:eastAsia="zh-CN"/>
              </w:rPr>
              <w:t xml:space="preserve"> </w:t>
            </w:r>
          </w:p>
        </w:tc>
      </w:tr>
      <w:tr w14:paraId="2721E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trPr>
        <w:tc>
          <w:tcPr>
            <w:tcW w:w="4261" w:type="dxa"/>
          </w:tcPr>
          <w:p w14:paraId="0B0CE3A4">
            <w:pPr>
              <w:spacing w:line="400" w:lineRule="exact"/>
              <w:rPr>
                <w:rFonts w:ascii="宋体" w:hAnsi="Courier New" w:cs="Courier New"/>
                <w:kern w:val="0"/>
                <w:sz w:val="24"/>
                <w:szCs w:val="24"/>
              </w:rPr>
            </w:pPr>
            <w:r>
              <w:rPr>
                <w:rFonts w:hint="eastAsia" w:ascii="宋体" w:hAnsi="宋体" w:cs="宋体"/>
                <w:kern w:val="0"/>
                <w:sz w:val="24"/>
                <w:szCs w:val="24"/>
              </w:rPr>
              <w:t>传真：</w:t>
            </w:r>
          </w:p>
        </w:tc>
        <w:tc>
          <w:tcPr>
            <w:tcW w:w="4261" w:type="dxa"/>
          </w:tcPr>
          <w:p w14:paraId="53BCDF9B">
            <w:pPr>
              <w:spacing w:line="400" w:lineRule="exact"/>
              <w:rPr>
                <w:rFonts w:hint="eastAsia" w:ascii="宋体" w:hAnsi="Courier New" w:eastAsia="宋体" w:cs="Courier New"/>
                <w:kern w:val="0"/>
                <w:sz w:val="24"/>
                <w:szCs w:val="24"/>
                <w:u w:val="none"/>
                <w:lang w:eastAsia="zh-CN"/>
              </w:rPr>
            </w:pPr>
            <w:r>
              <w:rPr>
                <w:rFonts w:hint="eastAsia" w:ascii="宋体" w:hAnsi="宋体" w:cs="宋体"/>
                <w:kern w:val="0"/>
                <w:sz w:val="24"/>
                <w:szCs w:val="24"/>
                <w:u w:val="none"/>
              </w:rPr>
              <w:t>传真：</w:t>
            </w:r>
            <w:r>
              <w:rPr>
                <w:rFonts w:hint="eastAsia" w:ascii="宋体" w:hAnsi="宋体" w:cs="宋体"/>
                <w:kern w:val="0"/>
                <w:sz w:val="24"/>
                <w:szCs w:val="24"/>
                <w:u w:val="none"/>
                <w:lang w:val="en-US" w:eastAsia="zh-CN"/>
              </w:rPr>
              <w:t xml:space="preserve"> </w:t>
            </w:r>
          </w:p>
        </w:tc>
      </w:tr>
      <w:tr w14:paraId="153F7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261" w:type="dxa"/>
          </w:tcPr>
          <w:p w14:paraId="3E4AAA6B">
            <w:pPr>
              <w:spacing w:line="400" w:lineRule="exact"/>
              <w:rPr>
                <w:rFonts w:ascii="宋体" w:hAnsi="宋体" w:cs="宋体"/>
                <w:kern w:val="0"/>
                <w:sz w:val="24"/>
                <w:szCs w:val="24"/>
              </w:rPr>
            </w:pPr>
            <w:r>
              <w:rPr>
                <w:rFonts w:hint="eastAsia" w:ascii="宋体" w:hAnsi="宋体" w:cs="宋体"/>
                <w:kern w:val="0"/>
                <w:sz w:val="24"/>
                <w:szCs w:val="24"/>
              </w:rPr>
              <w:t>电子信箱：</w:t>
            </w:r>
          </w:p>
        </w:tc>
        <w:tc>
          <w:tcPr>
            <w:tcW w:w="4261" w:type="dxa"/>
          </w:tcPr>
          <w:p w14:paraId="354B4B59">
            <w:pPr>
              <w:spacing w:line="400" w:lineRule="exact"/>
              <w:rPr>
                <w:rFonts w:ascii="宋体" w:hAnsi="宋体" w:cs="宋体"/>
                <w:kern w:val="0"/>
                <w:sz w:val="24"/>
                <w:szCs w:val="24"/>
                <w:u w:val="none"/>
              </w:rPr>
            </w:pPr>
            <w:r>
              <w:rPr>
                <w:rFonts w:hint="eastAsia" w:ascii="宋体" w:hAnsi="宋体" w:cs="宋体"/>
                <w:kern w:val="0"/>
                <w:sz w:val="24"/>
                <w:szCs w:val="24"/>
                <w:u w:val="none"/>
              </w:rPr>
              <w:t>电子信箱：</w:t>
            </w:r>
            <w:r>
              <w:rPr>
                <w:rFonts w:hint="eastAsia" w:ascii="宋体" w:hAnsi="宋体"/>
                <w:sz w:val="24"/>
                <w:szCs w:val="24"/>
                <w:u w:val="none"/>
                <w:lang w:val="en-US" w:eastAsia="zh-CN"/>
              </w:rPr>
              <w:t xml:space="preserve"> </w:t>
            </w:r>
          </w:p>
        </w:tc>
      </w:tr>
      <w:tr w14:paraId="69EBA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4261" w:type="dxa"/>
          </w:tcPr>
          <w:p w14:paraId="01C0CC2D">
            <w:pPr>
              <w:spacing w:line="400" w:lineRule="exact"/>
              <w:rPr>
                <w:rFonts w:ascii="宋体" w:hAnsi="宋体" w:cs="宋体"/>
                <w:kern w:val="0"/>
                <w:sz w:val="24"/>
                <w:szCs w:val="24"/>
              </w:rPr>
            </w:pPr>
            <w:r>
              <w:rPr>
                <w:rFonts w:hint="eastAsia" w:ascii="宋体" w:hAnsi="宋体" w:cs="宋体"/>
                <w:kern w:val="0"/>
                <w:sz w:val="24"/>
                <w:szCs w:val="24"/>
              </w:rPr>
              <w:t>开户银行：</w:t>
            </w:r>
          </w:p>
        </w:tc>
        <w:tc>
          <w:tcPr>
            <w:tcW w:w="4261" w:type="dxa"/>
          </w:tcPr>
          <w:p w14:paraId="698EDB59">
            <w:pPr>
              <w:spacing w:line="400" w:lineRule="exact"/>
              <w:rPr>
                <w:rFonts w:ascii="宋体" w:hAnsi="宋体" w:cs="宋体"/>
                <w:kern w:val="0"/>
                <w:sz w:val="24"/>
                <w:szCs w:val="24"/>
                <w:u w:val="none"/>
              </w:rPr>
            </w:pPr>
            <w:r>
              <w:rPr>
                <w:rFonts w:hint="eastAsia" w:ascii="宋体" w:hAnsi="宋体" w:cs="宋体"/>
                <w:kern w:val="0"/>
                <w:sz w:val="24"/>
                <w:szCs w:val="24"/>
                <w:u w:val="none"/>
              </w:rPr>
              <w:t>开户银行：</w:t>
            </w:r>
            <w:r>
              <w:rPr>
                <w:rFonts w:hint="eastAsia" w:ascii="宋体" w:hAnsi="Courier New" w:cs="Courier New"/>
                <w:kern w:val="0"/>
                <w:sz w:val="24"/>
                <w:szCs w:val="24"/>
                <w:u w:val="none"/>
                <w:lang w:val="en-US" w:eastAsia="zh-CN"/>
              </w:rPr>
              <w:t xml:space="preserve"> </w:t>
            </w:r>
          </w:p>
        </w:tc>
      </w:tr>
      <w:tr w14:paraId="34AAB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4261" w:type="dxa"/>
          </w:tcPr>
          <w:p w14:paraId="17CF4BA9">
            <w:pPr>
              <w:spacing w:line="400" w:lineRule="exact"/>
              <w:rPr>
                <w:rFonts w:ascii="宋体" w:hAnsi="宋体" w:cs="宋体"/>
                <w:kern w:val="0"/>
                <w:sz w:val="24"/>
                <w:szCs w:val="24"/>
              </w:rPr>
            </w:pPr>
            <w:r>
              <w:rPr>
                <w:rFonts w:hint="eastAsia" w:ascii="宋体" w:hAnsi="宋体" w:cs="宋体"/>
                <w:kern w:val="0"/>
                <w:sz w:val="24"/>
                <w:szCs w:val="24"/>
              </w:rPr>
              <w:t>账号：</w:t>
            </w:r>
          </w:p>
        </w:tc>
        <w:tc>
          <w:tcPr>
            <w:tcW w:w="4261" w:type="dxa"/>
          </w:tcPr>
          <w:p w14:paraId="37C4F307">
            <w:pPr>
              <w:spacing w:line="400" w:lineRule="exact"/>
              <w:rPr>
                <w:rFonts w:ascii="宋体" w:hAnsi="宋体" w:cs="宋体"/>
                <w:kern w:val="0"/>
                <w:sz w:val="24"/>
                <w:szCs w:val="24"/>
                <w:u w:val="none"/>
              </w:rPr>
            </w:pPr>
            <w:r>
              <w:rPr>
                <w:rFonts w:hint="eastAsia" w:ascii="宋体" w:hAnsi="宋体" w:cs="宋体"/>
                <w:kern w:val="0"/>
                <w:sz w:val="24"/>
                <w:szCs w:val="24"/>
                <w:u w:val="none"/>
              </w:rPr>
              <w:t>账号：</w:t>
            </w:r>
            <w:r>
              <w:rPr>
                <w:rFonts w:hint="eastAsia" w:ascii="宋体" w:hAnsi="宋体" w:cs="宋体"/>
                <w:kern w:val="0"/>
                <w:sz w:val="24"/>
                <w:szCs w:val="24"/>
                <w:u w:val="none"/>
                <w:lang w:val="en-US" w:eastAsia="zh-CN"/>
              </w:rPr>
              <w:t xml:space="preserve"> </w:t>
            </w:r>
            <w:r>
              <w:rPr>
                <w:rFonts w:hint="eastAsia" w:ascii="宋体" w:hAnsi="宋体" w:cs="宋体"/>
                <w:kern w:val="0"/>
                <w:sz w:val="24"/>
                <w:szCs w:val="24"/>
                <w:u w:val="none"/>
              </w:rPr>
              <w:t></w:t>
            </w:r>
          </w:p>
        </w:tc>
      </w:tr>
      <w:tr w14:paraId="6F8C8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4261" w:type="dxa"/>
          </w:tcPr>
          <w:p w14:paraId="082439B2">
            <w:pPr>
              <w:spacing w:line="400" w:lineRule="exact"/>
              <w:rPr>
                <w:rFonts w:hint="default" w:ascii="宋体" w:hAnsi="宋体" w:cs="宋体"/>
                <w:kern w:val="0"/>
                <w:sz w:val="24"/>
                <w:szCs w:val="24"/>
                <w:lang w:val="en-US" w:eastAsia="zh-CN"/>
              </w:rPr>
            </w:pPr>
            <w:r>
              <w:rPr>
                <w:rFonts w:hint="eastAsia" w:ascii="宋体" w:hAnsi="宋体" w:cs="宋体"/>
                <w:kern w:val="0"/>
                <w:sz w:val="24"/>
                <w:szCs w:val="24"/>
                <w:lang w:val="en-US" w:eastAsia="zh-CN"/>
              </w:rPr>
              <w:t>合同联系人：高工</w:t>
            </w:r>
          </w:p>
          <w:p w14:paraId="0B396958">
            <w:pPr>
              <w:spacing w:line="400" w:lineRule="exact"/>
              <w:rPr>
                <w:rFonts w:hint="default" w:ascii="宋体" w:hAnsi="宋体" w:cs="宋体"/>
                <w:kern w:val="0"/>
                <w:sz w:val="24"/>
                <w:szCs w:val="24"/>
                <w:lang w:val="en-US" w:eastAsia="zh-CN"/>
              </w:rPr>
            </w:pPr>
            <w:r>
              <w:rPr>
                <w:rFonts w:hint="eastAsia" w:ascii="宋体" w:hAnsi="宋体" w:cs="宋体"/>
                <w:kern w:val="0"/>
                <w:sz w:val="24"/>
                <w:szCs w:val="24"/>
                <w:lang w:val="en-US" w:eastAsia="zh-CN"/>
              </w:rPr>
              <w:t>联系方式：0755 2980 9916</w:t>
            </w:r>
          </w:p>
        </w:tc>
        <w:tc>
          <w:tcPr>
            <w:tcW w:w="4261" w:type="dxa"/>
          </w:tcPr>
          <w:p w14:paraId="0614AF65">
            <w:pPr>
              <w:spacing w:line="400" w:lineRule="exact"/>
              <w:rPr>
                <w:rFonts w:hint="eastAsia" w:ascii="宋体" w:hAnsi="宋体" w:cs="宋体"/>
                <w:kern w:val="0"/>
                <w:sz w:val="24"/>
                <w:szCs w:val="24"/>
                <w:lang w:val="en-US" w:eastAsia="zh-CN"/>
              </w:rPr>
            </w:pPr>
            <w:r>
              <w:rPr>
                <w:rFonts w:hint="eastAsia" w:ascii="宋体" w:hAnsi="宋体" w:cs="宋体"/>
                <w:kern w:val="0"/>
                <w:sz w:val="24"/>
                <w:szCs w:val="24"/>
                <w:lang w:val="en-US" w:eastAsia="zh-CN"/>
              </w:rPr>
              <w:t xml:space="preserve">合同联系人： </w:t>
            </w:r>
          </w:p>
          <w:p w14:paraId="0A5F3F4A">
            <w:pPr>
              <w:spacing w:line="400" w:lineRule="exact"/>
              <w:rPr>
                <w:rFonts w:hint="default" w:ascii="宋体" w:hAnsi="宋体" w:cs="宋体"/>
                <w:kern w:val="0"/>
                <w:sz w:val="24"/>
                <w:szCs w:val="24"/>
                <w:lang w:val="en-US" w:eastAsia="zh-CN"/>
              </w:rPr>
            </w:pPr>
            <w:r>
              <w:rPr>
                <w:rFonts w:hint="eastAsia" w:ascii="宋体" w:hAnsi="宋体" w:cs="宋体"/>
                <w:kern w:val="0"/>
                <w:sz w:val="24"/>
                <w:szCs w:val="24"/>
                <w:lang w:val="en-US" w:eastAsia="zh-CN"/>
              </w:rPr>
              <w:t xml:space="preserve">联系方式： </w:t>
            </w:r>
          </w:p>
          <w:p w14:paraId="0DC13952">
            <w:pPr>
              <w:pStyle w:val="2"/>
              <w:rPr>
                <w:rFonts w:hint="default"/>
                <w:lang w:val="en-US" w:eastAsia="zh-CN"/>
              </w:rPr>
            </w:pPr>
          </w:p>
        </w:tc>
      </w:tr>
      <w:tr w14:paraId="5D3C1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4261" w:type="dxa"/>
          </w:tcPr>
          <w:p w14:paraId="067D2D05">
            <w:pPr>
              <w:spacing w:line="400" w:lineRule="exact"/>
              <w:rPr>
                <w:rFonts w:ascii="宋体" w:hAnsi="宋体" w:cs="宋体"/>
                <w:kern w:val="0"/>
                <w:sz w:val="24"/>
                <w:szCs w:val="24"/>
              </w:rPr>
            </w:pPr>
            <w:r>
              <w:rPr>
                <w:rFonts w:hint="eastAsia" w:ascii="宋体" w:hAnsi="宋体" w:cs="宋体"/>
                <w:kern w:val="0"/>
                <w:sz w:val="24"/>
                <w:szCs w:val="24"/>
              </w:rPr>
              <w:t>合同签订时间：</w:t>
            </w:r>
            <w:r>
              <w:rPr>
                <w:rFonts w:hint="eastAsia" w:ascii="宋体" w:hAnsi="宋体" w:cs="宋体"/>
                <w:kern w:val="0"/>
                <w:sz w:val="24"/>
                <w:szCs w:val="24"/>
                <w:lang w:val="en-US" w:eastAsia="zh-CN"/>
              </w:rPr>
              <w:t xml:space="preserve">2025 </w:t>
            </w:r>
            <w:r>
              <w:rPr>
                <w:rFonts w:hint="eastAsia" w:ascii="宋体" w:hAnsi="宋体" w:cs="宋体"/>
                <w:kern w:val="0"/>
                <w:sz w:val="24"/>
                <w:szCs w:val="24"/>
              </w:rPr>
              <w:t>年</w:t>
            </w:r>
            <w:r>
              <w:rPr>
                <w:rFonts w:hint="eastAsia" w:ascii="宋体" w:hAnsi="宋体" w:cs="宋体"/>
                <w:kern w:val="0"/>
                <w:sz w:val="24"/>
                <w:szCs w:val="24"/>
                <w:lang w:val="en-US" w:eastAsia="zh-CN"/>
              </w:rPr>
              <w:t xml:space="preserve"> </w:t>
            </w:r>
            <w:r>
              <w:rPr>
                <w:rFonts w:hint="eastAsia" w:ascii="宋体" w:hAnsi="宋体" w:cs="宋体"/>
                <w:kern w:val="0"/>
                <w:sz w:val="24"/>
                <w:szCs w:val="24"/>
              </w:rPr>
              <w:t>月</w:t>
            </w:r>
            <w:r>
              <w:rPr>
                <w:rFonts w:hint="eastAsia" w:ascii="宋体" w:hAnsi="宋体" w:cs="宋体"/>
                <w:kern w:val="0"/>
                <w:sz w:val="24"/>
                <w:szCs w:val="24"/>
                <w:lang w:val="en-US" w:eastAsia="zh-CN"/>
              </w:rPr>
              <w:t xml:space="preserve"> </w:t>
            </w:r>
            <w:r>
              <w:rPr>
                <w:rFonts w:hint="eastAsia" w:ascii="宋体" w:hAnsi="宋体" w:cs="宋体"/>
                <w:kern w:val="0"/>
                <w:sz w:val="24"/>
                <w:szCs w:val="24"/>
              </w:rPr>
              <w:t>日</w:t>
            </w:r>
          </w:p>
        </w:tc>
        <w:tc>
          <w:tcPr>
            <w:tcW w:w="4261" w:type="dxa"/>
          </w:tcPr>
          <w:p w14:paraId="564F3298">
            <w:pPr>
              <w:spacing w:line="400" w:lineRule="exact"/>
              <w:rPr>
                <w:rFonts w:ascii="宋体" w:hAnsi="宋体" w:cs="宋体"/>
                <w:kern w:val="0"/>
                <w:sz w:val="24"/>
                <w:szCs w:val="24"/>
              </w:rPr>
            </w:pPr>
          </w:p>
        </w:tc>
      </w:tr>
    </w:tbl>
    <w:p w14:paraId="2FA4C273">
      <w:pPr>
        <w:spacing w:before="120" w:beforeLines="50"/>
        <w:rPr>
          <w:rFonts w:ascii="宋体" w:hAnsi="宋体" w:cs="宋体"/>
          <w:sz w:val="24"/>
          <w:szCs w:val="24"/>
        </w:rPr>
      </w:pPr>
    </w:p>
    <w:p w14:paraId="61B3C85D">
      <w:pPr>
        <w:widowControl/>
        <w:spacing w:line="360" w:lineRule="auto"/>
        <w:rPr>
          <w:rFonts w:ascii="宋体" w:hAnsi="宋体" w:cs="宋体"/>
          <w:b/>
          <w:szCs w:val="21"/>
        </w:rPr>
      </w:pPr>
      <w:r>
        <w:rPr>
          <w:rFonts w:hint="eastAsia" w:ascii="宋体" w:hAnsi="宋体" w:cs="宋体"/>
          <w:szCs w:val="21"/>
        </w:rPr>
        <w:br w:type="page"/>
      </w:r>
    </w:p>
    <w:p w14:paraId="230A7B79">
      <w:pPr>
        <w:widowControl/>
        <w:numPr>
          <w:ilvl w:val="255"/>
          <w:numId w:val="0"/>
        </w:numPr>
        <w:ind w:left="0" w:firstLine="0"/>
        <w:jc w:val="left"/>
        <w:outlineLvl w:val="2"/>
        <w:rPr>
          <w:rFonts w:ascii="宋体" w:hAnsi="宋体"/>
          <w:b/>
          <w:szCs w:val="21"/>
        </w:rPr>
        <w:sectPr>
          <w:footerReference r:id="rId3" w:type="default"/>
          <w:pgSz w:w="11906" w:h="16838"/>
          <w:pgMar w:top="1588" w:right="1588" w:bottom="1361" w:left="1588" w:header="851" w:footer="850" w:gutter="0"/>
          <w:pgNumType w:start="1"/>
          <w:cols w:space="720" w:num="1"/>
          <w:titlePg/>
          <w:docGrid w:linePitch="312" w:charSpace="0"/>
        </w:sectPr>
      </w:pPr>
    </w:p>
    <w:p w14:paraId="1D4AA49F">
      <w:pPr>
        <w:widowControl/>
        <w:numPr>
          <w:ilvl w:val="255"/>
          <w:numId w:val="0"/>
        </w:numPr>
        <w:ind w:left="0" w:firstLine="0"/>
        <w:jc w:val="left"/>
        <w:outlineLvl w:val="2"/>
        <w:rPr>
          <w:rFonts w:ascii="宋体" w:hAnsi="宋体"/>
          <w:b/>
          <w:szCs w:val="21"/>
        </w:rPr>
      </w:pPr>
      <w:r>
        <w:rPr>
          <w:rFonts w:hint="eastAsia" w:ascii="宋体" w:hAnsi="宋体"/>
          <w:b/>
          <w:szCs w:val="21"/>
        </w:rPr>
        <w:t>附件1：项目日常管理规定</w:t>
      </w:r>
    </w:p>
    <w:p w14:paraId="3AD8EDA0">
      <w:pPr>
        <w:widowControl/>
        <w:spacing w:line="500" w:lineRule="exact"/>
        <w:ind w:firstLine="482" w:firstLineChars="200"/>
        <w:jc w:val="center"/>
        <w:rPr>
          <w:rFonts w:ascii="宋体" w:hAnsi="宋体"/>
          <w:b/>
          <w:sz w:val="24"/>
          <w:szCs w:val="24"/>
        </w:rPr>
      </w:pPr>
      <w:r>
        <w:rPr>
          <w:rFonts w:hint="eastAsia" w:ascii="宋体" w:hAnsi="宋体"/>
          <w:b/>
          <w:sz w:val="24"/>
          <w:szCs w:val="24"/>
        </w:rPr>
        <w:t>项目日常管理规定</w:t>
      </w:r>
    </w:p>
    <w:p w14:paraId="399AE993">
      <w:pPr>
        <w:spacing w:line="360" w:lineRule="auto"/>
        <w:ind w:firstLine="480" w:firstLineChars="200"/>
        <w:rPr>
          <w:sz w:val="24"/>
          <w:szCs w:val="24"/>
        </w:rPr>
      </w:pPr>
      <w:r>
        <w:rPr>
          <w:rFonts w:hint="eastAsia"/>
          <w:sz w:val="24"/>
          <w:szCs w:val="24"/>
        </w:rPr>
        <w:t>（如合同条款与本规定有冲突或不一致的，以本管理规定为准）</w:t>
      </w:r>
    </w:p>
    <w:p w14:paraId="2CB0579B">
      <w:pPr>
        <w:adjustRightInd w:val="0"/>
        <w:snapToGrid w:val="0"/>
        <w:spacing w:line="360" w:lineRule="auto"/>
        <w:ind w:firstLine="480" w:firstLineChars="200"/>
        <w:jc w:val="left"/>
        <w:rPr>
          <w:rFonts w:ascii="宋体" w:hAnsi="宋体"/>
          <w:sz w:val="24"/>
          <w:szCs w:val="24"/>
        </w:rPr>
      </w:pPr>
      <w:r>
        <w:rPr>
          <w:rFonts w:hint="eastAsia" w:ascii="宋体" w:hAnsi="宋体"/>
          <w:sz w:val="24"/>
          <w:szCs w:val="24"/>
        </w:rPr>
        <w:cr/>
      </w:r>
      <w:r>
        <w:rPr>
          <w:rFonts w:hint="eastAsia" w:ascii="宋体" w:hAnsi="宋体"/>
          <w:sz w:val="24"/>
          <w:szCs w:val="24"/>
        </w:rPr>
        <w:t>为加强项目现场施工管理，规范承包人的施工行为，保证现场各项工作有序开展，确保工程的工期、质量、安全文明和项目工地的良好社会形象，遵照工程承包合同的有关条款，特制定本管理细则，作为施工现场管理的一种约束性手段。</w:t>
      </w:r>
      <w:r>
        <w:rPr>
          <w:rFonts w:hint="eastAsia" w:ascii="宋体" w:hAnsi="宋体"/>
          <w:sz w:val="24"/>
          <w:szCs w:val="24"/>
        </w:rPr>
        <w:cr/>
      </w:r>
      <w:r>
        <w:rPr>
          <w:rFonts w:hint="eastAsia" w:ascii="宋体" w:hAnsi="宋体"/>
          <w:sz w:val="24"/>
          <w:szCs w:val="24"/>
        </w:rPr>
        <w:cr/>
      </w:r>
      <w:r>
        <w:rPr>
          <w:rFonts w:hint="eastAsia" w:ascii="宋体" w:hAnsi="宋体"/>
          <w:sz w:val="24"/>
          <w:szCs w:val="24"/>
        </w:rPr>
        <w:t>一、工程质量管理措施</w:t>
      </w:r>
      <w:r>
        <w:rPr>
          <w:rFonts w:hint="eastAsia" w:ascii="宋体" w:hAnsi="宋体"/>
          <w:sz w:val="24"/>
          <w:szCs w:val="24"/>
        </w:rPr>
        <w:cr/>
      </w:r>
      <w:r>
        <w:rPr>
          <w:rFonts w:hint="eastAsia" w:ascii="宋体" w:hAnsi="宋体"/>
          <w:sz w:val="24"/>
          <w:szCs w:val="24"/>
        </w:rPr>
        <w:t>1. 现场应建立健全质量管理保证体系，未按要求配备质量管理人员的，由监理部提出书面限期整改要求，未按要求限期整改的，每次罚款5000元。</w:t>
      </w:r>
      <w:r>
        <w:rPr>
          <w:rFonts w:hint="eastAsia" w:ascii="宋体" w:hAnsi="宋体"/>
          <w:sz w:val="24"/>
          <w:szCs w:val="24"/>
        </w:rPr>
        <w:cr/>
      </w:r>
      <w:r>
        <w:rPr>
          <w:rFonts w:hint="eastAsia" w:ascii="宋体" w:hAnsi="宋体"/>
          <w:sz w:val="24"/>
          <w:szCs w:val="24"/>
        </w:rPr>
        <w:t>2. 施工单位必须严格按照批准的施工组织设计（方案）、专项施工方案施工，不得擅自修改、调整。如在施工过程中考虑到工期、质量因素确需调整、修改时，必须以书面形式上报监理部审核其调整可行性，监理同意后，上报建设单位批准实施，施工方案未经审批或擅自不按批准的施工组织设计（方案）、专项施工方案施工的，罚款2000~5000元。</w:t>
      </w:r>
      <w:r>
        <w:rPr>
          <w:rFonts w:hint="eastAsia" w:ascii="宋体" w:hAnsi="宋体"/>
          <w:sz w:val="24"/>
          <w:szCs w:val="24"/>
        </w:rPr>
        <w:cr/>
      </w:r>
      <w:r>
        <w:rPr>
          <w:rFonts w:hint="eastAsia" w:ascii="宋体" w:hAnsi="宋体"/>
          <w:sz w:val="24"/>
          <w:szCs w:val="24"/>
        </w:rPr>
        <w:t>3. 在分项或子分项工程施工前，施工单位技术人员必须向操作人员进行技术交底，交底应真实、有效、有记录、有交底人和被交底人签字。没有进行交底或交底不清的，按每个分项工程罚款2000~</w:t>
      </w:r>
      <w:r>
        <w:rPr>
          <w:rFonts w:ascii="宋体" w:hAnsi="宋体"/>
          <w:sz w:val="24"/>
          <w:szCs w:val="24"/>
        </w:rPr>
        <w:t>10000元处理；有交底但操作人员未按交底执行，发生质量问题，按每个分项工程罚款1000~5000元。</w:t>
      </w:r>
      <w:r>
        <w:rPr>
          <w:rFonts w:ascii="宋体" w:hAnsi="宋体"/>
          <w:sz w:val="24"/>
          <w:szCs w:val="24"/>
        </w:rPr>
        <w:cr/>
      </w:r>
      <w:r>
        <w:rPr>
          <w:rFonts w:ascii="宋体" w:hAnsi="宋体"/>
          <w:sz w:val="24"/>
          <w:szCs w:val="24"/>
        </w:rPr>
        <w:t xml:space="preserve">4. </w:t>
      </w:r>
      <w:r>
        <w:rPr>
          <w:rFonts w:hint="eastAsia" w:ascii="宋体" w:hAnsi="宋体"/>
          <w:sz w:val="24"/>
          <w:szCs w:val="24"/>
        </w:rPr>
        <w:t>工程材料、设备、构配件进场及使用必须经专业监理工程师签字同意，未经同意不得进场和使用，违者除返工、材料退场之外，每次罚款</w:t>
      </w:r>
      <w:r>
        <w:rPr>
          <w:rFonts w:ascii="宋体" w:hAnsi="宋体"/>
          <w:sz w:val="24"/>
          <w:szCs w:val="24"/>
        </w:rPr>
        <w:t>2000~5000元。</w:t>
      </w:r>
      <w:r>
        <w:rPr>
          <w:rFonts w:ascii="宋体" w:hAnsi="宋体"/>
          <w:sz w:val="24"/>
          <w:szCs w:val="24"/>
        </w:rPr>
        <w:cr/>
      </w:r>
      <w:r>
        <w:rPr>
          <w:rFonts w:ascii="宋体" w:hAnsi="宋体"/>
          <w:sz w:val="24"/>
          <w:szCs w:val="24"/>
        </w:rPr>
        <w:t xml:space="preserve">5. </w:t>
      </w:r>
      <w:r>
        <w:rPr>
          <w:rFonts w:hint="eastAsia" w:ascii="宋体" w:hAnsi="宋体"/>
          <w:sz w:val="24"/>
          <w:szCs w:val="24"/>
        </w:rPr>
        <w:t>按规定凡属监理单位见证取样的项目，必须通知监理单位见证取样，如未通知擅自取样送检的，除复试取样无效外，每次按罚款</w:t>
      </w:r>
      <w:r>
        <w:rPr>
          <w:rFonts w:ascii="宋体" w:hAnsi="宋体"/>
          <w:sz w:val="24"/>
          <w:szCs w:val="24"/>
        </w:rPr>
        <w:t>5000元处理；建筑材料须在取得见证送检合格报告后，才能使用，如擅自提前使用，每发现一次，罚款2000~5000元。</w:t>
      </w:r>
      <w:r>
        <w:rPr>
          <w:rFonts w:ascii="宋体" w:hAnsi="宋体"/>
          <w:sz w:val="24"/>
          <w:szCs w:val="24"/>
        </w:rPr>
        <w:cr/>
      </w:r>
      <w:r>
        <w:rPr>
          <w:rFonts w:ascii="宋体" w:hAnsi="宋体"/>
          <w:sz w:val="24"/>
          <w:szCs w:val="24"/>
        </w:rPr>
        <w:t xml:space="preserve">6. </w:t>
      </w:r>
      <w:r>
        <w:rPr>
          <w:rFonts w:hint="eastAsia" w:ascii="宋体" w:hAnsi="宋体"/>
          <w:sz w:val="24"/>
          <w:szCs w:val="24"/>
        </w:rPr>
        <w:t>为确保本项目建设质量，施工单位在原则上应在项目实施过程中选择合同材料品牌库内的品牌，并在使用前报建设单位确认批准，未经建设单位确认批准而擅自使用的，每次罚款</w:t>
      </w:r>
      <w:r>
        <w:rPr>
          <w:rFonts w:ascii="宋体" w:hAnsi="宋体"/>
          <w:sz w:val="24"/>
          <w:szCs w:val="24"/>
        </w:rPr>
        <w:t>5000元；如选择材料品牌</w:t>
      </w:r>
      <w:r>
        <w:rPr>
          <w:rFonts w:hint="eastAsia" w:ascii="宋体" w:hAnsi="宋体"/>
          <w:sz w:val="24"/>
          <w:szCs w:val="24"/>
        </w:rPr>
        <w:t>库范围外的品牌，其品牌品质应不低于参考品牌，并取得建设单位书面认可，未按要求取得建设单位书面同意而擅自使用的，每次罚款</w:t>
      </w:r>
      <w:r>
        <w:rPr>
          <w:rFonts w:ascii="宋体" w:hAnsi="宋体"/>
          <w:sz w:val="24"/>
          <w:szCs w:val="24"/>
        </w:rPr>
        <w:t>10000元。</w:t>
      </w:r>
      <w:r>
        <w:rPr>
          <w:rFonts w:ascii="宋体" w:hAnsi="宋体"/>
          <w:sz w:val="24"/>
          <w:szCs w:val="24"/>
        </w:rPr>
        <w:cr/>
      </w:r>
      <w:r>
        <w:rPr>
          <w:rFonts w:ascii="宋体" w:hAnsi="宋体"/>
          <w:sz w:val="24"/>
          <w:szCs w:val="24"/>
        </w:rPr>
        <w:t xml:space="preserve">7. </w:t>
      </w:r>
      <w:r>
        <w:rPr>
          <w:rFonts w:hint="eastAsia" w:ascii="宋体" w:hAnsi="宋体"/>
          <w:sz w:val="24"/>
          <w:szCs w:val="24"/>
        </w:rPr>
        <w:t>在施工过程中应严格执行“三检制”（自检、互检、交接检），未执行“三检制”或检查工作不认真，造成监理二次验收不合格及以上者，每次罚款</w:t>
      </w:r>
      <w:r>
        <w:rPr>
          <w:rFonts w:ascii="宋体" w:hAnsi="宋体"/>
          <w:sz w:val="24"/>
          <w:szCs w:val="24"/>
        </w:rPr>
        <w:t>1000~5000元。</w:t>
      </w:r>
      <w:r>
        <w:rPr>
          <w:rFonts w:ascii="宋体" w:hAnsi="宋体"/>
          <w:sz w:val="24"/>
          <w:szCs w:val="24"/>
        </w:rPr>
        <w:cr/>
      </w:r>
      <w:r>
        <w:rPr>
          <w:rFonts w:ascii="宋体" w:hAnsi="宋体"/>
          <w:sz w:val="24"/>
          <w:szCs w:val="24"/>
        </w:rPr>
        <w:t xml:space="preserve">8. </w:t>
      </w:r>
      <w:r>
        <w:rPr>
          <w:rFonts w:hint="eastAsia" w:ascii="宋体" w:hAnsi="宋体"/>
          <w:sz w:val="24"/>
          <w:szCs w:val="24"/>
        </w:rPr>
        <w:t>现场出现的质量问题，应编制处理方案或措施，并按审批后的方案或措施进行整改处理，未按要求私自处理的，每次罚款</w:t>
      </w:r>
      <w:r>
        <w:rPr>
          <w:rFonts w:ascii="宋体" w:hAnsi="宋体"/>
          <w:sz w:val="24"/>
          <w:szCs w:val="24"/>
        </w:rPr>
        <w:t>1000~10000元。</w:t>
      </w:r>
      <w:r>
        <w:rPr>
          <w:rFonts w:ascii="宋体" w:hAnsi="宋体"/>
          <w:sz w:val="24"/>
          <w:szCs w:val="24"/>
        </w:rPr>
        <w:cr/>
      </w:r>
      <w:r>
        <w:rPr>
          <w:rFonts w:ascii="宋体" w:hAnsi="宋体"/>
          <w:sz w:val="24"/>
          <w:szCs w:val="24"/>
        </w:rPr>
        <w:t xml:space="preserve">9. </w:t>
      </w:r>
      <w:r>
        <w:rPr>
          <w:rFonts w:hint="eastAsia" w:ascii="宋体" w:hAnsi="宋体"/>
          <w:sz w:val="24"/>
          <w:szCs w:val="24"/>
        </w:rPr>
        <w:t>监理在日常巡视、旁站、平行检验等过程中发现的质量问题，会以《工作联系单》或《监理通知单》的方式要求整改，施工单位未按规定时间整改或整改不到位的，每次罚款</w:t>
      </w:r>
      <w:r>
        <w:rPr>
          <w:rFonts w:ascii="宋体" w:hAnsi="宋体"/>
          <w:sz w:val="24"/>
          <w:szCs w:val="24"/>
        </w:rPr>
        <w:t>2000~5000元，以上包括未按规定回复《监理通知单》。</w:t>
      </w:r>
      <w:r>
        <w:rPr>
          <w:rFonts w:ascii="宋体" w:hAnsi="宋体"/>
          <w:sz w:val="24"/>
          <w:szCs w:val="24"/>
        </w:rPr>
        <w:cr/>
      </w:r>
      <w:r>
        <w:rPr>
          <w:rFonts w:ascii="宋体" w:hAnsi="宋体"/>
          <w:sz w:val="24"/>
          <w:szCs w:val="24"/>
        </w:rPr>
        <w:t xml:space="preserve">10. </w:t>
      </w:r>
      <w:r>
        <w:rPr>
          <w:rFonts w:hint="eastAsia" w:ascii="宋体" w:hAnsi="宋体"/>
          <w:sz w:val="24"/>
          <w:szCs w:val="24"/>
        </w:rPr>
        <w:t>对工程会议上要求解决的质量问题及各方商定认可的决议，施工单位应按时执行，无正当理由未执行的，以每一项为单位，罚款</w:t>
      </w:r>
      <w:r>
        <w:rPr>
          <w:rFonts w:ascii="宋体" w:hAnsi="宋体"/>
          <w:sz w:val="24"/>
          <w:szCs w:val="24"/>
        </w:rPr>
        <w:t>1000~5000元，每拖延一天，罚款1000元，罚款总额累计计算。</w:t>
      </w:r>
      <w:r>
        <w:rPr>
          <w:rFonts w:ascii="宋体" w:hAnsi="宋体"/>
          <w:sz w:val="24"/>
          <w:szCs w:val="24"/>
        </w:rPr>
        <w:cr/>
      </w:r>
      <w:r>
        <w:rPr>
          <w:rFonts w:ascii="宋体" w:hAnsi="宋体"/>
          <w:sz w:val="24"/>
          <w:szCs w:val="24"/>
        </w:rPr>
        <w:t xml:space="preserve">11. </w:t>
      </w:r>
      <w:r>
        <w:rPr>
          <w:rFonts w:hint="eastAsia" w:ascii="宋体" w:hAnsi="宋体"/>
          <w:sz w:val="24"/>
          <w:szCs w:val="24"/>
        </w:rPr>
        <w:t>所有的分项工程必须事先进行样板施工，对不进行样板施工的，或样板施工验收不合格而擅自进行施工的，且工程质量达不到要求的，返工并罚款</w:t>
      </w:r>
      <w:r>
        <w:rPr>
          <w:rFonts w:ascii="宋体" w:hAnsi="宋体"/>
          <w:sz w:val="24"/>
          <w:szCs w:val="24"/>
        </w:rPr>
        <w:t>5000元/每次。</w:t>
      </w:r>
      <w:r>
        <w:rPr>
          <w:rFonts w:ascii="宋体" w:hAnsi="宋体"/>
          <w:sz w:val="24"/>
          <w:szCs w:val="24"/>
        </w:rPr>
        <w:cr/>
      </w:r>
      <w:r>
        <w:rPr>
          <w:rFonts w:ascii="宋体" w:hAnsi="宋体"/>
          <w:sz w:val="24"/>
          <w:szCs w:val="24"/>
        </w:rPr>
        <w:t xml:space="preserve">12.  </w:t>
      </w:r>
      <w:r>
        <w:rPr>
          <w:rFonts w:hint="eastAsia" w:ascii="宋体" w:hAnsi="宋体"/>
          <w:sz w:val="24"/>
          <w:szCs w:val="24"/>
        </w:rPr>
        <w:t>伪造或擅自涂改现场隐蔽验收记录，每发现一次，罚款</w:t>
      </w:r>
      <w:r>
        <w:rPr>
          <w:rFonts w:ascii="宋体" w:hAnsi="宋体"/>
          <w:sz w:val="24"/>
          <w:szCs w:val="24"/>
        </w:rPr>
        <w:t>5000元。</w:t>
      </w:r>
      <w:r>
        <w:rPr>
          <w:rFonts w:ascii="宋体" w:hAnsi="宋体"/>
          <w:sz w:val="24"/>
          <w:szCs w:val="24"/>
        </w:rPr>
        <w:cr/>
      </w:r>
      <w:r>
        <w:rPr>
          <w:rFonts w:ascii="宋体" w:hAnsi="宋体"/>
          <w:sz w:val="24"/>
          <w:szCs w:val="24"/>
        </w:rPr>
        <w:t xml:space="preserve">13.  </w:t>
      </w:r>
      <w:r>
        <w:rPr>
          <w:rFonts w:hint="eastAsia" w:ascii="宋体" w:hAnsi="宋体"/>
          <w:sz w:val="24"/>
          <w:szCs w:val="24"/>
        </w:rPr>
        <w:t>伪造材质检验单或提供不合格材质检验单，每发现一次，罚款</w:t>
      </w:r>
      <w:r>
        <w:rPr>
          <w:rFonts w:ascii="宋体" w:hAnsi="宋体"/>
          <w:sz w:val="24"/>
          <w:szCs w:val="24"/>
        </w:rPr>
        <w:t>5000元。</w:t>
      </w:r>
      <w:r>
        <w:rPr>
          <w:rFonts w:ascii="宋体" w:hAnsi="宋体"/>
          <w:sz w:val="24"/>
          <w:szCs w:val="24"/>
        </w:rPr>
        <w:cr/>
      </w:r>
      <w:r>
        <w:rPr>
          <w:rFonts w:ascii="宋体" w:hAnsi="宋体"/>
          <w:sz w:val="24"/>
          <w:szCs w:val="24"/>
        </w:rPr>
        <w:t xml:space="preserve">14. </w:t>
      </w:r>
      <w:r>
        <w:rPr>
          <w:rFonts w:hint="eastAsia" w:ascii="宋体" w:hAnsi="宋体"/>
          <w:sz w:val="24"/>
          <w:szCs w:val="24"/>
        </w:rPr>
        <w:t>施工单位应严格按行业标准及规范进行施工，未按相关标准及规范施工而造成质量问题或达不到验收标准的情况，每次给予</w:t>
      </w:r>
      <w:r>
        <w:rPr>
          <w:rFonts w:ascii="宋体" w:hAnsi="宋体"/>
          <w:sz w:val="24"/>
          <w:szCs w:val="24"/>
        </w:rPr>
        <w:t>2000元罚款。</w:t>
      </w:r>
      <w:r>
        <w:rPr>
          <w:rFonts w:ascii="宋体" w:hAnsi="宋体"/>
          <w:sz w:val="24"/>
          <w:szCs w:val="24"/>
        </w:rPr>
        <w:cr/>
      </w:r>
      <w:r>
        <w:rPr>
          <w:rFonts w:ascii="宋体" w:hAnsi="宋体"/>
          <w:sz w:val="24"/>
          <w:szCs w:val="24"/>
        </w:rPr>
        <w:t xml:space="preserve">15. </w:t>
      </w:r>
      <w:r>
        <w:rPr>
          <w:rFonts w:hint="eastAsia" w:ascii="宋体" w:hAnsi="宋体"/>
          <w:sz w:val="24"/>
          <w:szCs w:val="24"/>
        </w:rPr>
        <w:t>在政府部门质检过程中发生被勒令返工的，每次罚款</w:t>
      </w:r>
      <w:r>
        <w:rPr>
          <w:rFonts w:ascii="宋体" w:hAnsi="宋体"/>
          <w:sz w:val="24"/>
          <w:szCs w:val="24"/>
        </w:rPr>
        <w:t>5000元，被勒令停工的罚款10000元。</w:t>
      </w:r>
      <w:r>
        <w:rPr>
          <w:rFonts w:ascii="宋体" w:hAnsi="宋体"/>
          <w:sz w:val="24"/>
          <w:szCs w:val="24"/>
        </w:rPr>
        <w:cr/>
      </w:r>
      <w:r>
        <w:rPr>
          <w:rFonts w:ascii="宋体" w:hAnsi="宋体"/>
          <w:sz w:val="24"/>
          <w:szCs w:val="24"/>
        </w:rPr>
        <w:t xml:space="preserve">16.  </w:t>
      </w:r>
      <w:r>
        <w:rPr>
          <w:rFonts w:hint="eastAsia" w:ascii="宋体" w:hAnsi="宋体"/>
          <w:sz w:val="24"/>
          <w:szCs w:val="24"/>
        </w:rPr>
        <w:t>在政府主管部门检查过程中受到通报批评的，每次罚款</w:t>
      </w:r>
      <w:r>
        <w:rPr>
          <w:rFonts w:ascii="宋体" w:hAnsi="宋体"/>
          <w:sz w:val="24"/>
          <w:szCs w:val="24"/>
        </w:rPr>
        <w:t>10000元。</w:t>
      </w:r>
      <w:r>
        <w:rPr>
          <w:rFonts w:ascii="宋体" w:hAnsi="宋体"/>
          <w:sz w:val="24"/>
          <w:szCs w:val="24"/>
        </w:rPr>
        <w:cr/>
      </w:r>
      <w:r>
        <w:rPr>
          <w:rFonts w:hint="eastAsia" w:ascii="宋体" w:hAnsi="宋体"/>
          <w:sz w:val="24"/>
          <w:szCs w:val="24"/>
        </w:rPr>
        <w:t>二、工程进度管理措施</w:t>
      </w:r>
      <w:r>
        <w:rPr>
          <w:rFonts w:ascii="宋体" w:hAnsi="宋体"/>
          <w:sz w:val="24"/>
          <w:szCs w:val="24"/>
        </w:rPr>
        <w:cr/>
      </w:r>
      <w:r>
        <w:rPr>
          <w:rFonts w:ascii="宋体" w:hAnsi="宋体"/>
          <w:sz w:val="24"/>
          <w:szCs w:val="24"/>
        </w:rPr>
        <w:t>施工单位应按合同约定和建设单位要求编制工程总进度计划，经监理单位、建设单位批准后实施，监理部、项目部备案，并以此为依据进行进度检查和控制。</w:t>
      </w:r>
      <w:r>
        <w:rPr>
          <w:rFonts w:ascii="宋体" w:hAnsi="宋体"/>
          <w:sz w:val="24"/>
          <w:szCs w:val="24"/>
        </w:rPr>
        <w:cr/>
      </w:r>
      <w:r>
        <w:rPr>
          <w:rFonts w:ascii="宋体" w:hAnsi="宋体"/>
          <w:sz w:val="24"/>
          <w:szCs w:val="24"/>
        </w:rPr>
        <w:t xml:space="preserve">17. </w:t>
      </w:r>
      <w:r>
        <w:rPr>
          <w:rFonts w:hint="eastAsia" w:ascii="宋体" w:hAnsi="宋体"/>
          <w:sz w:val="24"/>
          <w:szCs w:val="24"/>
        </w:rPr>
        <w:t>施工单位应依据批准的施工总进度计划按规定的时间制定和上报月进度计划和周进度计划，未在规定时间内上报周进度计划的，每次罚款</w:t>
      </w:r>
      <w:r>
        <w:rPr>
          <w:rFonts w:ascii="宋体" w:hAnsi="宋体"/>
          <w:sz w:val="24"/>
          <w:szCs w:val="24"/>
        </w:rPr>
        <w:t>1000元；未在规定时间内上报月进度计划的，每次罚款2000元。</w:t>
      </w:r>
      <w:r>
        <w:rPr>
          <w:rFonts w:ascii="宋体" w:hAnsi="宋体"/>
          <w:sz w:val="24"/>
          <w:szCs w:val="24"/>
        </w:rPr>
        <w:cr/>
      </w:r>
      <w:r>
        <w:rPr>
          <w:rFonts w:ascii="宋体" w:hAnsi="宋体"/>
          <w:sz w:val="24"/>
          <w:szCs w:val="24"/>
        </w:rPr>
        <w:t xml:space="preserve">18. </w:t>
      </w:r>
      <w:r>
        <w:rPr>
          <w:rFonts w:hint="eastAsia" w:ascii="宋体" w:hAnsi="宋体"/>
          <w:sz w:val="24"/>
          <w:szCs w:val="24"/>
        </w:rPr>
        <w:t>各施工进度计划应科学合理，并以此为依据组织、安排生产，严格控制进度，不得造成拖延。由于施工单位自身原因造成的关键工作工期延误，不能按期完成周计划的，每拖延一天罚款</w:t>
      </w:r>
      <w:r>
        <w:rPr>
          <w:rFonts w:ascii="宋体" w:hAnsi="宋体"/>
          <w:sz w:val="24"/>
          <w:szCs w:val="24"/>
        </w:rPr>
        <w:t>1000元，不能按期完成月计划的，每拖延一天罚款5000元，罚款金额累计计算。</w:t>
      </w:r>
      <w:r>
        <w:rPr>
          <w:rFonts w:ascii="宋体" w:hAnsi="宋体"/>
          <w:sz w:val="24"/>
          <w:szCs w:val="24"/>
        </w:rPr>
        <w:cr/>
      </w:r>
      <w:r>
        <w:rPr>
          <w:rFonts w:ascii="宋体" w:hAnsi="宋体"/>
          <w:sz w:val="24"/>
          <w:szCs w:val="24"/>
        </w:rPr>
        <w:t xml:space="preserve">19. </w:t>
      </w:r>
      <w:r>
        <w:rPr>
          <w:rFonts w:hint="eastAsia" w:ascii="宋体" w:hAnsi="宋体"/>
          <w:sz w:val="24"/>
          <w:szCs w:val="24"/>
        </w:rPr>
        <w:t>施工单位应按监理和建设单位要求，根据工程进展情况，同步收集、整理、编写档案资料，并及时送到监理部，未及时提交资料的，每次罚款</w:t>
      </w:r>
      <w:r>
        <w:rPr>
          <w:rFonts w:ascii="宋体" w:hAnsi="宋体"/>
          <w:sz w:val="24"/>
          <w:szCs w:val="24"/>
        </w:rPr>
        <w:t>1000~2000元。</w:t>
      </w:r>
      <w:r>
        <w:rPr>
          <w:rFonts w:ascii="宋体" w:hAnsi="宋体"/>
          <w:sz w:val="24"/>
          <w:szCs w:val="24"/>
        </w:rPr>
        <w:cr/>
      </w:r>
      <w:r>
        <w:rPr>
          <w:rFonts w:hint="eastAsia" w:ascii="宋体" w:hAnsi="宋体"/>
          <w:sz w:val="24"/>
          <w:szCs w:val="24"/>
        </w:rPr>
        <w:t>三、工程安全文明施工管理措施</w:t>
      </w:r>
      <w:r>
        <w:rPr>
          <w:rFonts w:ascii="宋体" w:hAnsi="宋体"/>
          <w:sz w:val="24"/>
          <w:szCs w:val="24"/>
        </w:rPr>
        <w:cr/>
      </w:r>
      <w:r>
        <w:rPr>
          <w:rFonts w:ascii="宋体" w:hAnsi="宋体"/>
          <w:sz w:val="24"/>
          <w:szCs w:val="24"/>
        </w:rPr>
        <w:t xml:space="preserve">20. </w:t>
      </w:r>
      <w:r>
        <w:rPr>
          <w:rFonts w:hint="eastAsia" w:ascii="宋体" w:hAnsi="宋体"/>
          <w:sz w:val="24"/>
          <w:szCs w:val="24"/>
        </w:rPr>
        <w:t>必须建立健全的安全组织机构、安全管理体系和文明施工保证体系，配置专职安全人员。未按要求配置的，由监理部提出限期整改要求，未限期整改的，每次罚款</w:t>
      </w:r>
      <w:r>
        <w:rPr>
          <w:rFonts w:ascii="宋体" w:hAnsi="宋体"/>
          <w:sz w:val="24"/>
          <w:szCs w:val="24"/>
        </w:rPr>
        <w:t>5000元。</w:t>
      </w:r>
      <w:r>
        <w:rPr>
          <w:rFonts w:ascii="宋体" w:hAnsi="宋体"/>
          <w:sz w:val="24"/>
          <w:szCs w:val="24"/>
        </w:rPr>
        <w:cr/>
      </w:r>
      <w:r>
        <w:rPr>
          <w:rFonts w:ascii="宋体" w:hAnsi="宋体"/>
          <w:sz w:val="24"/>
          <w:szCs w:val="24"/>
        </w:rPr>
        <w:t xml:space="preserve">21. </w:t>
      </w:r>
      <w:r>
        <w:rPr>
          <w:rFonts w:hint="eastAsia" w:ascii="宋体" w:hAnsi="宋体"/>
          <w:sz w:val="24"/>
          <w:szCs w:val="24"/>
        </w:rPr>
        <w:t>必须建立健全各项安全生产规章制度，制度不健全的，要求限期整改，未限期整改的，每次罚款</w:t>
      </w:r>
      <w:r>
        <w:rPr>
          <w:rFonts w:ascii="宋体" w:hAnsi="宋体"/>
          <w:sz w:val="24"/>
          <w:szCs w:val="24"/>
        </w:rPr>
        <w:t>2000元。</w:t>
      </w:r>
      <w:r>
        <w:rPr>
          <w:rFonts w:ascii="宋体" w:hAnsi="宋体"/>
          <w:sz w:val="24"/>
          <w:szCs w:val="24"/>
        </w:rPr>
        <w:cr/>
      </w:r>
      <w:r>
        <w:rPr>
          <w:rFonts w:ascii="宋体" w:hAnsi="宋体"/>
          <w:sz w:val="24"/>
          <w:szCs w:val="24"/>
        </w:rPr>
        <w:t xml:space="preserve">22. </w:t>
      </w:r>
      <w:r>
        <w:rPr>
          <w:rFonts w:hint="eastAsia" w:ascii="宋体" w:hAnsi="宋体"/>
          <w:sz w:val="24"/>
          <w:szCs w:val="24"/>
        </w:rPr>
        <w:t>施工现场专职安全员必须持证上岗，全面负责施工现场安全检查、安全活动、安全宣传工作。施工现场如没有专职安全员或专职安全员没上岗证，处以</w:t>
      </w:r>
      <w:r>
        <w:rPr>
          <w:rFonts w:ascii="宋体" w:hAnsi="宋体"/>
          <w:sz w:val="24"/>
          <w:szCs w:val="24"/>
        </w:rPr>
        <w:t>5000元罚款。</w:t>
      </w:r>
      <w:r>
        <w:rPr>
          <w:rFonts w:ascii="宋体" w:hAnsi="宋体"/>
          <w:sz w:val="24"/>
          <w:szCs w:val="24"/>
        </w:rPr>
        <w:cr/>
      </w:r>
      <w:r>
        <w:rPr>
          <w:rFonts w:ascii="宋体" w:hAnsi="宋体"/>
          <w:sz w:val="24"/>
          <w:szCs w:val="24"/>
        </w:rPr>
        <w:t xml:space="preserve">23. </w:t>
      </w:r>
      <w:r>
        <w:rPr>
          <w:rFonts w:hint="eastAsia" w:ascii="宋体" w:hAnsi="宋体"/>
          <w:sz w:val="24"/>
          <w:szCs w:val="24"/>
        </w:rPr>
        <w:t>工程开工前专项施工方案必须按程序进行审批，施工单位应严格按照审批的方案进行安全施工，专项方案未经审批或违反方案施工的，罚款</w:t>
      </w:r>
      <w:r>
        <w:rPr>
          <w:rFonts w:ascii="宋体" w:hAnsi="宋体"/>
          <w:sz w:val="24"/>
          <w:szCs w:val="24"/>
        </w:rPr>
        <w:t>1000~5000元。</w:t>
      </w:r>
      <w:r>
        <w:rPr>
          <w:rFonts w:ascii="宋体" w:hAnsi="宋体"/>
          <w:sz w:val="24"/>
          <w:szCs w:val="24"/>
        </w:rPr>
        <w:cr/>
      </w:r>
      <w:r>
        <w:rPr>
          <w:rFonts w:ascii="宋体" w:hAnsi="宋体"/>
          <w:sz w:val="24"/>
          <w:szCs w:val="24"/>
        </w:rPr>
        <w:t xml:space="preserve">24. </w:t>
      </w:r>
      <w:r>
        <w:rPr>
          <w:rFonts w:hint="eastAsia" w:ascii="宋体" w:hAnsi="宋体"/>
          <w:sz w:val="24"/>
          <w:szCs w:val="24"/>
        </w:rPr>
        <w:t>施工现场的库房、机械设备、材料、成品、半成品、模板、脚手工具、加工场地、办公室、厕所等布置，须严格按照监理部批准的最新现场总平面图中位置布置，不按照规定的位置布置，以每处为单位，每处罚款</w:t>
      </w:r>
      <w:r>
        <w:rPr>
          <w:rFonts w:ascii="宋体" w:hAnsi="宋体"/>
          <w:sz w:val="24"/>
          <w:szCs w:val="24"/>
        </w:rPr>
        <w:t>200~1000元。未按监理通知限定的期限整改，每拖延一天整改，罚款200元，罚款总额累加。</w:t>
      </w:r>
      <w:r>
        <w:rPr>
          <w:rFonts w:ascii="宋体" w:hAnsi="宋体"/>
          <w:sz w:val="24"/>
          <w:szCs w:val="24"/>
        </w:rPr>
        <w:cr/>
      </w:r>
      <w:r>
        <w:rPr>
          <w:rFonts w:ascii="宋体" w:hAnsi="宋体"/>
          <w:sz w:val="24"/>
          <w:szCs w:val="24"/>
        </w:rPr>
        <w:t xml:space="preserve">25. </w:t>
      </w:r>
      <w:r>
        <w:rPr>
          <w:rFonts w:hint="eastAsia" w:ascii="宋体" w:hAnsi="宋体"/>
          <w:sz w:val="24"/>
          <w:szCs w:val="24"/>
        </w:rPr>
        <w:t>建筑垃圾或废旧材料不按照现场总平面布置位置堆放、不按时清运或堆放场已满，不及时外运。每发现一次，罚款</w:t>
      </w:r>
      <w:r>
        <w:rPr>
          <w:rFonts w:ascii="宋体" w:hAnsi="宋体"/>
          <w:sz w:val="24"/>
          <w:szCs w:val="24"/>
        </w:rPr>
        <w:t>500~2000元。未按监理或甲方通知限定的期限整改，每拖延一天，罚款500元，罚款总额累加。</w:t>
      </w:r>
      <w:r>
        <w:rPr>
          <w:rFonts w:ascii="宋体" w:hAnsi="宋体"/>
          <w:sz w:val="24"/>
          <w:szCs w:val="24"/>
        </w:rPr>
        <w:cr/>
      </w:r>
      <w:r>
        <w:rPr>
          <w:rFonts w:ascii="宋体" w:hAnsi="宋体"/>
          <w:sz w:val="24"/>
          <w:szCs w:val="24"/>
        </w:rPr>
        <w:t xml:space="preserve">26. </w:t>
      </w:r>
      <w:r>
        <w:rPr>
          <w:rFonts w:hint="eastAsia" w:ascii="宋体" w:hAnsi="宋体"/>
          <w:sz w:val="24"/>
          <w:szCs w:val="24"/>
        </w:rPr>
        <w:t>材料必须分类堆放且堆放整齐，做好明确标识；如无明确标识或未堆放整齐，每发现一次罚款</w:t>
      </w:r>
      <w:r>
        <w:rPr>
          <w:rFonts w:ascii="宋体" w:hAnsi="宋体"/>
          <w:sz w:val="24"/>
          <w:szCs w:val="24"/>
        </w:rPr>
        <w:t>200~1000元；未按监理或甲方通知限定的期限整改，每拖延一天，罚款200元，罚款总额累加。</w:t>
      </w:r>
      <w:r>
        <w:rPr>
          <w:rFonts w:ascii="宋体" w:hAnsi="宋体"/>
          <w:sz w:val="24"/>
          <w:szCs w:val="24"/>
        </w:rPr>
        <w:cr/>
      </w:r>
      <w:r>
        <w:rPr>
          <w:rFonts w:ascii="宋体" w:hAnsi="宋体"/>
          <w:sz w:val="24"/>
          <w:szCs w:val="24"/>
        </w:rPr>
        <w:t xml:space="preserve">27. </w:t>
      </w:r>
      <w:r>
        <w:rPr>
          <w:rFonts w:hint="eastAsia" w:ascii="宋体" w:hAnsi="宋体"/>
          <w:sz w:val="24"/>
          <w:szCs w:val="24"/>
        </w:rPr>
        <w:t>现场内的雨污水排放等，不及时清理排放，每发现一次，罚款</w:t>
      </w:r>
      <w:r>
        <w:rPr>
          <w:rFonts w:ascii="宋体" w:hAnsi="宋体"/>
          <w:sz w:val="24"/>
          <w:szCs w:val="24"/>
        </w:rPr>
        <w:t>200~1000元，并按监理或甲方通知限定的期限整改，不按时整改，每拖延一天，罚款200元，罚款总额累加。</w:t>
      </w:r>
      <w:r>
        <w:rPr>
          <w:rFonts w:ascii="宋体" w:hAnsi="宋体"/>
          <w:sz w:val="24"/>
          <w:szCs w:val="24"/>
        </w:rPr>
        <w:cr/>
      </w:r>
      <w:r>
        <w:rPr>
          <w:rFonts w:ascii="宋体" w:hAnsi="宋体"/>
          <w:sz w:val="24"/>
          <w:szCs w:val="24"/>
        </w:rPr>
        <w:t xml:space="preserve">28. </w:t>
      </w:r>
      <w:r>
        <w:rPr>
          <w:rFonts w:hint="eastAsia" w:ascii="宋体" w:hAnsi="宋体"/>
          <w:sz w:val="24"/>
          <w:szCs w:val="24"/>
        </w:rPr>
        <w:t>施工现场的临时施工用电方案须经监理部批准后，方可施工。现场内的临时施工线路敷设，必须使用合格的电力电缆埋地敷设，架空或挂墙须按规范敷设，接入设备或配电箱的电线电缆要规整，未按方案要求执行，每处罚款</w:t>
      </w:r>
      <w:r>
        <w:rPr>
          <w:rFonts w:ascii="宋体" w:hAnsi="宋体"/>
          <w:sz w:val="24"/>
          <w:szCs w:val="24"/>
        </w:rPr>
        <w:t>2000~5000元。未按监理或甲方通知限定的期限整改，每拖延一天，每处罚款1000元，罚款总额累加。</w:t>
      </w:r>
      <w:r>
        <w:rPr>
          <w:rFonts w:ascii="宋体" w:hAnsi="宋体"/>
          <w:sz w:val="24"/>
          <w:szCs w:val="24"/>
        </w:rPr>
        <w:cr/>
      </w:r>
      <w:r>
        <w:rPr>
          <w:rFonts w:ascii="宋体" w:hAnsi="宋体"/>
          <w:sz w:val="24"/>
          <w:szCs w:val="24"/>
        </w:rPr>
        <w:t xml:space="preserve">29. </w:t>
      </w:r>
      <w:r>
        <w:rPr>
          <w:rFonts w:hint="eastAsia" w:ascii="宋体" w:hAnsi="宋体"/>
          <w:sz w:val="24"/>
          <w:szCs w:val="24"/>
        </w:rPr>
        <w:t>配电箱（柜）、开关箱安装使用应符合《施工现场临时用电安全技术规范》</w:t>
      </w:r>
      <w:r>
        <w:rPr>
          <w:rFonts w:ascii="宋体" w:hAnsi="宋体"/>
          <w:sz w:val="24"/>
          <w:szCs w:val="24"/>
        </w:rPr>
        <w:t>JGJ46-2005标准要求，无工作零线端子、无保护接地端子、非三相五线制、非</w:t>
      </w:r>
      <w:r>
        <w:rPr>
          <w:rFonts w:hint="eastAsia" w:ascii="宋体" w:hAnsi="宋体"/>
          <w:sz w:val="24"/>
          <w:szCs w:val="24"/>
        </w:rPr>
        <w:t>一机一闸一漏电、开关无盖、配电箱无箱门，无防雨措施等，以每一项或每一条为单位，罚款</w:t>
      </w:r>
      <w:r>
        <w:rPr>
          <w:rFonts w:ascii="宋体" w:hAnsi="宋体"/>
          <w:sz w:val="24"/>
          <w:szCs w:val="24"/>
        </w:rPr>
        <w:t>1000~5000元。未按监理或甲方通知限定的期限整改，每拖延一天，对每一项或每一条罚款1000元，罚款总额累加。</w:t>
      </w:r>
      <w:r>
        <w:rPr>
          <w:rFonts w:ascii="宋体" w:hAnsi="宋体"/>
          <w:sz w:val="24"/>
          <w:szCs w:val="24"/>
        </w:rPr>
        <w:cr/>
      </w:r>
      <w:r>
        <w:rPr>
          <w:rFonts w:ascii="宋体" w:hAnsi="宋体"/>
          <w:sz w:val="24"/>
          <w:szCs w:val="24"/>
        </w:rPr>
        <w:t xml:space="preserve">30. </w:t>
      </w:r>
      <w:r>
        <w:rPr>
          <w:rFonts w:hint="eastAsia" w:ascii="宋体" w:hAnsi="宋体"/>
          <w:sz w:val="24"/>
          <w:szCs w:val="24"/>
        </w:rPr>
        <w:t>施工现场严禁酗酒、赌博、聚众滋事、打架斗殴、每发生一次罚款</w:t>
      </w:r>
      <w:r>
        <w:rPr>
          <w:rFonts w:ascii="宋体" w:hAnsi="宋体"/>
          <w:sz w:val="24"/>
          <w:szCs w:val="24"/>
        </w:rPr>
        <w:t>2000~20000元，情节严重的移交公安机关处理。</w:t>
      </w:r>
      <w:r>
        <w:rPr>
          <w:rFonts w:ascii="宋体" w:hAnsi="宋体"/>
          <w:sz w:val="24"/>
          <w:szCs w:val="24"/>
        </w:rPr>
        <w:cr/>
      </w:r>
      <w:r>
        <w:rPr>
          <w:rFonts w:ascii="宋体" w:hAnsi="宋体"/>
          <w:sz w:val="24"/>
          <w:szCs w:val="24"/>
        </w:rPr>
        <w:t xml:space="preserve">31. </w:t>
      </w:r>
      <w:r>
        <w:rPr>
          <w:rFonts w:hint="eastAsia" w:ascii="宋体" w:hAnsi="宋体"/>
          <w:sz w:val="24"/>
          <w:szCs w:val="24"/>
        </w:rPr>
        <w:t>在施工现场穿拖鞋或凉鞋的工人，每人次罚款</w:t>
      </w:r>
      <w:r>
        <w:rPr>
          <w:rFonts w:ascii="宋体" w:hAnsi="宋体"/>
          <w:sz w:val="24"/>
          <w:szCs w:val="24"/>
        </w:rPr>
        <w:t>200元。在施工现场禁烟吸烟，楼层内随地大小便，每发现一处，罚款200~1000元。</w:t>
      </w:r>
      <w:r>
        <w:rPr>
          <w:rFonts w:ascii="宋体" w:hAnsi="宋体"/>
          <w:sz w:val="24"/>
          <w:szCs w:val="24"/>
        </w:rPr>
        <w:cr/>
      </w:r>
      <w:r>
        <w:rPr>
          <w:rFonts w:ascii="宋体" w:hAnsi="宋体"/>
          <w:sz w:val="24"/>
          <w:szCs w:val="24"/>
        </w:rPr>
        <w:t xml:space="preserve">32. </w:t>
      </w:r>
      <w:r>
        <w:rPr>
          <w:rFonts w:hint="eastAsia" w:ascii="宋体" w:hAnsi="宋体"/>
          <w:sz w:val="24"/>
          <w:szCs w:val="24"/>
        </w:rPr>
        <w:t>进入施工现场不戴安全帽者、不扣帽扣，高处作业安全带不系、挂设规范，每人次罚款</w:t>
      </w:r>
      <w:r>
        <w:rPr>
          <w:rFonts w:ascii="宋体" w:hAnsi="宋体"/>
          <w:sz w:val="24"/>
          <w:szCs w:val="24"/>
        </w:rPr>
        <w:t>500~2000元。</w:t>
      </w:r>
      <w:r>
        <w:rPr>
          <w:rFonts w:ascii="宋体" w:hAnsi="宋体"/>
          <w:sz w:val="24"/>
          <w:szCs w:val="24"/>
        </w:rPr>
        <w:cr/>
      </w:r>
      <w:r>
        <w:rPr>
          <w:rFonts w:ascii="宋体" w:hAnsi="宋体"/>
          <w:sz w:val="24"/>
          <w:szCs w:val="24"/>
        </w:rPr>
        <w:t xml:space="preserve">33. </w:t>
      </w:r>
      <w:r>
        <w:rPr>
          <w:rFonts w:hint="eastAsia" w:ascii="宋体" w:hAnsi="宋体"/>
          <w:sz w:val="24"/>
          <w:szCs w:val="24"/>
        </w:rPr>
        <w:t>“三宝、四口、五临边”防护不合格，罚款</w:t>
      </w:r>
      <w:r>
        <w:rPr>
          <w:rFonts w:ascii="宋体" w:hAnsi="宋体"/>
          <w:sz w:val="24"/>
          <w:szCs w:val="24"/>
        </w:rPr>
        <w:t>500元/项•条。未按监理通知限定的期限整改，每拖延一天罚款200元，罚款总额累加。</w:t>
      </w:r>
      <w:r>
        <w:rPr>
          <w:rFonts w:ascii="宋体" w:hAnsi="宋体"/>
          <w:sz w:val="24"/>
          <w:szCs w:val="24"/>
        </w:rPr>
        <w:cr/>
      </w:r>
      <w:r>
        <w:rPr>
          <w:rFonts w:ascii="宋体" w:hAnsi="宋体"/>
          <w:sz w:val="24"/>
          <w:szCs w:val="24"/>
        </w:rPr>
        <w:t xml:space="preserve">34. </w:t>
      </w:r>
      <w:r>
        <w:rPr>
          <w:rFonts w:hint="eastAsia" w:ascii="宋体" w:hAnsi="宋体"/>
          <w:sz w:val="24"/>
          <w:szCs w:val="24"/>
        </w:rPr>
        <w:t>安全通道不合格、无安全通道指示标志、无封道指示标志、安全通道无照明、照明设施无人及时维护者，以每一项或每一条为单位，罚款</w:t>
      </w:r>
      <w:r>
        <w:rPr>
          <w:rFonts w:ascii="宋体" w:hAnsi="宋体"/>
          <w:sz w:val="24"/>
          <w:szCs w:val="24"/>
        </w:rPr>
        <w:t>500元。未按监理通知限定的期限整改，每拖一天罚款500元，罚款总额累加。</w:t>
      </w:r>
      <w:r>
        <w:rPr>
          <w:rFonts w:ascii="宋体" w:hAnsi="宋体"/>
          <w:sz w:val="24"/>
          <w:szCs w:val="24"/>
        </w:rPr>
        <w:cr/>
      </w:r>
      <w:r>
        <w:rPr>
          <w:rFonts w:ascii="宋体" w:hAnsi="宋体"/>
          <w:sz w:val="24"/>
          <w:szCs w:val="24"/>
        </w:rPr>
        <w:t xml:space="preserve">35. </w:t>
      </w:r>
      <w:r>
        <w:rPr>
          <w:rFonts w:hint="eastAsia" w:ascii="宋体" w:hAnsi="宋体"/>
          <w:sz w:val="24"/>
          <w:szCs w:val="24"/>
        </w:rPr>
        <w:t>施工现场应在规定的位置设置灭火器，未在规定的位置上设置灭火器、灭火器数量不足、灭火器没有标注检查日期或失效，罚款</w:t>
      </w:r>
      <w:r>
        <w:rPr>
          <w:rFonts w:ascii="宋体" w:hAnsi="宋体"/>
          <w:sz w:val="24"/>
          <w:szCs w:val="24"/>
        </w:rPr>
        <w:t>500元/项•处，未按监理或甲方通知限定的期限整改，每拖延一天罚款200元，罚款总额累加。</w:t>
      </w:r>
      <w:r>
        <w:rPr>
          <w:rFonts w:ascii="宋体" w:hAnsi="宋体"/>
          <w:sz w:val="24"/>
          <w:szCs w:val="24"/>
        </w:rPr>
        <w:tab/>
      </w:r>
      <w:r>
        <w:rPr>
          <w:rFonts w:ascii="宋体" w:hAnsi="宋体"/>
          <w:sz w:val="24"/>
          <w:szCs w:val="24"/>
        </w:rPr>
        <w:cr/>
      </w:r>
      <w:r>
        <w:rPr>
          <w:rFonts w:ascii="宋体" w:hAnsi="宋体"/>
          <w:sz w:val="24"/>
          <w:szCs w:val="24"/>
        </w:rPr>
        <w:t xml:space="preserve">36. </w:t>
      </w:r>
      <w:r>
        <w:rPr>
          <w:rFonts w:hint="eastAsia" w:ascii="宋体" w:hAnsi="宋体"/>
          <w:sz w:val="24"/>
          <w:szCs w:val="24"/>
        </w:rPr>
        <w:t>现场施工机械设备无防护罩（如：电锯、电焊机等），罚款</w:t>
      </w:r>
      <w:r>
        <w:rPr>
          <w:rFonts w:ascii="宋体" w:hAnsi="宋体"/>
          <w:sz w:val="24"/>
          <w:szCs w:val="24"/>
        </w:rPr>
        <w:t>1000元/台，未按监理或甲方通知限定的期限整改，每拖延一天罚款500元/台，罚款总额累加。</w:t>
      </w:r>
      <w:r>
        <w:rPr>
          <w:rFonts w:ascii="宋体" w:hAnsi="宋体"/>
          <w:sz w:val="24"/>
          <w:szCs w:val="24"/>
        </w:rPr>
        <w:cr/>
      </w:r>
      <w:r>
        <w:rPr>
          <w:rFonts w:ascii="宋体" w:hAnsi="宋体"/>
          <w:sz w:val="24"/>
          <w:szCs w:val="24"/>
        </w:rPr>
        <w:t xml:space="preserve">37. </w:t>
      </w:r>
      <w:r>
        <w:rPr>
          <w:rFonts w:hint="eastAsia" w:ascii="宋体" w:hAnsi="宋体"/>
          <w:sz w:val="24"/>
          <w:szCs w:val="24"/>
        </w:rPr>
        <w:t>起重、垂直运输设备必须有产品合格证；安拆方案必须经过监理工程师审批；专业安装单位必须具有法定的安装资质；施工单位和专业安装单位在交接手续上签字必须齐全；运行时机械操作人员、指挥人员必须持证上岗；操作室安全保护措施完善；以上条件每缺少一项罚款</w:t>
      </w:r>
      <w:r>
        <w:rPr>
          <w:rFonts w:ascii="宋体" w:hAnsi="宋体"/>
          <w:sz w:val="24"/>
          <w:szCs w:val="24"/>
        </w:rPr>
        <w:t>1000元。</w:t>
      </w:r>
      <w:r>
        <w:rPr>
          <w:rFonts w:ascii="宋体" w:hAnsi="宋体"/>
          <w:sz w:val="24"/>
          <w:szCs w:val="24"/>
        </w:rPr>
        <w:cr/>
      </w:r>
      <w:r>
        <w:rPr>
          <w:rFonts w:ascii="宋体" w:hAnsi="宋体"/>
          <w:sz w:val="24"/>
          <w:szCs w:val="24"/>
        </w:rPr>
        <w:t xml:space="preserve">38. </w:t>
      </w:r>
      <w:r>
        <w:rPr>
          <w:rFonts w:hint="eastAsia" w:ascii="宋体" w:hAnsi="宋体"/>
          <w:sz w:val="24"/>
          <w:szCs w:val="24"/>
        </w:rPr>
        <w:t>特殊工种操作证必须真实、有效，人证相符，无证上岗或人证不符的，罚款</w:t>
      </w:r>
      <w:r>
        <w:rPr>
          <w:rFonts w:ascii="宋体" w:hAnsi="宋体"/>
          <w:sz w:val="24"/>
          <w:szCs w:val="24"/>
        </w:rPr>
        <w:t>1000元。</w:t>
      </w:r>
      <w:r>
        <w:rPr>
          <w:rFonts w:ascii="宋体" w:hAnsi="宋体"/>
          <w:sz w:val="24"/>
          <w:szCs w:val="24"/>
        </w:rPr>
        <w:cr/>
      </w:r>
      <w:r>
        <w:rPr>
          <w:rFonts w:ascii="宋体" w:hAnsi="宋体"/>
          <w:sz w:val="24"/>
          <w:szCs w:val="24"/>
        </w:rPr>
        <w:t xml:space="preserve">39. </w:t>
      </w:r>
      <w:r>
        <w:rPr>
          <w:rFonts w:hint="eastAsia" w:ascii="宋体" w:hAnsi="宋体"/>
          <w:sz w:val="24"/>
          <w:szCs w:val="24"/>
        </w:rPr>
        <w:t>施工现场采用明火施工作业未办理动火证或未设专人监督管理的，每处罚款</w:t>
      </w:r>
      <w:r>
        <w:rPr>
          <w:rFonts w:ascii="宋体" w:hAnsi="宋体"/>
          <w:sz w:val="24"/>
          <w:szCs w:val="24"/>
        </w:rPr>
        <w:t>1000元。</w:t>
      </w:r>
      <w:r>
        <w:rPr>
          <w:rFonts w:ascii="宋体" w:hAnsi="宋体"/>
          <w:sz w:val="24"/>
          <w:szCs w:val="24"/>
        </w:rPr>
        <w:cr/>
      </w:r>
      <w:r>
        <w:rPr>
          <w:rFonts w:ascii="宋体" w:hAnsi="宋体"/>
          <w:sz w:val="24"/>
          <w:szCs w:val="24"/>
        </w:rPr>
        <w:t xml:space="preserve">40. </w:t>
      </w:r>
      <w:r>
        <w:rPr>
          <w:rFonts w:hint="eastAsia" w:ascii="宋体" w:hAnsi="宋体"/>
          <w:sz w:val="24"/>
          <w:szCs w:val="24"/>
        </w:rPr>
        <w:t>氧气瓶、乙炔瓶等危险物品存放及使用管理不符合安全要求的，每次处罚款</w:t>
      </w:r>
      <w:r>
        <w:rPr>
          <w:rFonts w:ascii="宋体" w:hAnsi="宋体"/>
          <w:sz w:val="24"/>
          <w:szCs w:val="24"/>
        </w:rPr>
        <w:t>1000元。</w:t>
      </w:r>
      <w:r>
        <w:rPr>
          <w:rFonts w:ascii="宋体" w:hAnsi="宋体"/>
          <w:sz w:val="24"/>
          <w:szCs w:val="24"/>
        </w:rPr>
        <w:cr/>
      </w:r>
      <w:r>
        <w:rPr>
          <w:rFonts w:ascii="宋体" w:hAnsi="宋体"/>
          <w:sz w:val="24"/>
          <w:szCs w:val="24"/>
        </w:rPr>
        <w:t xml:space="preserve">41. </w:t>
      </w:r>
      <w:r>
        <w:rPr>
          <w:rFonts w:hint="eastAsia" w:ascii="宋体" w:hAnsi="宋体"/>
          <w:sz w:val="24"/>
          <w:szCs w:val="24"/>
        </w:rPr>
        <w:t>施工区域及各主要进出口和安全通道口必须设置安全文明管理标志牌，未按要求在指定位置悬挂相应的安全文明标志牌，罚款</w:t>
      </w:r>
      <w:r>
        <w:rPr>
          <w:rFonts w:ascii="宋体" w:hAnsi="宋体"/>
          <w:sz w:val="24"/>
          <w:szCs w:val="24"/>
        </w:rPr>
        <w:t>100~1000元。</w:t>
      </w:r>
      <w:r>
        <w:rPr>
          <w:rFonts w:ascii="宋体" w:hAnsi="宋体"/>
          <w:sz w:val="24"/>
          <w:szCs w:val="24"/>
        </w:rPr>
        <w:cr/>
      </w:r>
      <w:r>
        <w:rPr>
          <w:rFonts w:hint="eastAsia" w:ascii="宋体" w:hAnsi="宋体"/>
          <w:sz w:val="24"/>
          <w:szCs w:val="24"/>
        </w:rPr>
        <w:t>第五章其他管理措施</w:t>
      </w:r>
      <w:r>
        <w:rPr>
          <w:rFonts w:ascii="宋体" w:hAnsi="宋体"/>
          <w:sz w:val="24"/>
          <w:szCs w:val="24"/>
        </w:rPr>
        <w:cr/>
      </w:r>
      <w:r>
        <w:rPr>
          <w:rFonts w:ascii="宋体" w:hAnsi="宋体"/>
          <w:sz w:val="24"/>
          <w:szCs w:val="24"/>
        </w:rPr>
        <w:t xml:space="preserve">42. </w:t>
      </w:r>
      <w:r>
        <w:rPr>
          <w:rFonts w:hint="eastAsia" w:ascii="宋体" w:hAnsi="宋体"/>
          <w:sz w:val="24"/>
          <w:szCs w:val="24"/>
        </w:rPr>
        <w:t>相关人员无故不参加建设单位、监理单位主持召开的会议以及不参加建设单位、监理单位组织的安全、质量检查验收等活动的，每人每次罚款</w:t>
      </w:r>
      <w:r>
        <w:rPr>
          <w:rFonts w:ascii="宋体" w:hAnsi="宋体"/>
          <w:sz w:val="24"/>
          <w:szCs w:val="24"/>
        </w:rPr>
        <w:t>2000元，迟到或者早退者，每人每次200~1000元。</w:t>
      </w:r>
      <w:r>
        <w:rPr>
          <w:rFonts w:ascii="宋体" w:hAnsi="宋体"/>
          <w:sz w:val="24"/>
          <w:szCs w:val="24"/>
        </w:rPr>
        <w:cr/>
      </w:r>
      <w:r>
        <w:rPr>
          <w:rFonts w:hint="eastAsia" w:ascii="宋体" w:hAnsi="宋体"/>
          <w:sz w:val="24"/>
          <w:szCs w:val="24"/>
        </w:rPr>
        <w:t>4</w:t>
      </w:r>
      <w:r>
        <w:rPr>
          <w:rFonts w:ascii="宋体" w:hAnsi="宋体"/>
          <w:sz w:val="24"/>
          <w:szCs w:val="24"/>
        </w:rPr>
        <w:t xml:space="preserve">3. </w:t>
      </w:r>
      <w:r>
        <w:rPr>
          <w:rFonts w:hint="eastAsia" w:ascii="宋体" w:hAnsi="宋体"/>
          <w:sz w:val="24"/>
          <w:szCs w:val="24"/>
        </w:rPr>
        <w:t>暂停施工期间，一切与暂停令要求的补救、完善、整改无关的工程必须全面停止施工，一经发现并核实继续施工的，处以</w:t>
      </w:r>
      <w:r>
        <w:rPr>
          <w:rFonts w:ascii="宋体" w:hAnsi="宋体"/>
          <w:sz w:val="24"/>
          <w:szCs w:val="24"/>
        </w:rPr>
        <w:t>10000~20000元的罚款。</w:t>
      </w:r>
      <w:r>
        <w:rPr>
          <w:rFonts w:ascii="宋体" w:hAnsi="宋体"/>
          <w:sz w:val="24"/>
          <w:szCs w:val="24"/>
        </w:rPr>
        <w:cr/>
      </w:r>
      <w:r>
        <w:rPr>
          <w:rFonts w:ascii="宋体" w:hAnsi="宋体"/>
          <w:sz w:val="24"/>
          <w:szCs w:val="24"/>
        </w:rPr>
        <w:t xml:space="preserve">44. </w:t>
      </w:r>
      <w:r>
        <w:rPr>
          <w:rFonts w:hint="eastAsia" w:ascii="宋体" w:hAnsi="宋体"/>
          <w:sz w:val="24"/>
          <w:szCs w:val="24"/>
        </w:rPr>
        <w:t>对建设单位和监理单位合理安排的工作任务不予执行的，每次罚款5000元。</w:t>
      </w:r>
    </w:p>
    <w:p w14:paraId="0D5206DA">
      <w:pPr>
        <w:adjustRightInd w:val="0"/>
        <w:snapToGrid w:val="0"/>
        <w:spacing w:line="360" w:lineRule="auto"/>
        <w:ind w:firstLine="480" w:firstLineChars="200"/>
        <w:jc w:val="left"/>
        <w:rPr>
          <w:rFonts w:ascii="宋体" w:hAnsi="宋体"/>
          <w:sz w:val="24"/>
          <w:szCs w:val="24"/>
        </w:rPr>
      </w:pPr>
    </w:p>
    <w:p w14:paraId="5932FC72">
      <w:pPr>
        <w:adjustRightInd w:val="0"/>
        <w:snapToGrid w:val="0"/>
        <w:spacing w:line="360" w:lineRule="auto"/>
        <w:ind w:firstLine="480" w:firstLineChars="200"/>
        <w:jc w:val="left"/>
        <w:rPr>
          <w:rFonts w:ascii="宋体" w:hAnsi="宋体"/>
          <w:sz w:val="24"/>
          <w:szCs w:val="24"/>
        </w:rPr>
        <w:sectPr>
          <w:pgSz w:w="11906" w:h="16838"/>
          <w:pgMar w:top="1588" w:right="1588" w:bottom="1361" w:left="1588" w:header="851" w:footer="850" w:gutter="0"/>
          <w:pgNumType w:start="1"/>
          <w:cols w:space="720" w:num="1"/>
          <w:titlePg/>
          <w:docGrid w:linePitch="312" w:charSpace="0"/>
        </w:sectPr>
      </w:pPr>
    </w:p>
    <w:p w14:paraId="0AE2F4A4">
      <w:pPr>
        <w:adjustRightInd w:val="0"/>
        <w:snapToGrid w:val="0"/>
        <w:spacing w:after="200" w:line="360" w:lineRule="auto"/>
        <w:jc w:val="left"/>
        <w:textAlignment w:val="baseline"/>
        <w:outlineLvl w:val="2"/>
        <w:rPr>
          <w:rFonts w:ascii="宋体" w:hAnsi="宋体"/>
          <w:b/>
          <w:szCs w:val="21"/>
        </w:rPr>
      </w:pPr>
      <w:bookmarkStart w:id="20" w:name="五、"/>
      <w:bookmarkEnd w:id="20"/>
      <w:bookmarkStart w:id="21" w:name="十"/>
      <w:bookmarkEnd w:id="21"/>
      <w:bookmarkStart w:id="22" w:name="十七"/>
      <w:bookmarkEnd w:id="22"/>
      <w:bookmarkStart w:id="23" w:name="十四"/>
      <w:bookmarkEnd w:id="23"/>
      <w:bookmarkStart w:id="24" w:name="二十"/>
      <w:bookmarkEnd w:id="24"/>
      <w:bookmarkStart w:id="25" w:name="九"/>
      <w:bookmarkEnd w:id="25"/>
      <w:bookmarkStart w:id="26" w:name="二、"/>
      <w:bookmarkEnd w:id="26"/>
      <w:bookmarkStart w:id="27" w:name="二十一"/>
      <w:bookmarkEnd w:id="27"/>
      <w:bookmarkStart w:id="28" w:name="三、"/>
      <w:bookmarkEnd w:id="28"/>
      <w:bookmarkStart w:id="29" w:name="一、"/>
      <w:bookmarkEnd w:id="29"/>
      <w:bookmarkStart w:id="30" w:name="十一"/>
      <w:bookmarkEnd w:id="30"/>
      <w:bookmarkStart w:id="31" w:name="八"/>
      <w:bookmarkEnd w:id="31"/>
      <w:bookmarkStart w:id="32" w:name="十九"/>
      <w:bookmarkEnd w:id="32"/>
      <w:bookmarkStart w:id="33" w:name="十三"/>
      <w:bookmarkEnd w:id="33"/>
      <w:bookmarkStart w:id="34" w:name="十六"/>
      <w:bookmarkEnd w:id="34"/>
      <w:bookmarkStart w:id="35" w:name="十二"/>
      <w:bookmarkEnd w:id="35"/>
      <w:bookmarkStart w:id="36" w:name="七"/>
      <w:bookmarkEnd w:id="36"/>
      <w:bookmarkStart w:id="37" w:name="十八"/>
      <w:bookmarkEnd w:id="37"/>
      <w:bookmarkStart w:id="38" w:name="五"/>
      <w:bookmarkEnd w:id="38"/>
      <w:bookmarkStart w:id="39" w:name="六"/>
      <w:bookmarkEnd w:id="39"/>
      <w:bookmarkStart w:id="40" w:name="四、"/>
      <w:bookmarkEnd w:id="40"/>
      <w:bookmarkStart w:id="41" w:name="十五"/>
      <w:bookmarkEnd w:id="41"/>
      <w:bookmarkStart w:id="42" w:name="二十二"/>
      <w:bookmarkEnd w:id="42"/>
      <w:r>
        <w:rPr>
          <w:rFonts w:hint="eastAsia" w:ascii="宋体" w:hAnsi="宋体"/>
          <w:b/>
          <w:szCs w:val="21"/>
        </w:rPr>
        <w:t>附件2：项目安全管理规定</w:t>
      </w:r>
    </w:p>
    <w:p w14:paraId="6022C55D">
      <w:pPr>
        <w:spacing w:line="500" w:lineRule="exact"/>
        <w:ind w:firstLine="482" w:firstLineChars="200"/>
        <w:jc w:val="center"/>
        <w:rPr>
          <w:rFonts w:ascii="宋体" w:hAnsi="宋体"/>
          <w:b/>
          <w:sz w:val="24"/>
          <w:szCs w:val="24"/>
        </w:rPr>
      </w:pPr>
      <w:r>
        <w:rPr>
          <w:rFonts w:hint="eastAsia" w:ascii="宋体" w:hAnsi="宋体"/>
          <w:b/>
          <w:sz w:val="24"/>
          <w:szCs w:val="24"/>
        </w:rPr>
        <w:t>安全管理规定</w:t>
      </w:r>
    </w:p>
    <w:p w14:paraId="28C379FB">
      <w:pPr>
        <w:widowControl/>
        <w:jc w:val="center"/>
        <w:rPr>
          <w:rFonts w:ascii="仿宋_GB2312" w:hAnsi="宋体" w:eastAsia="仿宋_GB2312" w:cs="宋体"/>
          <w:b/>
          <w:kern w:val="0"/>
          <w:sz w:val="24"/>
          <w:szCs w:val="24"/>
        </w:rPr>
      </w:pPr>
    </w:p>
    <w:p w14:paraId="44F0E248">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总则</w:t>
      </w:r>
    </w:p>
    <w:p w14:paraId="74FB4B3F">
      <w:pPr>
        <w:widowControl/>
        <w:snapToGrid w:val="0"/>
        <w:spacing w:before="120" w:after="120" w:line="360" w:lineRule="auto"/>
        <w:ind w:left="424" w:leftChars="202" w:firstLine="480" w:firstLineChars="200"/>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依据中华人民共和国职业健康、安全生产类、环境保护类相关法律、法规、标准的要求</w:t>
      </w:r>
      <w:r>
        <w:rPr>
          <w:rFonts w:hint="eastAsia" w:ascii="仿宋_GB2312" w:hAnsi="宋体" w:eastAsia="仿宋_GB2312" w:cs="新宋体-18030"/>
          <w:bCs/>
          <w:kern w:val="0"/>
          <w:sz w:val="24"/>
          <w:szCs w:val="24"/>
        </w:rPr>
        <w:t>，</w:t>
      </w:r>
      <w:r>
        <w:rPr>
          <w:rFonts w:hint="eastAsia" w:ascii="仿宋_GB2312" w:hAnsi="宋体" w:eastAsia="仿宋_GB2312" w:cs="新宋体-18030"/>
          <w:kern w:val="0"/>
          <w:sz w:val="24"/>
          <w:szCs w:val="24"/>
        </w:rPr>
        <w:t>发包人对承包人承包合同规定的活动中的职业健康、安全生产和环境保护（以下简称“安全”）工作实行统一的协调、管理和指导。</w:t>
      </w:r>
    </w:p>
    <w:p w14:paraId="191A893D">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法律法规</w:t>
      </w:r>
    </w:p>
    <w:p w14:paraId="0F6348A2">
      <w:pPr>
        <w:widowControl/>
        <w:snapToGrid w:val="0"/>
        <w:spacing w:before="120" w:after="120" w:line="360" w:lineRule="auto"/>
        <w:ind w:left="418" w:leftChars="199" w:firstLine="444" w:firstLineChars="185"/>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承包人在从事项目活动时必须遵守国家安全生产、职业健康和环境保护相关的法律、法规、强制性国家标准和相关行业标准，</w:t>
      </w:r>
      <w:r>
        <w:rPr>
          <w:rFonts w:hint="eastAsia" w:ascii="仿宋_GB2312" w:hAnsi="宋体" w:eastAsia="仿宋_GB2312" w:cs="宋体"/>
          <w:kern w:val="0"/>
          <w:sz w:val="24"/>
          <w:szCs w:val="24"/>
        </w:rPr>
        <w:t>当国家法律、法规、标准变更时，以新版本为准。</w:t>
      </w:r>
    </w:p>
    <w:p w14:paraId="0CBD64EA">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发包人管理制度</w:t>
      </w:r>
    </w:p>
    <w:p w14:paraId="4FC7C1BF">
      <w:pPr>
        <w:widowControl/>
        <w:tabs>
          <w:tab w:val="left" w:pos="1512"/>
        </w:tabs>
        <w:snapToGrid w:val="0"/>
        <w:spacing w:line="360" w:lineRule="auto"/>
        <w:ind w:left="420" w:leftChars="200" w:firstLine="480" w:firstLineChars="200"/>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承包人应遵守发包人职业健康、安全、环境有关规章制度，包括但不限于以下内容（当发包人制度文件升版时，以新版本为准）：</w:t>
      </w:r>
    </w:p>
    <w:p w14:paraId="02DFBB0E">
      <w:pPr>
        <w:widowControl/>
        <w:numPr>
          <w:ilvl w:val="0"/>
          <w:numId w:val="3"/>
        </w:numPr>
        <w:snapToGrid w:val="0"/>
        <w:spacing w:line="360" w:lineRule="auto"/>
        <w:ind w:left="1134" w:hanging="708"/>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作业安全许可管理规定</w:t>
      </w:r>
    </w:p>
    <w:p w14:paraId="0BC59945">
      <w:pPr>
        <w:widowControl/>
        <w:numPr>
          <w:ilvl w:val="0"/>
          <w:numId w:val="3"/>
        </w:numPr>
        <w:snapToGrid w:val="0"/>
        <w:spacing w:line="360" w:lineRule="auto"/>
        <w:ind w:left="1134" w:hanging="708"/>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施工承包商安全管理办法</w:t>
      </w:r>
    </w:p>
    <w:p w14:paraId="2D18D4B7">
      <w:pPr>
        <w:widowControl/>
        <w:numPr>
          <w:ilvl w:val="0"/>
          <w:numId w:val="3"/>
        </w:numPr>
        <w:snapToGrid w:val="0"/>
        <w:spacing w:line="360" w:lineRule="auto"/>
        <w:ind w:left="1134" w:hanging="708"/>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特殊工作时间安全管理办法</w:t>
      </w:r>
    </w:p>
    <w:p w14:paraId="1211FBB9">
      <w:pPr>
        <w:widowControl/>
        <w:numPr>
          <w:ilvl w:val="0"/>
          <w:numId w:val="3"/>
        </w:numPr>
        <w:snapToGrid w:val="0"/>
        <w:spacing w:line="360" w:lineRule="auto"/>
        <w:ind w:left="1134" w:hanging="708"/>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基层班组安全生产标准化工作指引</w:t>
      </w:r>
    </w:p>
    <w:p w14:paraId="27889900">
      <w:pPr>
        <w:widowControl/>
        <w:numPr>
          <w:ilvl w:val="0"/>
          <w:numId w:val="3"/>
        </w:numPr>
        <w:snapToGrid w:val="0"/>
        <w:spacing w:line="360" w:lineRule="auto"/>
        <w:ind w:left="1134" w:hanging="708"/>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安全生产标准化图集</w:t>
      </w:r>
    </w:p>
    <w:p w14:paraId="1D5746D6">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对承包人职业健康、安全、环境的要求</w:t>
      </w:r>
    </w:p>
    <w:p w14:paraId="0CE3CD7D">
      <w:pPr>
        <w:widowControl/>
        <w:tabs>
          <w:tab w:val="left" w:pos="1155"/>
          <w:tab w:val="left" w:pos="1575"/>
        </w:tabs>
        <w:snapToGrid w:val="0"/>
        <w:spacing w:line="360" w:lineRule="auto"/>
        <w:ind w:firstLine="480" w:firstLineChars="200"/>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承包人应建立健全本单位本工程的安全管理大纲及管理体系，在合同签订后1个月内(工程开工前)向发包人提供安全规章制度文件清单和对应文件。工程正式开工前，应完成所有HSE大纲和关键制度文件的编审批工作。其中，关键程序包括但不限于以下内容：</w:t>
      </w:r>
    </w:p>
    <w:p w14:paraId="792D456D">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安全管理组织机构与运作</w:t>
      </w:r>
    </w:p>
    <w:p w14:paraId="7BD800BB">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安全生产责任制及目标考核</w:t>
      </w:r>
    </w:p>
    <w:p w14:paraId="249F8788">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安全教育培训与授权</w:t>
      </w:r>
    </w:p>
    <w:p w14:paraId="7A34237C">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安全工作例会制度</w:t>
      </w:r>
    </w:p>
    <w:p w14:paraId="23AC59FF">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安全生产费用管理</w:t>
      </w:r>
    </w:p>
    <w:p w14:paraId="09F3D562">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风险识别与控制</w:t>
      </w:r>
    </w:p>
    <w:p w14:paraId="3A1E8062">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安全检查及隐患排查治理</w:t>
      </w:r>
    </w:p>
    <w:p w14:paraId="78C1583A">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关键岗位及特种作业人员管理</w:t>
      </w:r>
    </w:p>
    <w:p w14:paraId="31C29EE1">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分包安全管理</w:t>
      </w:r>
    </w:p>
    <w:p w14:paraId="20F2FB73">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安全施工许可管理</w:t>
      </w:r>
    </w:p>
    <w:p w14:paraId="7719CFAE">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安全设施与劳动防护用品管理</w:t>
      </w:r>
    </w:p>
    <w:p w14:paraId="042F62C1">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施工方案编审及安全技术交底</w:t>
      </w:r>
    </w:p>
    <w:p w14:paraId="485035F0">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施工机械、工器具安全管理</w:t>
      </w:r>
    </w:p>
    <w:p w14:paraId="6399517F">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脚手架搭拆、验收、使用管理</w:t>
      </w:r>
    </w:p>
    <w:p w14:paraId="6EB3358E">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临时施工用电管理</w:t>
      </w:r>
    </w:p>
    <w:p w14:paraId="1575C2B9">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交通运输安全管理</w:t>
      </w:r>
    </w:p>
    <w:p w14:paraId="58F9739E">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消防保卫管理</w:t>
      </w:r>
    </w:p>
    <w:p w14:paraId="59597BB3">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应急管理</w:t>
      </w:r>
    </w:p>
    <w:p w14:paraId="36FF9162">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事件报告与调查处理</w:t>
      </w:r>
    </w:p>
    <w:p w14:paraId="33553327">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职业健康、安全、环境目标</w:t>
      </w:r>
    </w:p>
    <w:p w14:paraId="12B8A759">
      <w:pPr>
        <w:widowControl/>
        <w:numPr>
          <w:ilvl w:val="1"/>
          <w:numId w:val="2"/>
        </w:numPr>
        <w:tabs>
          <w:tab w:val="left" w:pos="993"/>
        </w:tabs>
        <w:snapToGrid w:val="0"/>
        <w:spacing w:before="120" w:after="120"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本项目安全目标：</w:t>
      </w:r>
    </w:p>
    <w:p w14:paraId="1098DA78">
      <w:pPr>
        <w:widowControl/>
        <w:numPr>
          <w:ilvl w:val="2"/>
          <w:numId w:val="2"/>
        </w:numPr>
        <w:tabs>
          <w:tab w:val="left" w:pos="1260"/>
        </w:tabs>
        <w:snapToGrid w:val="0"/>
        <w:spacing w:before="120" w:after="120" w:line="360" w:lineRule="auto"/>
        <w:ind w:left="1418" w:hanging="567"/>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不发生重伤或群伤事故（3人及以上）及以上的人身伤亡事故。</w:t>
      </w:r>
    </w:p>
    <w:p w14:paraId="009597AC">
      <w:pPr>
        <w:widowControl/>
        <w:numPr>
          <w:ilvl w:val="2"/>
          <w:numId w:val="2"/>
        </w:numPr>
        <w:tabs>
          <w:tab w:val="left" w:pos="1260"/>
        </w:tabs>
        <w:snapToGrid w:val="0"/>
        <w:spacing w:before="120" w:after="120" w:line="360" w:lineRule="auto"/>
        <w:ind w:left="1260" w:hanging="409"/>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不发生交通安全事故。</w:t>
      </w:r>
    </w:p>
    <w:p w14:paraId="60689473">
      <w:pPr>
        <w:widowControl/>
        <w:numPr>
          <w:ilvl w:val="2"/>
          <w:numId w:val="2"/>
        </w:numPr>
        <w:tabs>
          <w:tab w:val="left" w:pos="1260"/>
        </w:tabs>
        <w:snapToGrid w:val="0"/>
        <w:spacing w:before="120" w:after="120" w:line="360" w:lineRule="auto"/>
        <w:ind w:left="1260" w:hanging="409"/>
        <w:jc w:val="left"/>
        <w:rPr>
          <w:rFonts w:ascii="仿宋_GB2312" w:hAnsi="宋体" w:eastAsia="仿宋_GB2312" w:cs="新宋体-18030"/>
          <w:bCs/>
          <w:kern w:val="0"/>
          <w:sz w:val="24"/>
          <w:szCs w:val="24"/>
        </w:rPr>
      </w:pPr>
      <w:r>
        <w:rPr>
          <w:rFonts w:hint="eastAsia" w:ascii="仿宋_GB2312" w:hAnsi="宋体" w:eastAsia="仿宋_GB2312" w:cs="???-18030"/>
          <w:bCs/>
          <w:kern w:val="0"/>
          <w:sz w:val="24"/>
          <w:szCs w:val="24"/>
        </w:rPr>
        <w:t>不发生一次财产损失超过50万事件</w:t>
      </w:r>
      <w:r>
        <w:rPr>
          <w:rFonts w:hint="eastAsia" w:ascii="仿宋_GB2312" w:hAnsi="宋体" w:eastAsia="仿宋_GB2312" w:cs="新宋体-18030"/>
          <w:bCs/>
          <w:kern w:val="0"/>
          <w:sz w:val="24"/>
          <w:szCs w:val="24"/>
        </w:rPr>
        <w:t>。</w:t>
      </w:r>
    </w:p>
    <w:p w14:paraId="769774D4">
      <w:pPr>
        <w:widowControl/>
        <w:numPr>
          <w:ilvl w:val="2"/>
          <w:numId w:val="2"/>
        </w:numPr>
        <w:tabs>
          <w:tab w:val="left" w:pos="1260"/>
        </w:tabs>
        <w:snapToGrid w:val="0"/>
        <w:spacing w:before="120" w:after="120" w:line="360" w:lineRule="auto"/>
        <w:ind w:left="1260" w:hanging="409"/>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不发生集体食物中毒事件（同时5人及以上的食物中毒）。</w:t>
      </w:r>
    </w:p>
    <w:p w14:paraId="3458020A">
      <w:pPr>
        <w:widowControl/>
        <w:numPr>
          <w:ilvl w:val="2"/>
          <w:numId w:val="2"/>
        </w:numPr>
        <w:tabs>
          <w:tab w:val="left" w:pos="1260"/>
        </w:tabs>
        <w:snapToGrid w:val="0"/>
        <w:spacing w:before="120" w:after="120" w:line="360" w:lineRule="auto"/>
        <w:ind w:left="1260" w:hanging="409"/>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不发生流行性传染病。</w:t>
      </w:r>
    </w:p>
    <w:p w14:paraId="12C5CFA8">
      <w:pPr>
        <w:widowControl/>
        <w:numPr>
          <w:ilvl w:val="2"/>
          <w:numId w:val="2"/>
        </w:numPr>
        <w:tabs>
          <w:tab w:val="left" w:pos="1260"/>
        </w:tabs>
        <w:snapToGrid w:val="0"/>
        <w:spacing w:before="120" w:after="120" w:line="360" w:lineRule="auto"/>
        <w:ind w:left="1260" w:hanging="409"/>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不发生</w:t>
      </w:r>
      <w:r>
        <w:rPr>
          <w:rFonts w:hint="eastAsia" w:ascii="仿宋_GB2312" w:hAnsi="宋体" w:eastAsia="仿宋_GB2312" w:cs="楷体_GB2312"/>
          <w:kern w:val="0"/>
          <w:sz w:val="24"/>
          <w:szCs w:val="24"/>
        </w:rPr>
        <w:t>受到政府执法部门处罚的环境污染事件</w:t>
      </w:r>
      <w:r>
        <w:rPr>
          <w:rFonts w:hint="eastAsia" w:ascii="仿宋_GB2312" w:hAnsi="宋体" w:eastAsia="仿宋_GB2312" w:cs="新宋体-18030"/>
          <w:bCs/>
          <w:kern w:val="0"/>
          <w:sz w:val="24"/>
          <w:szCs w:val="24"/>
        </w:rPr>
        <w:t>。</w:t>
      </w:r>
    </w:p>
    <w:p w14:paraId="1B2181DE">
      <w:pPr>
        <w:widowControl/>
        <w:numPr>
          <w:ilvl w:val="2"/>
          <w:numId w:val="2"/>
        </w:numPr>
        <w:tabs>
          <w:tab w:val="left" w:pos="1260"/>
        </w:tabs>
        <w:snapToGrid w:val="0"/>
        <w:spacing w:before="120" w:after="120" w:line="360" w:lineRule="auto"/>
        <w:ind w:left="1260" w:hanging="409"/>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不发生迟报、谎报、瞒报、漏报未遂及以上安全事故/事件。</w:t>
      </w:r>
    </w:p>
    <w:p w14:paraId="7CB000D9">
      <w:pPr>
        <w:widowControl/>
        <w:numPr>
          <w:ilvl w:val="1"/>
          <w:numId w:val="2"/>
        </w:numPr>
        <w:tabs>
          <w:tab w:val="left" w:pos="1155"/>
        </w:tabs>
        <w:snapToGrid w:val="0"/>
        <w:spacing w:before="120" w:after="120"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承包人应建立与本项目安全目标相一致生产安全控制指标体系，并</w:t>
      </w:r>
      <w:r>
        <w:rPr>
          <w:rFonts w:hint="eastAsia" w:ascii="仿宋_GB2312" w:hAnsi="宋体" w:eastAsia="仿宋_GB2312" w:cs="新宋体-18030"/>
          <w:kern w:val="0"/>
          <w:sz w:val="24"/>
          <w:szCs w:val="24"/>
        </w:rPr>
        <w:t>对本单位总体安全目标和年度安全目标进行检查、监督，如出现偏差，分析原因并制定纠偏措施。</w:t>
      </w:r>
    </w:p>
    <w:p w14:paraId="52E8992F">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责任承担</w:t>
      </w:r>
    </w:p>
    <w:p w14:paraId="0DA43FC2">
      <w:pPr>
        <w:widowControl/>
        <w:tabs>
          <w:tab w:val="left" w:pos="1260"/>
        </w:tabs>
        <w:snapToGrid w:val="0"/>
        <w:spacing w:before="120" w:after="120" w:line="360" w:lineRule="auto"/>
        <w:ind w:left="851"/>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承包人应承诺在合同规定的活动中承担以下安全、环境责任：</w:t>
      </w:r>
    </w:p>
    <w:p w14:paraId="52EA6B2B">
      <w:pPr>
        <w:widowControl/>
        <w:numPr>
          <w:ilvl w:val="2"/>
          <w:numId w:val="2"/>
        </w:numPr>
        <w:tabs>
          <w:tab w:val="left" w:pos="1365"/>
        </w:tabs>
        <w:snapToGrid w:val="0"/>
        <w:spacing w:line="360" w:lineRule="auto"/>
        <w:ind w:left="1367" w:hanging="516"/>
        <w:jc w:val="left"/>
        <w:rPr>
          <w:rFonts w:ascii="仿宋_GB2312" w:hAnsi="宋体" w:eastAsia="仿宋_GB2312" w:cs="新宋体-18030"/>
          <w:bCs/>
          <w:iCs/>
          <w:kern w:val="0"/>
          <w:sz w:val="24"/>
          <w:szCs w:val="24"/>
        </w:rPr>
      </w:pPr>
      <w:r>
        <w:rPr>
          <w:rFonts w:hint="eastAsia" w:ascii="仿宋_GB2312" w:hAnsi="宋体" w:eastAsia="仿宋_GB2312" w:cs="新宋体-18030"/>
          <w:bCs/>
          <w:iCs/>
          <w:kern w:val="0"/>
          <w:sz w:val="24"/>
          <w:szCs w:val="24"/>
        </w:rPr>
        <w:t>承包人的法人代表或其授权人对本合同活动的职业健康、安全、环境负有全面的领导责任。</w:t>
      </w:r>
    </w:p>
    <w:p w14:paraId="049C7D18">
      <w:pPr>
        <w:widowControl/>
        <w:numPr>
          <w:ilvl w:val="2"/>
          <w:numId w:val="2"/>
        </w:numPr>
        <w:tabs>
          <w:tab w:val="left" w:pos="1365"/>
        </w:tabs>
        <w:snapToGrid w:val="0"/>
        <w:spacing w:line="360" w:lineRule="auto"/>
        <w:ind w:left="1367" w:hanging="516"/>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承包人项目负责人对合同活动的</w:t>
      </w:r>
      <w:r>
        <w:rPr>
          <w:rFonts w:hint="eastAsia" w:ascii="仿宋_GB2312" w:hAnsi="宋体" w:eastAsia="仿宋_GB2312" w:cs="新宋体-18030"/>
          <w:bCs/>
          <w:iCs/>
          <w:kern w:val="0"/>
          <w:sz w:val="24"/>
          <w:szCs w:val="24"/>
        </w:rPr>
        <w:t>职业健康、</w:t>
      </w:r>
      <w:r>
        <w:rPr>
          <w:rFonts w:hint="eastAsia" w:ascii="仿宋_GB2312" w:hAnsi="宋体" w:eastAsia="仿宋_GB2312" w:cs="新宋体-18030"/>
          <w:bCs/>
          <w:kern w:val="0"/>
          <w:sz w:val="24"/>
          <w:szCs w:val="24"/>
        </w:rPr>
        <w:t>安全</w:t>
      </w:r>
      <w:r>
        <w:rPr>
          <w:rFonts w:hint="eastAsia" w:ascii="仿宋_GB2312" w:hAnsi="宋体" w:eastAsia="仿宋_GB2312" w:cs="新宋体-18030"/>
          <w:bCs/>
          <w:iCs/>
          <w:kern w:val="0"/>
          <w:sz w:val="24"/>
          <w:szCs w:val="24"/>
        </w:rPr>
        <w:t>、环境</w:t>
      </w:r>
      <w:r>
        <w:rPr>
          <w:rFonts w:hint="eastAsia" w:ascii="仿宋_GB2312" w:hAnsi="宋体" w:eastAsia="仿宋_GB2312" w:cs="新宋体-18030"/>
          <w:bCs/>
          <w:kern w:val="0"/>
          <w:sz w:val="24"/>
          <w:szCs w:val="24"/>
        </w:rPr>
        <w:t>工作负有全面的直接管理责任。</w:t>
      </w:r>
    </w:p>
    <w:p w14:paraId="5229E528">
      <w:pPr>
        <w:widowControl/>
        <w:numPr>
          <w:ilvl w:val="2"/>
          <w:numId w:val="2"/>
        </w:numPr>
        <w:tabs>
          <w:tab w:val="left" w:pos="1365"/>
        </w:tabs>
        <w:snapToGrid w:val="0"/>
        <w:spacing w:line="360" w:lineRule="auto"/>
        <w:ind w:left="1367" w:hanging="516"/>
        <w:jc w:val="left"/>
        <w:rPr>
          <w:rFonts w:ascii="仿宋_GB2312" w:hAnsi="宋体" w:eastAsia="仿宋_GB2312" w:cs="新宋体-18030"/>
          <w:bCs/>
          <w:iCs/>
          <w:kern w:val="0"/>
          <w:sz w:val="24"/>
          <w:szCs w:val="24"/>
        </w:rPr>
      </w:pPr>
      <w:r>
        <w:rPr>
          <w:rFonts w:hint="eastAsia" w:ascii="仿宋_GB2312" w:hAnsi="宋体" w:eastAsia="仿宋_GB2312" w:cs="新宋体-18030"/>
          <w:bCs/>
          <w:iCs/>
          <w:kern w:val="0"/>
          <w:sz w:val="24"/>
          <w:szCs w:val="24"/>
        </w:rPr>
        <w:t>承包人应保证本单位安全生产投入的有效实施。</w:t>
      </w:r>
    </w:p>
    <w:p w14:paraId="524C49EA">
      <w:pPr>
        <w:widowControl/>
        <w:numPr>
          <w:ilvl w:val="2"/>
          <w:numId w:val="2"/>
        </w:numPr>
        <w:tabs>
          <w:tab w:val="left" w:pos="1365"/>
        </w:tabs>
        <w:snapToGrid w:val="0"/>
        <w:spacing w:line="360" w:lineRule="auto"/>
        <w:ind w:left="1367" w:hanging="516"/>
        <w:jc w:val="left"/>
        <w:rPr>
          <w:rFonts w:ascii="仿宋_GB2312" w:hAnsi="宋体" w:eastAsia="仿宋_GB2312" w:cs="新宋体-18030"/>
          <w:bCs/>
          <w:iCs/>
          <w:kern w:val="0"/>
          <w:sz w:val="24"/>
          <w:szCs w:val="24"/>
        </w:rPr>
      </w:pPr>
      <w:r>
        <w:rPr>
          <w:rFonts w:hint="eastAsia" w:ascii="仿宋_GB2312" w:hAnsi="宋体" w:eastAsia="仿宋_GB2312" w:cs="新宋体-18030"/>
          <w:bCs/>
          <w:iCs/>
          <w:kern w:val="0"/>
          <w:sz w:val="24"/>
          <w:szCs w:val="24"/>
        </w:rPr>
        <w:t>承包人应承诺服从发包人对安全、环境工作的统一协调和管理。</w:t>
      </w:r>
    </w:p>
    <w:p w14:paraId="1930F84D">
      <w:pPr>
        <w:widowControl/>
        <w:numPr>
          <w:ilvl w:val="2"/>
          <w:numId w:val="2"/>
        </w:numPr>
        <w:tabs>
          <w:tab w:val="left" w:pos="1365"/>
        </w:tabs>
        <w:snapToGrid w:val="0"/>
        <w:spacing w:line="360" w:lineRule="auto"/>
        <w:ind w:left="1367" w:hanging="516"/>
        <w:jc w:val="left"/>
        <w:rPr>
          <w:rFonts w:ascii="仿宋_GB2312" w:hAnsi="宋体" w:eastAsia="仿宋_GB2312" w:cs="新宋体-18030"/>
          <w:bCs/>
          <w:iCs/>
          <w:kern w:val="0"/>
          <w:sz w:val="24"/>
          <w:szCs w:val="24"/>
        </w:rPr>
      </w:pPr>
      <w:r>
        <w:rPr>
          <w:rFonts w:hint="eastAsia" w:ascii="仿宋_GB2312" w:hAnsi="宋体" w:eastAsia="仿宋_GB2312" w:cs="新宋体-18030"/>
          <w:bCs/>
          <w:iCs/>
          <w:kern w:val="0"/>
          <w:sz w:val="24"/>
          <w:szCs w:val="24"/>
        </w:rPr>
        <w:t>承包人应与分包商、供应商签订安全协议，明确双方安全职责与分工，保证分包商、供应商的资格符合发包人的要求，对施工队伍的安全实施统一管理，对分包商、供应商的安全向发包人负责。</w:t>
      </w:r>
    </w:p>
    <w:p w14:paraId="2C821EE6">
      <w:pPr>
        <w:widowControl/>
        <w:numPr>
          <w:ilvl w:val="2"/>
          <w:numId w:val="2"/>
        </w:numPr>
        <w:tabs>
          <w:tab w:val="left" w:pos="1365"/>
        </w:tabs>
        <w:snapToGrid w:val="0"/>
        <w:spacing w:line="360" w:lineRule="auto"/>
        <w:ind w:left="1367" w:hanging="516"/>
        <w:jc w:val="left"/>
        <w:rPr>
          <w:rFonts w:ascii="仿宋_GB2312" w:hAnsi="宋体" w:eastAsia="仿宋_GB2312" w:cs="新宋体-18030"/>
          <w:bCs/>
          <w:iCs/>
          <w:kern w:val="0"/>
          <w:sz w:val="24"/>
          <w:szCs w:val="24"/>
        </w:rPr>
      </w:pPr>
      <w:r>
        <w:rPr>
          <w:rFonts w:hint="eastAsia" w:ascii="仿宋_GB2312" w:hAnsi="宋体" w:eastAsia="仿宋_GB2312" w:cs="新宋体-18030"/>
          <w:bCs/>
          <w:iCs/>
          <w:kern w:val="0"/>
          <w:sz w:val="24"/>
          <w:szCs w:val="24"/>
        </w:rPr>
        <w:t>承包人应保证采购、租赁物项的安全性能、环保性能符合国家法律、标准和发包人的要求，对其实施统一的安全管理，并向发包人负责。</w:t>
      </w:r>
    </w:p>
    <w:p w14:paraId="0CABA276">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安全协议与接口协调</w:t>
      </w:r>
    </w:p>
    <w:p w14:paraId="69CBB3C7">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承包人应指定专人作为安全协调人，与发包人的安全相关部门接口，参与协调管理。</w:t>
      </w:r>
    </w:p>
    <w:p w14:paraId="2A7E8E7D">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在发生同一区域多个单位施工且影响相互间的安全生产时，承包人有义务与有关单位协商，确定协调的责任和方法，必要时可签订相关协议。该协议应征求发包人的意见，并在发包人备案。</w:t>
      </w:r>
    </w:p>
    <w:p w14:paraId="0A2B7B32">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区域、物项移交安全控制机制，避免出现移交过程安全失控或安全管理漏洞。在向下游单位移交时，保证安全条件和措施满足移交条件后，再向发包人提出移交申请。发包人负责施工现场移交协调管理，确定厂房、区域移交的时机和责任，区域、物项的安全条件和措施（含照明、通风、消防设备设施、临边孔洞防护措施等）必须随同移交下游单位。在接受上游单位移交时，必须检查确认安全条件和措施是否满足安全要求，经检查合格并移交双方签字确认方可接受。区域、物项移交一旦生效，由接受方履行移交区域或物项的安全管理职责（移交过程移交双方达成遗留项除外），包括但不限于照明、通风、消防设备设施、临边孔洞防护以及文明施工等。区域、物项的安全条件和措施的最终物项归属初始施工方。</w:t>
      </w:r>
    </w:p>
    <w:p w14:paraId="0904CFC8">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安全监督组织与网络</w:t>
      </w:r>
    </w:p>
    <w:p w14:paraId="7E7C2595">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本项目专职安全人员数量应不少于项目部全体员工人数的2%（包含分包商人员、劳务用工人员等），承包人的安全专职人员必须持有注册安全工程师或政府部门颁发的其他安全资质证书，同时专职安全人员持有注册安全工程师证书的比例应符合国家法律及发包人的要求。承包人的专职安全人员在业务上接受发包人的协调和指导。</w:t>
      </w:r>
    </w:p>
    <w:p w14:paraId="460B0CD2">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承包人应建立安全管理监督网络，建立诸如安全委员会或其他形式的安全协调机构，并定期组织安全会议，必要时组织专项会议。</w:t>
      </w:r>
    </w:p>
    <w:p w14:paraId="01CBCE97">
      <w:pPr>
        <w:widowControl/>
        <w:numPr>
          <w:ilvl w:val="1"/>
          <w:numId w:val="2"/>
        </w:numPr>
        <w:tabs>
          <w:tab w:val="left" w:pos="1155"/>
        </w:tabs>
        <w:snapToGrid w:val="0"/>
        <w:spacing w:line="360" w:lineRule="auto"/>
        <w:ind w:left="1134" w:hanging="714"/>
        <w:jc w:val="left"/>
        <w:rPr>
          <w:rFonts w:ascii="仿宋_GB2312" w:hAnsi="宋体" w:eastAsia="仿宋_GB2312" w:cs="???-18030"/>
          <w:bCs/>
          <w:kern w:val="0"/>
          <w:sz w:val="24"/>
          <w:szCs w:val="24"/>
        </w:rPr>
      </w:pPr>
      <w:r>
        <w:rPr>
          <w:rFonts w:hint="eastAsia" w:ascii="仿宋_GB2312" w:hAnsi="宋体" w:eastAsia="仿宋_GB2312" w:cs="新宋体-18030"/>
          <w:bCs/>
          <w:kern w:val="0"/>
          <w:sz w:val="24"/>
          <w:szCs w:val="24"/>
        </w:rPr>
        <w:t>承包人应建立领导安全管理带班巡视制度，明确项目管理团队人员安全管理巡视的具体方式、频次、参与人员等。</w:t>
      </w:r>
      <w:r>
        <w:rPr>
          <w:rFonts w:hint="eastAsia" w:ascii="仿宋_GB2312" w:hAnsi="宋体" w:eastAsia="仿宋_GB2312" w:cs="???-18030"/>
          <w:bCs/>
          <w:kern w:val="0"/>
          <w:sz w:val="24"/>
          <w:szCs w:val="24"/>
        </w:rPr>
        <w:t>承包人项目经理部成员</w:t>
      </w:r>
      <w:r>
        <w:rPr>
          <w:rFonts w:hint="eastAsia" w:ascii="仿宋_GB2312" w:hAnsi="宋体" w:eastAsia="仿宋_GB2312" w:cs="新宋体-18030"/>
          <w:bCs/>
          <w:kern w:val="0"/>
          <w:sz w:val="24"/>
          <w:szCs w:val="24"/>
        </w:rPr>
        <w:t>应每周进行现场管理巡视，</w:t>
      </w:r>
      <w:r>
        <w:rPr>
          <w:rFonts w:hint="eastAsia" w:ascii="仿宋_GB2312" w:hAnsi="宋体" w:eastAsia="仿宋_GB2312" w:cs="???-18030"/>
          <w:bCs/>
          <w:kern w:val="0"/>
          <w:sz w:val="24"/>
          <w:szCs w:val="24"/>
        </w:rPr>
        <w:t>每月应参加一次班组会议或班组讨论。</w:t>
      </w:r>
    </w:p>
    <w:p w14:paraId="00E9DDD8">
      <w:pPr>
        <w:widowControl/>
        <w:numPr>
          <w:ilvl w:val="1"/>
          <w:numId w:val="2"/>
        </w:numPr>
        <w:tabs>
          <w:tab w:val="left" w:pos="1155"/>
        </w:tabs>
        <w:snapToGrid w:val="0"/>
        <w:spacing w:line="360" w:lineRule="auto"/>
        <w:ind w:left="1134" w:hanging="714"/>
        <w:jc w:val="left"/>
        <w:rPr>
          <w:rFonts w:ascii="仿宋_GB2312" w:hAnsi="宋体" w:eastAsia="仿宋_GB2312" w:cs="???-18030"/>
          <w:bCs/>
          <w:kern w:val="0"/>
          <w:sz w:val="24"/>
          <w:szCs w:val="24"/>
        </w:rPr>
      </w:pPr>
      <w:r>
        <w:rPr>
          <w:rFonts w:hint="eastAsia" w:ascii="仿宋_GB2312" w:hAnsi="宋体" w:eastAsia="仿宋_GB2312" w:cs="???-18030"/>
          <w:bCs/>
          <w:kern w:val="0"/>
          <w:sz w:val="24"/>
          <w:szCs w:val="24"/>
        </w:rPr>
        <w:t>承包人应遵照《特殊工作时间安全管理办法》要求特别强化对节假日、夜间等特殊作业时间施工活动管理，严格执行作业申报、作业安全条件检查、交接班管理、领导带班巡视和作业后安全检查确认等五项制度。</w:t>
      </w:r>
    </w:p>
    <w:p w14:paraId="59FDB4CB">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当发包人生产主管部门和安全部门的人员要求立即中止违章作业时，承包人员工应无条件立即执行。发包人有权根据现场的安全风险情况自行签发或委托监理单位“停工令”。在接到停工令后，承包人应立即停止规定范围内的施工活动，组织安全整改，停工造成的影响和损失由承包人负责承担。</w:t>
      </w:r>
    </w:p>
    <w:p w14:paraId="1ABB5948">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人员基本素质</w:t>
      </w:r>
    </w:p>
    <w:p w14:paraId="45B9B887">
      <w:pPr>
        <w:widowControl/>
        <w:numPr>
          <w:ilvl w:val="1"/>
          <w:numId w:val="2"/>
        </w:numPr>
        <w:tabs>
          <w:tab w:val="left" w:pos="1155"/>
        </w:tabs>
        <w:snapToGrid w:val="0"/>
        <w:spacing w:before="120" w:after="120"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对所有进场施工人员进行医学健康体检，特殊工种和特殊岗位人员应按照国家相关规定进行特殊职业能力体检，确保有职业禁忌症人员从事禁忌作业。所有从业人员应满足岗位所需的文化程度、工作经验和身体素质，年龄不超过55周岁且无刑事案件牵连。</w:t>
      </w:r>
    </w:p>
    <w:p w14:paraId="752E4846">
      <w:pPr>
        <w:widowControl/>
        <w:numPr>
          <w:ilvl w:val="1"/>
          <w:numId w:val="2"/>
        </w:numPr>
        <w:tabs>
          <w:tab w:val="left" w:pos="851"/>
        </w:tabs>
        <w:snapToGrid w:val="0"/>
        <w:spacing w:before="120" w:after="120" w:line="360" w:lineRule="auto"/>
        <w:ind w:left="1134" w:leftChars="338" w:hanging="424" w:hangingChars="177"/>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的主要负责人、项目负责人、专职安全生产管理人员和特种从业人员应当国家及地方行政主管部门或者其他有关部门考核合格并取得有效资格证书（注：职业技能鉴定证书等不取代特种作业资格证）后方可任职。承包人应建立内部技能考核制度，对特殊工种和特殊岗位人员进行技能培训和能力考核，确保满足岗位需要。</w:t>
      </w:r>
    </w:p>
    <w:p w14:paraId="6BE95991">
      <w:pPr>
        <w:widowControl/>
        <w:numPr>
          <w:ilvl w:val="1"/>
          <w:numId w:val="2"/>
        </w:numPr>
        <w:tabs>
          <w:tab w:val="left" w:pos="851"/>
        </w:tabs>
        <w:snapToGrid w:val="0"/>
        <w:spacing w:before="120" w:after="120" w:line="360" w:lineRule="auto"/>
        <w:ind w:left="1134" w:leftChars="338" w:hanging="424" w:hangingChars="177"/>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发包人及其上级单位有权对承包人人员的基本素质情况进行检查，对不能满足要求的人员有权清退出场，由此产生的经济和法律后果由承包人承担。</w:t>
      </w:r>
    </w:p>
    <w:p w14:paraId="3D133A35">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班组管理</w:t>
      </w:r>
    </w:p>
    <w:p w14:paraId="02C8644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根据《基层安全班组安全生产标准化工作指引》要求开展班组管理各项工作，落实班组长注册制度、晨会制度、班组培训与学习制度、班组工器具管理制度、班组环境制度、班组隐患排查治理以及班组绩效考核等要求。</w:t>
      </w:r>
    </w:p>
    <w:p w14:paraId="1B33CD3C">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对班组实行班组实名注册制度，设定班组安全绩效考核指标，每月对班组进行考核评比，对优秀班组进行激励。承包人对绩效考核的结果进行独立评审，并在现场宣传栏、施工入口等处进行公示，保证绩效结果的公平和公正。</w:t>
      </w:r>
    </w:p>
    <w:p w14:paraId="63FC335A">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安全培训与授权</w:t>
      </w:r>
    </w:p>
    <w:p w14:paraId="1D32EB00">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承包人应严格按照《生产经营单位</w:t>
      </w:r>
      <w:r>
        <w:rPr>
          <w:rFonts w:hint="eastAsia" w:ascii="仿宋_GB2312" w:hAnsi="宋体" w:eastAsia="仿宋_GB2312" w:cs="新宋体-18030"/>
          <w:kern w:val="0"/>
          <w:sz w:val="24"/>
          <w:szCs w:val="24"/>
        </w:rPr>
        <w:t>安全培训</w:t>
      </w:r>
      <w:r>
        <w:rPr>
          <w:rFonts w:hint="eastAsia" w:ascii="仿宋_GB2312" w:hAnsi="宋体" w:eastAsia="仿宋_GB2312" w:cs="新宋体-18030"/>
          <w:bCs/>
          <w:kern w:val="0"/>
          <w:sz w:val="24"/>
          <w:szCs w:val="24"/>
        </w:rPr>
        <w:t>规定》应建立健全安全培训和考核制度，</w:t>
      </w:r>
      <w:r>
        <w:rPr>
          <w:rFonts w:hint="eastAsia" w:ascii="仿宋_GB2312" w:hAnsi="ˎ̥" w:eastAsia="仿宋_GB2312" w:cs="宋体"/>
          <w:kern w:val="0"/>
          <w:sz w:val="24"/>
          <w:szCs w:val="24"/>
        </w:rPr>
        <w:t>对项目主要负责人、安全生产管理人员、特种作业人员和其他从业人员进行安全培训，使其熟悉有关安全生产规章制度和安全操作规程，具备必要的安全生产知识，掌握本岗位的安全操作技能，增强预防事故、控制职业危害和应急处理的能力。承包人所有入场人员必须接受入场三级教育和定期安全复训，未经安全生产培训合格的从业人员，不得上岗作业。</w:t>
      </w:r>
    </w:p>
    <w:p w14:paraId="53AB0B5E">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承包人应建设有专门的培训教室，并且培训教室配备有良好的培训设施，包括桌椅、投影仪、电脑、音响等，应根据施工规模和员工数量配备情况对培训设施必要的增加、更新。</w:t>
      </w:r>
    </w:p>
    <w:p w14:paraId="63427DBC">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识别施工人员关键岗位，如特种作业人和其他关键性操作工种，并组织对其开展企业内部技能考核工作，采用技能考试、面试等方式评估员工工作能力，包括技术能力、个人行为、品质和态度、工作所需的具体身体条件等内容。</w:t>
      </w:r>
    </w:p>
    <w:p w14:paraId="0ECDC36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承包人引入的学习人员、参观人员、供应商代表等负有同样的安全培训与考核的责任，包括入场安全培训和现场作业过程安全监督。</w:t>
      </w:r>
    </w:p>
    <w:p w14:paraId="7FCC0B28">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开工控制</w:t>
      </w:r>
    </w:p>
    <w:p w14:paraId="6A6DF281">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项目开工前，发包人或监理单位将组织开工安全检查，检查内容包括但不限于：项目安全管理规划、全员安全责任制、安全投入计划、风险辨识与评价、隐患排查与治理、安全教育与培训、施工组织设计、安全生产标准化建设计划、现场安全文明状况等内容。</w:t>
      </w:r>
    </w:p>
    <w:p w14:paraId="7FAB63C4">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采购、租赁的安全防护用具、机械设备、施工机具及配件，应当具有生产(制造)许可证、产品合格证，并在场外进行预先验收，对不合格产品一律做清退处理。对于现场检查中发现的不合格产品，发包人对承包人入场验收放行人员保留责任追究权利。</w:t>
      </w:r>
    </w:p>
    <w:p w14:paraId="3624EB4E">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施工现场的安全防护用具、机械设备、施工机具及配件必须由专人管理，承包人应指定专门部门按照国家法规及技术标准要求定期进行检查、维修和保养，建立相应的资料档案，并按照国家有关规定及时报废。</w:t>
      </w:r>
    </w:p>
    <w:p w14:paraId="195EAF1D">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承包人应将现场作业基本安全条件作为施工计划的先决条件之一，开工前必须予以检查。发现问题未处理的，不得开工作业。</w:t>
      </w:r>
    </w:p>
    <w:p w14:paraId="247C0165">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出入管理与治安保卫</w:t>
      </w:r>
    </w:p>
    <w:p w14:paraId="21CE2375">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承包人应按市级有关标准和《安全生产标准化图集》要求实施场区封闭管理，设置门禁系统，配备专职保安人员，采取人防、技防、物防控制措施确保施工区域安保措施受控。</w:t>
      </w:r>
    </w:p>
    <w:p w14:paraId="6BE84413">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宋体"/>
          <w:kern w:val="0"/>
          <w:sz w:val="24"/>
          <w:szCs w:val="24"/>
        </w:rPr>
        <w:t>承包人根据发包人要求进行责任区域的移交管理。移交前，下游承包商提前介入安装设备的照管责任由介入承包商负责。承包人在将房间、区域、厂房移交下游承包商时，应办理移交证书，明确移交双方的责任、移交内容及状态，包括反移交、设备引入等。</w:t>
      </w:r>
    </w:p>
    <w:p w14:paraId="0C33994B">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安全投入</w:t>
      </w:r>
    </w:p>
    <w:p w14:paraId="32148003">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承包人在投标时应提交本工程安全费用工程量清单，作为合同安全费用报价依据，</w:t>
      </w:r>
      <w:r>
        <w:rPr>
          <w:rFonts w:hint="eastAsia" w:ascii="仿宋_GB2312" w:hAnsi="宋体" w:eastAsia="仿宋_GB2312" w:cs="宋体"/>
          <w:kern w:val="0"/>
          <w:sz w:val="24"/>
          <w:szCs w:val="24"/>
        </w:rPr>
        <w:t>安全费用工程量清单应与报价的清单保持一致</w:t>
      </w:r>
      <w:r>
        <w:rPr>
          <w:rFonts w:hint="eastAsia" w:ascii="仿宋_GB2312" w:hAnsi="宋体" w:eastAsia="仿宋_GB2312" w:cs="新宋体-18030"/>
          <w:bCs/>
          <w:kern w:val="0"/>
          <w:sz w:val="24"/>
          <w:szCs w:val="24"/>
        </w:rPr>
        <w:t>。</w:t>
      </w:r>
    </w:p>
    <w:p w14:paraId="075CED37">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在施工组织设计阶段完成安全费用投入计划的编制，安全费用投入计划应随施工组织设计方案同时报送发包人或监理单位审核，经发包人或监理单位审核确认后的安全费用投入计划作为安全费用支付依据。</w:t>
      </w:r>
    </w:p>
    <w:p w14:paraId="1EB6265A">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承包人应建立安全费用专用账户，保证施工合同安全费用资金专款专用。</w:t>
      </w:r>
      <w:r>
        <w:rPr>
          <w:rFonts w:hint="eastAsia" w:ascii="仿宋_GB2312" w:hAnsi="宋体" w:eastAsia="仿宋_GB2312" w:cs="宋体"/>
          <w:kern w:val="0"/>
          <w:sz w:val="24"/>
          <w:szCs w:val="24"/>
        </w:rPr>
        <w:t>承包人应建立安措费支取、安全设施采购和使用数据库，并向发包人无条件公开，</w:t>
      </w:r>
      <w:r>
        <w:rPr>
          <w:rFonts w:hint="eastAsia" w:ascii="仿宋_GB2312" w:hAnsi="宋体" w:eastAsia="仿宋_GB2312" w:cs="新宋体-18030"/>
          <w:bCs/>
          <w:kern w:val="0"/>
          <w:sz w:val="24"/>
          <w:szCs w:val="24"/>
        </w:rPr>
        <w:t>发包人有权不定期核查。</w:t>
      </w:r>
    </w:p>
    <w:p w14:paraId="5E9A76E0">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如承包人未建立安措费支取、安全设施采购和使用数据库，或虽建立但未向发包人无条件公开，或发包人在核查承包人的安措费使用情况发现重大问题而承包人未按时整改的，则发包人有权扣除承包人剩余安全措施费用相应金额的合同款。</w:t>
      </w:r>
    </w:p>
    <w:p w14:paraId="0AAC5A08">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承包人安全费用（包括安全生产、文明施工和环境保护费用）的费率不得低于国家或地方政府相关部门规定的最低标准，发包人将安全费用列入工程造价，在竞标时，不得删减，列入标外管理。</w:t>
      </w:r>
    </w:p>
    <w:p w14:paraId="0766E28C">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承包人不得克扣其分供商或分包商的安全投入，并且要监督其分供商或分包商安全投入使用情况。</w:t>
      </w:r>
    </w:p>
    <w:p w14:paraId="33C0B52D">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承包人应监督检查其劳保用品发放情况，严禁承包人从劳务工工资中扣除劳保费用。</w:t>
      </w:r>
    </w:p>
    <w:p w14:paraId="1B01003A">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分包商及劳务用工安全</w:t>
      </w:r>
    </w:p>
    <w:p w14:paraId="20AD34A4">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承包人应遵守发包人分包管理程序</w:t>
      </w:r>
      <w:r>
        <w:rPr>
          <w:rFonts w:hint="eastAsia" w:ascii="仿宋_GB2312" w:hAnsi="宋体" w:eastAsia="仿宋_GB2312" w:cs="新宋体-18030"/>
          <w:kern w:val="0"/>
          <w:sz w:val="24"/>
          <w:szCs w:val="24"/>
        </w:rPr>
        <w:t>选择分包商，</w:t>
      </w:r>
      <w:r>
        <w:rPr>
          <w:rFonts w:hint="eastAsia" w:ascii="仿宋_GB2312" w:hAnsi="宋体" w:eastAsia="仿宋_GB2312" w:cs="新宋体-18030"/>
          <w:bCs/>
          <w:kern w:val="0"/>
          <w:sz w:val="24"/>
          <w:szCs w:val="24"/>
        </w:rPr>
        <w:t>并根据合同约定建立合格分包方名录（清单），建立分包商资格审查程序，审核验证分包商资质，并报发包人和监理单位审核备案。</w:t>
      </w:r>
    </w:p>
    <w:p w14:paraId="41C8B0D5">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承包人按照合同规定与分包方签订分包合同，分包合同应包含安全协议，传递发包人和承包人自身安全管理要求，确保分包人在承包人安全管理体系下运作，并对分包方进行安全监管。</w:t>
      </w:r>
    </w:p>
    <w:p w14:paraId="64D5FDFE">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以任何用工形式使用的长期劳务用工和短期、临时劳务用工、参观人员都属于承包人本单位员工。承包人应对其分包商及劳务用工或学徒、技校生实行直接的安全管理，承包人对分包商、劳务用工、本单位临时人员的安全管理负有全部责任。</w:t>
      </w:r>
    </w:p>
    <w:p w14:paraId="0DE53C7E">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职业健康与卫生防疫</w:t>
      </w:r>
    </w:p>
    <w:p w14:paraId="66DBB620">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根据国家有关法律法规及标准和发包人要求建立职业健康管理制度，识别涉职业危害重点岗位和人员，并为其建立职业健康监护档案。同时实施施工作业环境影响监测制度，对作业区域粉尘、噪声、有毒有害物质以及温湿度等影响从业人员职业健康因素进行定期监测，形成监测分析报告，针对不符合事项制定改进措施并落实，监测和措施措施情况报告报发包人备案。</w:t>
      </w:r>
    </w:p>
    <w:p w14:paraId="1B1AB4D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承包人必须在项目建设过程中按照国家法律要求建立健康关怀系统，包括以下内容：体检、饮水及卫生设施、就餐及休息设施、健身活动、健身设施、吸烟点、禁烟活动。</w:t>
      </w:r>
    </w:p>
    <w:p w14:paraId="400DEB67">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卫生防疫措施计划，做好生活区和施工区的卫生防疫工作。制定和执行保证饮水卫生、饮食卫生、环境卫生和预防集体食物中毒的措施。有灭蚊、灭鼠和消毒的专项工作计划和措施。有针对性地制订预防各类传染疾病的措施。</w:t>
      </w:r>
    </w:p>
    <w:p w14:paraId="5956DD2E">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承包人应严格遵守疫情防控有关规定，健全本单位疫情防控管理制度和应急处置方案，备足备齐疫情防控物资装备，根据有关工作指引开展科疫情防控工作。</w:t>
      </w:r>
    </w:p>
    <w:p w14:paraId="0847FB8E">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风险分级管理与隐患排查</w:t>
      </w:r>
    </w:p>
    <w:p w14:paraId="7753A0B9">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承包人应对本合同活动进行全面、深入的风险识别和评价，制定风险分级管控措施，定期对所有活动的安全风险进行复核，编制风险识别与评价报告并报发包人和监理单位。</w:t>
      </w:r>
    </w:p>
    <w:p w14:paraId="68EE8E72">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充分识别本合同所涉及的危险性较大的分部分项工程，制定专项施工方案编制计划，严格按照《危险性较大的分部分项工程安全管理规定》《危险性较大的分部分项工程专项施工方案编制指南》要求编制、审核和批准。对涉及超一定规模的危险性较大的分部分项工程，应组织专家评审。施工期间应严格按照方案施工，涉及变更的应重新组织审查和评审，对现场要害部位、关键节点给予必要的警戒标识，防止误动或违规破坏。</w:t>
      </w:r>
    </w:p>
    <w:p w14:paraId="531B573F">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承包人应制定高危作业许可管理制度，实施高危作业许可管理，许可范围和有关规定应不低于发包人《</w:t>
      </w:r>
      <w:r>
        <w:rPr>
          <w:rFonts w:hint="eastAsia" w:ascii="仿宋_GB2312" w:hAnsi="宋体" w:eastAsia="仿宋_GB2312" w:cs="新宋体-18030"/>
          <w:kern w:val="0"/>
          <w:sz w:val="24"/>
          <w:szCs w:val="24"/>
        </w:rPr>
        <w:t>作业安全许可管理规定</w:t>
      </w:r>
      <w:r>
        <w:rPr>
          <w:rFonts w:hint="eastAsia" w:ascii="仿宋_GB2312" w:hAnsi="宋体" w:eastAsia="仿宋_GB2312" w:cs="新宋体-18030"/>
          <w:bCs/>
          <w:kern w:val="0"/>
          <w:sz w:val="24"/>
          <w:szCs w:val="24"/>
        </w:rPr>
        <w:t>》相关要求。</w:t>
      </w:r>
    </w:p>
    <w:p w14:paraId="4B443FFE">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承包人应制定安全检查和隐患排查治理制度，明确内部职责与分工，开展经常性安全检查和各类专项安全检查活动，组织各层级落实事故隐患排查和治理，确保事故隐患及时发现和处理。</w:t>
      </w:r>
    </w:p>
    <w:p w14:paraId="5260639C">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承包人应应建立事故隐患排查整治台账，定期对事故隐患进行统计分析，制定有针对性改进行动。</w:t>
      </w:r>
    </w:p>
    <w:p w14:paraId="06114423">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基本安全设施</w:t>
      </w:r>
    </w:p>
    <w:p w14:paraId="5AA5EF7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承包人应根据发包人要求规定现场作业的基本安全条件，包括照明、通风、作业平台和通道、物料堆放、供电供水、吸烟点、厕所、休息点等。</w:t>
      </w:r>
    </w:p>
    <w:p w14:paraId="70EDDE47">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对于脚手架及其安全网等配套防护设施或措施，应建立设计、搭制、验收、使用、拆除的技术标准和管理程序，明确责任和分工，实现规范化操作。同时，承包人应对脚手架实施专项归口管理，其工作内容包括但不限于建立和修订脚手架管制制度、脚手架相关施工方案审核、架子工资格管理、脚手架现场使用全周期（材料入场控制、脚手架搭设、验收、使用、变更和拆除）进行综合协调管理。</w:t>
      </w:r>
    </w:p>
    <w:p w14:paraId="42734CE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挖掘作业必须落实地下管线（水、电、气、信）保护措施，即地下管线、设施保护“6 个 100%”措施（100%签署地下管线保护协议,100%查明地下管线分布情况，100%制定地下管线保护方案，100%配备管线工程师， 100%实施《动土令》制度，100%做好作业技术交底）工作要求。</w:t>
      </w:r>
    </w:p>
    <w:p w14:paraId="3890A12D">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设备或管道吊装就位，或因施工要求需临时吊挂的，吊点必须经专门的设计验算，并制作成标准件，现场使用时喷涂红白相间油漆并张贴荷载和管理验收信息。在钢格栅上架设的临时吊点时，其支撑两端必须设置在承重钢梁上。一般情况下禁止使用吊装设备（吊车、倒链等）进行长期（注：吊车、倒链等起重设备只能在起重、调整期间受力）承重吊挂，若需长期吊挂时，必须设置二次保护措施。吊挂点下方可坠落范围设立隔离边界，禁止无关进入隔离区。</w:t>
      </w:r>
    </w:p>
    <w:p w14:paraId="47489942">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承包人应在本合同工程范围中使用盘扣式脚手架，其技术要求应满足《建筑施工扣件式钢管脚手架安全技术规范》《直缝电焊钢管》相应要求，脚手板应满足《连续热镀锌钢板及钢带》的相应要求。</w:t>
      </w:r>
    </w:p>
    <w:p w14:paraId="7D72873D">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劳动保护</w:t>
      </w:r>
    </w:p>
    <w:p w14:paraId="3781F299">
      <w:pPr>
        <w:widowControl/>
        <w:numPr>
          <w:ilvl w:val="1"/>
          <w:numId w:val="2"/>
        </w:numPr>
        <w:tabs>
          <w:tab w:val="left" w:pos="1155"/>
          <w:tab w:val="left" w:pos="1560"/>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承包人所有现场作业人员均应穿戴安全帽、工作服和安全鞋，高处及临边作业人员必须使用双大钩安全带。</w:t>
      </w:r>
    </w:p>
    <w:p w14:paraId="07E2F9CB">
      <w:pPr>
        <w:widowControl/>
        <w:numPr>
          <w:ilvl w:val="1"/>
          <w:numId w:val="2"/>
        </w:numPr>
        <w:tabs>
          <w:tab w:val="left" w:pos="1155"/>
          <w:tab w:val="left" w:pos="1560"/>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按国家标准所规定的劳保用品配备标准为员工配备个人防护用品，并制定管理规定，对个人防护用品进行管理，包括对基本劳动保护用品、特殊防护用品、安全常用仪器仪表的种类、品牌、使用寿命、使用部位、验收内容、使用方法、注意事项等进行规定。</w:t>
      </w:r>
    </w:p>
    <w:p w14:paraId="74FE1BEA">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承包人在制定施工方案时，考虑在合适的地方采用设计、工程和管理控制来取代个人防护用品的方案。</w:t>
      </w:r>
    </w:p>
    <w:p w14:paraId="6BFA62DA">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特殊作业人员必须根据实际需要，配备反光背心、安全带、救生衣、手套、护目镜、耳塞、口罩等特殊劳动保护。</w:t>
      </w:r>
    </w:p>
    <w:p w14:paraId="4881BC10">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特种作业人员应采取一定的措施，在安全帽或工作服标识上与其他工种进行区分。</w:t>
      </w:r>
    </w:p>
    <w:p w14:paraId="2291DE3F">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承包人为所有作业人员（含分包商人员）统一采购、配发一般劳动防护用品（含冬季劳动防护）和特殊劳动防护用品，对所采购劳动防护用品合规性负责。</w:t>
      </w:r>
    </w:p>
    <w:p w14:paraId="25A99C07">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施工机具安全</w:t>
      </w:r>
    </w:p>
    <w:p w14:paraId="1991579D">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带入现场的施工机械、施工机具及安全相关的施工作业材料必须经过发包人或监理人的外观和性能检查，发包人也可以要求承包人委托有资格的技术监督机构依据国家或行业的强制性标准对其进行安全技术性检查。不满足发包人安全要求的不得进入现场使用，发包人或监理单位的检查并不减轻承包人应承担的安全责任。对于所有施工租赁设备，承包人负有同等的安全管理责任。</w:t>
      </w:r>
    </w:p>
    <w:p w14:paraId="6D5E3DB4">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承包人应建立施工机械安全的管理程序，对缺陷报告、维护、维修、试验、检测、报废以及档案、记录等各个环节作出规定；承包人应建立施工机械安全技术程序，包括操作、检验、试验程序。</w:t>
      </w:r>
    </w:p>
    <w:p w14:paraId="795994BD">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承包人现场使用自制工器具时，必须执行自制工器具设计和验收制度（明确维护、保养、报废要求），规范自制工器具的制作与安全使用。自制工机具需报发包人同意后方可使用。</w:t>
      </w:r>
    </w:p>
    <w:p w14:paraId="7F6459CF">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消防安全</w:t>
      </w:r>
    </w:p>
    <w:p w14:paraId="712F4E0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承包人应根据《建设工程施工现场消防安全技术规范》建立和维护本施工区域临时消防水系统，确保临时消防水系统可用。</w:t>
      </w:r>
    </w:p>
    <w:p w14:paraId="22433A12">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承包人责建立消防器材动态数据库，数据库内容至少包括以下内容：灭火器材种类、灭火器材数量、责任人。消防器材的配置与要求应严格国家有关法律法规及标准执行，原则上配置标准应不低于正式设计文件。</w:t>
      </w:r>
    </w:p>
    <w:p w14:paraId="5EE94AB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承包人应参照发包人程序建立施工动火控制制度，动火作业须办理动火证，并根据《建筑工程消防安全技术规范》为每一处动火作业点配置专职监护人。</w:t>
      </w:r>
    </w:p>
    <w:p w14:paraId="6A069300">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承包人应尽量减少可（易）燃物的储存；确需要储存时必须办理临时存放许可证；可（易）燃物的储存区必须远离火源，配备消防器材、设置消防通道并保持畅通。</w:t>
      </w:r>
    </w:p>
    <w:p w14:paraId="5A603CD0">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电气安全</w:t>
      </w:r>
    </w:p>
    <w:p w14:paraId="1BD5A672">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按《施工现场临时用电安全技术规范》及现场条件，编制临时用电施工组织设计，对用电设备容量、电缆走向、电缆敷设、电器安全设施参数、用电管理等进行规定，经发包人或监理单位审核、批准后实施。现场实际情况变更时，应予提前升版和报审。</w:t>
      </w:r>
    </w:p>
    <w:p w14:paraId="26D9D47C">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施工现场临时用电配电系统应设置配电柜或总配电箱（即一级配电箱）、分配电箱、开关箱，实行三级配电。总配电箱、开关箱必须装设漏电保护。</w:t>
      </w:r>
    </w:p>
    <w:p w14:paraId="4921A532">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现场范围内露天不能使用架空线供电，</w:t>
      </w:r>
      <w:r>
        <w:rPr>
          <w:rFonts w:hint="eastAsia" w:ascii="仿宋_GB2312" w:hAnsi="宋体" w:eastAsia="仿宋_GB2312" w:cs="宋体"/>
          <w:kern w:val="0"/>
          <w:sz w:val="24"/>
          <w:szCs w:val="24"/>
        </w:rPr>
        <w:t>地埋电缆禁止直埋，必须加套管或保护层，埋设深度不应小于700mm，并按规定布置标志桩</w:t>
      </w:r>
      <w:r>
        <w:rPr>
          <w:rFonts w:hint="eastAsia" w:ascii="仿宋_GB2312" w:hAnsi="宋体" w:eastAsia="仿宋_GB2312" w:cs="新宋体-18030"/>
          <w:bCs/>
          <w:kern w:val="0"/>
          <w:sz w:val="24"/>
          <w:szCs w:val="24"/>
        </w:rPr>
        <w:t>，禁止采取铺砂盖砖的敷设方式。室内</w:t>
      </w:r>
      <w:r>
        <w:rPr>
          <w:rFonts w:hint="eastAsia" w:ascii="仿宋_GB2312" w:hAnsi="宋体" w:eastAsia="仿宋_GB2312" w:cs="宋体"/>
          <w:kern w:val="0"/>
          <w:sz w:val="24"/>
          <w:szCs w:val="24"/>
        </w:rPr>
        <w:t>电缆敷设应根据施工环境特点安装高度应能够避免机械损伤和其他损伤，电缆距离地面高度不宜小于2.5m，采用绝缘挂钩悬挂走线，不得直接挂在金属构架、脚手架等其他支架上。当电缆敷设穿越楼板、墙壁和空洞时应采取绝缘管或护套进行保护。</w:t>
      </w:r>
      <w:r>
        <w:rPr>
          <w:rFonts w:hint="eastAsia" w:ascii="仿宋_GB2312" w:hAnsi="宋体" w:eastAsia="仿宋_GB2312" w:cs="新宋体-18030"/>
          <w:bCs/>
          <w:kern w:val="0"/>
          <w:sz w:val="24"/>
          <w:szCs w:val="24"/>
        </w:rPr>
        <w:t>当采用地面走线时，电缆布置应根据施工用电配电系统及用电需求布置配电线路槽盒，通道处须设置过桥保护。</w:t>
      </w:r>
    </w:p>
    <w:p w14:paraId="5FBDB541">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结合施工现场临时施工用电施工组织设计建立匹配的接地网络，接地网络按建筑层逐层布置，综合考虑配电系统、用电设备就近连接。不得采用铝导体做接地体或地下接地线。垂直接地体宜采用角钢、钢管或光面圆钢，不得采用螺纹钢。</w:t>
      </w:r>
    </w:p>
    <w:p w14:paraId="6A26F48D">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配电箱编号、上锁，张贴设备标牌、维护责任人信息牌、警示标牌，室外配电箱必须采取加固措施；高压变压器四周必须设置护栏，防止非作业人员进入。</w:t>
      </w:r>
    </w:p>
    <w:p w14:paraId="34CBAB57">
      <w:pPr>
        <w:widowControl/>
        <w:numPr>
          <w:ilvl w:val="1"/>
          <w:numId w:val="2"/>
        </w:numPr>
        <w:tabs>
          <w:tab w:val="left" w:pos="1155"/>
        </w:tabs>
        <w:snapToGrid w:val="0"/>
        <w:spacing w:before="120" w:after="120"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施工现场所有区域应布置照明设施，施工作业面最低照度应不低于50LX，非作业区照度应不低于10LX。</w:t>
      </w:r>
    </w:p>
    <w:p w14:paraId="109BE99D">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环境保护</w:t>
      </w:r>
    </w:p>
    <w:p w14:paraId="7635E432">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承包人须对本单位相关的环境因素按年度逐一进行识别，制定环境因素评价准则，评价、确定重要环境因素，编制环境因素和重要环境因素清单及控制措施，报发包人和监理单位备案。</w:t>
      </w:r>
    </w:p>
    <w:p w14:paraId="1C8EE411">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承包人应根据实际需要，在施工现场布置满足发包人要求的临时卫生设施（洗手间、卫生间等），并安排专门人员、设备等资源维护现场卫生设施，保证卫生设施清洁、整洁、无异味。</w:t>
      </w:r>
    </w:p>
    <w:p w14:paraId="4868EB78">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承包人应充分重视防止水土流失，土石方开挖、边坡防护、临时道路等有水土流失隐患的分部工程开工前，须向发包人或监理单位提交该分部工程的水土保持措施施工组织设计，审核同意后方可开工。</w:t>
      </w:r>
    </w:p>
    <w:p w14:paraId="75994DAF">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承包人应严格执行扬尘污染防治措施，落实“6 个 100%”（施工围挡及外架100%全封闭、出入口及车行道100%硬底化、出入口100%安装冲洗设施、易起尘作业面100%湿法施工、裸露土及易起尘物料100%覆盖、出入口 100%安装 TSP 在线监测设备）工作要求。</w:t>
      </w:r>
    </w:p>
    <w:p w14:paraId="7EBE2E9D">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承包人施工中应及时对裸露的地基、边坡、开挖出来的沙、土以及砂、石、水泥等建筑材料予以保护，防止风刮扬尘，雨水冲刷，流入海洋或下水道、排洪沟。</w:t>
      </w:r>
    </w:p>
    <w:p w14:paraId="0DA5565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在生产过程中产生的“三废”应严格按照国家有关环境法律法规及标准处理。固体废物应集中存储并处理，涉危险化学品废物处理必须委托有资质单位处理并报发包人备案。危险化学品库房设计与建造应充分考虑存储安全和事故状态下应急处置相关要求。</w:t>
      </w:r>
    </w:p>
    <w:p w14:paraId="24DE1432">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施工临建安全</w:t>
      </w:r>
    </w:p>
    <w:p w14:paraId="530B177F">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承包人根据发包人现场总体规划制定生产临建规划方案，临建规划布置应满足有关法律法规及标准要求，临建规划方案应报发包人审批合格后方可实施。</w:t>
      </w:r>
    </w:p>
    <w:p w14:paraId="705DA9F3">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承包人在工地内的临建设施，必须满足国家法规和地方政府的安全规定和发包人在合同中规定的卫生、防疫、消防等要求。临时施工建筑的建设标准应不低于有关标准规范和发包人安全生产标准化图集要求。</w:t>
      </w:r>
    </w:p>
    <w:p w14:paraId="7D38DB80">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承包人应按照所在地地方政府有关管理规定执行生产临建、危化品库房以及消防设施等报建和验收工作，保存有关设计、建设及验收记录，发包人有权对其进行监督检查。</w:t>
      </w:r>
    </w:p>
    <w:p w14:paraId="4E53B028">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的生活营地（包括自建的和租用的营地）应满足消防、安全用电、卫生防疫、防抗台风、雷雨、暴雨、大风、寒潮、暴风雪等方面的安全要求，并建立相应的管理制度；尤其严格消防管理，禁止封锁逃生通道。</w:t>
      </w:r>
    </w:p>
    <w:p w14:paraId="1B998330">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在发包人管辖区域内所建立的临建设施，如车间、仓库、加工场地、预制场地等等，必须满足发包人的规划要求，这些临建设施必须具备基本的安全性能，包括抗震、防台、防雷雨大风、防暴雨、防大风、防寒潮、消防、应急逃生、安全距离、应急照明、通风空调、卫生、安全标志、防盗等性能。对于有特殊风险的厂房，如油漆喷沙车间，则必须配置专项安全装置。</w:t>
      </w:r>
    </w:p>
    <w:p w14:paraId="77421A93">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任何区域的用于本合同相关活动的临建厂房所使用的特种机械，如行车、机床、充电设备等，必须符合国家强制性标准和特种设备的要求。存放危险化学品、压缩气体、射线探伤装置和放射源的设施，必须满足分隔存放等安全要求，禁止混放。禁止使用工作场所、仓库、生活场所“三合一”的设施。</w:t>
      </w:r>
    </w:p>
    <w:p w14:paraId="330907A2">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事故报告与应急救援</w:t>
      </w:r>
    </w:p>
    <w:p w14:paraId="0C93E9A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参照发包人的标准，建立生产安全事件报告准则；对于未遂事故及以上级别的安全事件和事故，应建立事故快速报告制度，即在事件、事故发生后，立即报告发包人和监理单位。不得迟报、谎报、漏报和瞒报。</w:t>
      </w:r>
    </w:p>
    <w:p w14:paraId="5ACBE087">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承包人应执行发包人规定的24小时事件报告制度，即在事件发生后的24小时以内，发出书面安全事件通告。</w:t>
      </w:r>
    </w:p>
    <w:p w14:paraId="6BD6CC73">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承包人应建立安全事故事件统计记录、未遂事故统计记录、违章统计记录，并根据统计情况进行分析，并就分析结果制定相应的预防措施。</w:t>
      </w:r>
    </w:p>
    <w:p w14:paraId="69940C4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承包人负责组织的事故调查，发包人有权参与调查。在事故发生后的30个工作日内，承包人应向发包人递交正式的事故调查处理报告。</w:t>
      </w:r>
    </w:p>
    <w:p w14:paraId="16330E2B">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承包人应建立事故应急救援机制，明确事故处置的基本原则，即现场发生事故时，首先抢救生命，向救援组织报警，并采取措施限制事故扩大。</w:t>
      </w:r>
    </w:p>
    <w:p w14:paraId="276733F2">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专项应急响应预案，包括重大人身伤亡事故的救护预案、火灾响应预案、“自然灾害”预案（如防台风、防雷击、防暴雨、防暑等等），并提交发包人和监理单位审核、备案。承包人应对应急预案进行适当演练，保证应急预案的可操作性。</w:t>
      </w:r>
    </w:p>
    <w:p w14:paraId="2785C454">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工作时间以外风险控制</w:t>
      </w:r>
    </w:p>
    <w:p w14:paraId="01ACB1F3">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承包人应建立集体活动审批制度，明确工作时间以外集体活动组织安全控制要求，避免发生群体事件或群死群伤事故。</w:t>
      </w:r>
    </w:p>
    <w:p w14:paraId="669A45E3">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承包人应建立工作时间以外安全管理制度，规范个人或集体工作时间外活动行为。针对节假日外出、周边活动安全风险点发出安全风险提醒。</w:t>
      </w:r>
    </w:p>
    <w:p w14:paraId="455C4CF0">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工伤保险</w:t>
      </w:r>
    </w:p>
    <w:p w14:paraId="483D6B8C">
      <w:pPr>
        <w:widowControl/>
        <w:tabs>
          <w:tab w:val="left" w:pos="1365"/>
        </w:tabs>
        <w:snapToGrid w:val="0"/>
        <w:spacing w:before="120" w:after="120" w:line="360" w:lineRule="auto"/>
        <w:ind w:firstLine="480" w:firstLineChars="200"/>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承包人负责所有人员（包括分包商及其临时劳务工）的工伤保险，上述保险不得从工资和福利中扣除。</w:t>
      </w:r>
    </w:p>
    <w:p w14:paraId="4C4134CD">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安全业绩考核</w:t>
      </w:r>
    </w:p>
    <w:p w14:paraId="59F87EBD">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承包人应建立分级问责制度，结合发包人的分级问责评价机制建立自己单位内部的相关制度或规定，并严格执行。</w:t>
      </w:r>
    </w:p>
    <w:p w14:paraId="5E4F876F">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承包人应建立职业健康、安全生产、环境目标考核制度，对各级组织的安全管理业绩和个人的安全业绩进行考核，并给予奖惩。</w:t>
      </w:r>
    </w:p>
    <w:p w14:paraId="5F3B90CC">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奖励</w:t>
      </w:r>
    </w:p>
    <w:p w14:paraId="663F2F58">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发包人可根据年度和整个项目过程中取得的良好安全业绩给予承包人或承包人所属的人员一定的履约奖励。</w:t>
      </w:r>
    </w:p>
    <w:p w14:paraId="1E634DF7">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宋体"/>
          <w:kern w:val="0"/>
          <w:sz w:val="24"/>
          <w:szCs w:val="24"/>
        </w:rPr>
        <w:t>为激励承包人单位或个人在合同执行内对项目安全的贡献，发包人可以采取不同形式的激励措施。承包人在接收到相关精神或物质激励后，应如数拨付至具体的组织或个人，并将发放记录报发包人备案，发包人有权随时进行核查。</w:t>
      </w:r>
    </w:p>
    <w:p w14:paraId="1173754B">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违约</w:t>
      </w:r>
    </w:p>
    <w:p w14:paraId="34B53CB2">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对于承包人违反国家及地方有关法律法规、标准及本合同约定的，发包人有权根据违约情节作出要求撤换承包人关键岗位人员、约谈投标方主要负责人、停工整改以及扣除违约金等一种或多种处理措施。承包人因安全问题被发包人要求停工整改的，其停工期间所造成的一切损失由承包人自行承担。</w:t>
      </w:r>
    </w:p>
    <w:p w14:paraId="75A96EA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存在违反下列事项的，发包人有权要求承包人更换项目关键岗位人员（不限于项目负责人、技术负责人、安全负责人、质量负责人）：</w:t>
      </w:r>
    </w:p>
    <w:p w14:paraId="2B44B4B5">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发生重伤及以上安全事故；</w:t>
      </w:r>
    </w:p>
    <w:p w14:paraId="3CC18BE4">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不能履行岗位安全职责，经约谈后仍无改善；</w:t>
      </w:r>
    </w:p>
    <w:p w14:paraId="5F96BD8D">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其他甲方视情节认定的情形。</w:t>
      </w:r>
    </w:p>
    <w:p w14:paraId="2490E56C">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存在违反下列事项的，发包人有权视情节严重性约谈承包人主要负责人或项目负责人：</w:t>
      </w:r>
    </w:p>
    <w:p w14:paraId="4C15B1CB">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发生轻伤或重大未遂安全事件；</w:t>
      </w:r>
    </w:p>
    <w:p w14:paraId="46099173">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受行政主管部门行政处罚或红黄牌警示的；</w:t>
      </w:r>
    </w:p>
    <w:p w14:paraId="2524938B">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典型安全隐患重复发生且不响应甲方改进要求的；</w:t>
      </w:r>
    </w:p>
    <w:p w14:paraId="4EF45CD7">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月度安全隐患按期整改率低于95%；</w:t>
      </w:r>
    </w:p>
    <w:p w14:paraId="39E264EF">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其他管理岗位人员不履行安全职责，或发生违规行为且不接受甲方整改要求的；</w:t>
      </w:r>
    </w:p>
    <w:p w14:paraId="24F7270B">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发生安全事故瞒报、谎报、迟报；</w:t>
      </w:r>
    </w:p>
    <w:p w14:paraId="141D52F1">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其他甲方视情节认定的情形。</w:t>
      </w:r>
    </w:p>
    <w:p w14:paraId="5E61A319">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根据承包人违约事项和情节不同，承包方按照附件3《施工合同违约处罚汇总表》中相应违约条款支付违约金，发包人将从工程款中扣除相应款项。</w:t>
      </w:r>
    </w:p>
    <w:p w14:paraId="3D2FFC9E">
      <w:pPr>
        <w:widowControl/>
        <w:snapToGrid w:val="0"/>
        <w:spacing w:line="360" w:lineRule="auto"/>
        <w:ind w:left="420" w:leftChars="200" w:firstLine="720" w:firstLineChars="300"/>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（1）违反以下事项的：</w:t>
      </w:r>
    </w:p>
    <w:p w14:paraId="335FDC38">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发生死亡事故；</w:t>
      </w:r>
    </w:p>
    <w:p w14:paraId="50205881">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每起发生2人及以上人员重伤的事故；</w:t>
      </w:r>
    </w:p>
    <w:p w14:paraId="47D7000C">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发生直接经济损失超过50万元事故。</w:t>
      </w:r>
    </w:p>
    <w:p w14:paraId="345FFD18">
      <w:pPr>
        <w:snapToGrid w:val="0"/>
        <w:spacing w:line="360" w:lineRule="auto"/>
        <w:ind w:left="210" w:leftChars="100" w:firstLine="960" w:firstLineChars="400"/>
        <w:jc w:val="left"/>
        <w:rPr>
          <w:rFonts w:ascii="仿宋_GB2312" w:hAnsi="宋体" w:eastAsia="仿宋_GB2312" w:cs="宋体"/>
          <w:sz w:val="24"/>
          <w:szCs w:val="24"/>
        </w:rPr>
      </w:pPr>
      <w:r>
        <w:rPr>
          <w:rFonts w:hint="eastAsia" w:ascii="仿宋_GB2312" w:hAnsi="宋体" w:eastAsia="仿宋_GB2312" w:cs="宋体"/>
          <w:sz w:val="24"/>
          <w:szCs w:val="24"/>
        </w:rPr>
        <w:t>（2）违反以下事项的：</w:t>
      </w:r>
    </w:p>
    <w:p w14:paraId="418591FB">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发生重伤事故或群伤事故；</w:t>
      </w:r>
    </w:p>
    <w:p w14:paraId="328A2CF3">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发生受到政府行政执法机关通报的环境负面事件，若同时受到经济处罚，则扣除的违约金为受到经济处罚金额的两倍或20万元（取大值）；</w:t>
      </w:r>
    </w:p>
    <w:p w14:paraId="5B045483">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发生直接经济损失超过20万元的事件。</w:t>
      </w:r>
    </w:p>
    <w:p w14:paraId="0082EF4A">
      <w:pPr>
        <w:widowControl/>
        <w:snapToGrid w:val="0"/>
        <w:spacing w:line="360" w:lineRule="auto"/>
        <w:ind w:left="210" w:leftChars="100" w:firstLine="960" w:firstLineChars="400"/>
        <w:jc w:val="left"/>
        <w:rPr>
          <w:rFonts w:ascii="仿宋_GB2312" w:hAnsi="宋体" w:eastAsia="仿宋_GB2312" w:cs="宋体"/>
          <w:kern w:val="0"/>
          <w:sz w:val="24"/>
          <w:szCs w:val="24"/>
        </w:rPr>
      </w:pPr>
      <w:r>
        <w:rPr>
          <w:rFonts w:hint="eastAsia" w:ascii="仿宋_GB2312" w:hAnsi="宋体" w:eastAsia="仿宋_GB2312" w:cs="宋体"/>
          <w:kern w:val="0"/>
          <w:sz w:val="24"/>
          <w:szCs w:val="24"/>
        </w:rPr>
        <w:t>（3）违反以下事项的，将从工程款中扣除违约金2万元：</w:t>
      </w:r>
    </w:p>
    <w:p w14:paraId="15EC5763">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未按照规定设置安全生产管理机构或者配备足够安全生产管理人员的；</w:t>
      </w:r>
    </w:p>
    <w:p w14:paraId="2112035B">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施工相关作业文件、人员培训记录、资质报告文件等弄虚作假；</w:t>
      </w:r>
    </w:p>
    <w:p w14:paraId="7B98E7D3">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管理人员违章指挥、强令冒险作业，即刻风险不及时制止或拒绝整改；</w:t>
      </w:r>
    </w:p>
    <w:p w14:paraId="75F5A7DF">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无施工文件（施工方案、工作程序等）情况下组织施工（包括未经审批或审批未完成）、不按施工文件（施工方案、工作程序等）要求施工，擅自改变既定的安全措施，降低防护水平或条件；</w:t>
      </w:r>
    </w:p>
    <w:p w14:paraId="4D0CF02A">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塔吊、施工升降机、吊篮、爬架等特殊设备设施未经检验或检验不合格擅自使用；</w:t>
      </w:r>
    </w:p>
    <w:p w14:paraId="57F43DA4">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特种作业人员或特种设备操作人员未持证上岗或从事的工作与其技能不符；</w:t>
      </w:r>
    </w:p>
    <w:p w14:paraId="798BC820">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项目经理或安全经理未经发包人同意连续半个月以上不在现场；</w:t>
      </w:r>
    </w:p>
    <w:p w14:paraId="737F3321">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其他发包人视情节认定的情形。</w:t>
      </w:r>
    </w:p>
    <w:p w14:paraId="41BEE1FA">
      <w:pPr>
        <w:widowControl/>
        <w:snapToGrid w:val="0"/>
        <w:spacing w:line="360" w:lineRule="auto"/>
        <w:ind w:left="210" w:leftChars="100" w:firstLine="960" w:firstLineChars="400"/>
        <w:jc w:val="left"/>
        <w:rPr>
          <w:rFonts w:ascii="仿宋_GB2312" w:hAnsi="宋体" w:eastAsia="仿宋_GB2312" w:cs="宋体"/>
          <w:kern w:val="0"/>
          <w:sz w:val="24"/>
          <w:szCs w:val="24"/>
        </w:rPr>
      </w:pPr>
      <w:r>
        <w:rPr>
          <w:rFonts w:hint="eastAsia" w:ascii="仿宋_GB2312" w:hAnsi="宋体" w:eastAsia="仿宋_GB2312" w:cs="宋体"/>
          <w:kern w:val="0"/>
          <w:sz w:val="24"/>
          <w:szCs w:val="24"/>
        </w:rPr>
        <w:t>（4）违反以下事项的，将从工程款中扣除违约金1万元：</w:t>
      </w:r>
    </w:p>
    <w:p w14:paraId="2042CCDC">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未按规定办理隔离票、动土证、一级动火证、起重吊装许可证、受限空间许可证等许可票证进行作业；</w:t>
      </w:r>
    </w:p>
    <w:p w14:paraId="13B3471E">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未按照规定对从业人员、被派遣劳动者、实习学生进行安全生产教育和培训，或者未按照规定如实告知有关的安全生产事项的，或未如实记录安全生产教育和培训情况的；</w:t>
      </w:r>
    </w:p>
    <w:p w14:paraId="10232D67">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从业人员个人劳动保护用品配备标准不满足本合同要求或质量不符合相应标准，逾期整改的；</w:t>
      </w:r>
    </w:p>
    <w:p w14:paraId="5861568B">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安全资源（包括人力、经费、物资）投入不到位，逾期不整改；</w:t>
      </w:r>
    </w:p>
    <w:p w14:paraId="4E837EA3">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安全防护用具、机械设备、施工机具及配件在进入施工现场前未经查验或者查验不合格即投入使用的；</w:t>
      </w:r>
    </w:p>
    <w:p w14:paraId="7676DE00">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发包人发出的书面整改行动逾期不整改；</w:t>
      </w:r>
    </w:p>
    <w:p w14:paraId="7BC918F8">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其他发包人视情节认定的情形。</w:t>
      </w:r>
    </w:p>
    <w:p w14:paraId="415692DD">
      <w:pPr>
        <w:widowControl/>
        <w:snapToGrid w:val="0"/>
        <w:spacing w:line="360" w:lineRule="auto"/>
        <w:jc w:val="left"/>
        <w:rPr>
          <w:rFonts w:ascii="仿宋_GB2312" w:hAnsi="宋体" w:eastAsia="仿宋_GB2312" w:cs="宋体"/>
          <w:kern w:val="0"/>
          <w:sz w:val="24"/>
          <w:szCs w:val="24"/>
        </w:rPr>
      </w:pPr>
      <w:r>
        <w:rPr>
          <w:rFonts w:hint="eastAsia" w:ascii="仿宋_GB2312" w:hAnsi="宋体" w:eastAsia="仿宋_GB2312" w:cs="宋体"/>
          <w:kern w:val="0"/>
          <w:sz w:val="24"/>
          <w:szCs w:val="24"/>
        </w:rPr>
        <w:t>以上条款执行以发包人发出正式函件为准，相关违约金直接从当期工程款中扣除。</w:t>
      </w:r>
    </w:p>
    <w:p w14:paraId="66318DD5">
      <w:pPr>
        <w:widowControl/>
        <w:snapToGrid w:val="0"/>
        <w:spacing w:line="360" w:lineRule="auto"/>
        <w:jc w:val="left"/>
        <w:rPr>
          <w:rFonts w:ascii="仿宋_GB2312" w:hAnsi="宋体" w:eastAsia="仿宋_GB2312" w:cs="新宋体-18030"/>
          <w:b/>
          <w:kern w:val="0"/>
          <w:sz w:val="24"/>
          <w:szCs w:val="24"/>
        </w:rPr>
      </w:pPr>
    </w:p>
    <w:p w14:paraId="0AC06D08">
      <w:pPr>
        <w:widowControl/>
        <w:snapToGrid w:val="0"/>
        <w:spacing w:line="360" w:lineRule="auto"/>
        <w:jc w:val="left"/>
        <w:rPr>
          <w:rFonts w:ascii="仿宋_GB2312" w:hAnsi="宋体" w:eastAsia="仿宋_GB2312" w:cs="新宋体-18030"/>
          <w:b/>
          <w:kern w:val="0"/>
          <w:sz w:val="24"/>
          <w:szCs w:val="24"/>
        </w:rPr>
      </w:pPr>
      <w:r>
        <w:rPr>
          <w:rFonts w:hint="eastAsia" w:ascii="仿宋_GB2312" w:hAnsi="宋体" w:eastAsia="仿宋_GB2312" w:cs="新宋体-18030"/>
          <w:b/>
          <w:kern w:val="0"/>
          <w:sz w:val="24"/>
          <w:szCs w:val="24"/>
        </w:rPr>
        <w:t>以下附件详见发包人制度，需无条件执行：</w:t>
      </w:r>
    </w:p>
    <w:p w14:paraId="02F8DEF7">
      <w:pPr>
        <w:widowControl/>
        <w:snapToGrid w:val="0"/>
        <w:spacing w:line="360" w:lineRule="auto"/>
        <w:ind w:firstLine="600" w:firstLineChars="250"/>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1.施工承包商安全管理办法</w:t>
      </w:r>
    </w:p>
    <w:p w14:paraId="07211C5A">
      <w:pPr>
        <w:widowControl/>
        <w:snapToGrid w:val="0"/>
        <w:spacing w:line="360" w:lineRule="auto"/>
        <w:ind w:firstLine="600" w:firstLineChars="250"/>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2.作业安全许可管理规定</w:t>
      </w:r>
    </w:p>
    <w:p w14:paraId="58033FC8">
      <w:pPr>
        <w:widowControl/>
        <w:snapToGrid w:val="0"/>
        <w:spacing w:line="360" w:lineRule="auto"/>
        <w:ind w:firstLine="600" w:firstLineChars="250"/>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3.特殊工作时间安全管理办法</w:t>
      </w:r>
    </w:p>
    <w:p w14:paraId="0DBD9AFD">
      <w:pPr>
        <w:widowControl/>
        <w:snapToGrid w:val="0"/>
        <w:spacing w:line="360" w:lineRule="auto"/>
        <w:ind w:firstLine="600" w:firstLineChars="250"/>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4.基层班组安全生产标准化工作指引</w:t>
      </w:r>
    </w:p>
    <w:p w14:paraId="6F970250">
      <w:pPr>
        <w:snapToGrid w:val="0"/>
        <w:spacing w:line="360" w:lineRule="auto"/>
        <w:ind w:firstLine="600" w:firstLineChars="250"/>
        <w:rPr>
          <w:rFonts w:ascii="Calibri" w:hAnsi="Calibri"/>
          <w:szCs w:val="24"/>
        </w:rPr>
      </w:pPr>
      <w:r>
        <w:rPr>
          <w:rFonts w:hint="eastAsia" w:ascii="仿宋_GB2312" w:hAnsi="宋体" w:eastAsia="仿宋_GB2312" w:cs="新宋体-18030"/>
          <w:kern w:val="0"/>
          <w:sz w:val="24"/>
          <w:szCs w:val="24"/>
        </w:rPr>
        <w:t>5.安全生产标准化图集</w:t>
      </w:r>
    </w:p>
    <w:p w14:paraId="07E7B17F">
      <w:pPr>
        <w:rPr>
          <w:rFonts w:ascii="宋体" w:hAnsi="宋体" w:cs="宋体"/>
          <w:b/>
          <w:bCs/>
        </w:rPr>
        <w:sectPr>
          <w:headerReference r:id="rId4" w:type="default"/>
          <w:footerReference r:id="rId5" w:type="default"/>
          <w:pgSz w:w="11906" w:h="16838"/>
          <w:pgMar w:top="1588" w:right="1588" w:bottom="1361" w:left="1588" w:header="851" w:footer="850" w:gutter="0"/>
          <w:pgNumType w:start="1"/>
          <w:cols w:space="720" w:num="1"/>
          <w:titlePg/>
          <w:docGrid w:linePitch="312" w:charSpace="0"/>
        </w:sectPr>
      </w:pPr>
    </w:p>
    <w:p w14:paraId="22D072CD">
      <w:pPr>
        <w:adjustRightInd w:val="0"/>
        <w:snapToGrid w:val="0"/>
        <w:spacing w:after="200" w:line="360" w:lineRule="auto"/>
        <w:jc w:val="left"/>
        <w:textAlignment w:val="baseline"/>
        <w:outlineLvl w:val="2"/>
        <w:rPr>
          <w:rFonts w:ascii="宋体" w:hAnsi="宋体"/>
          <w:b/>
          <w:szCs w:val="21"/>
        </w:rPr>
      </w:pPr>
      <w:r>
        <w:rPr>
          <w:rFonts w:hint="eastAsia" w:ascii="宋体" w:hAnsi="宋体"/>
          <w:b/>
          <w:szCs w:val="21"/>
        </w:rPr>
        <w:t>附件3：建设工程合同履约评价管理办法（试行）</w:t>
      </w:r>
    </w:p>
    <w:p w14:paraId="76C9B2CD">
      <w:pPr>
        <w:rPr>
          <w:rFonts w:ascii="宋体" w:hAnsi="宋体" w:cs="宋体"/>
          <w:b/>
          <w:bCs/>
        </w:rPr>
      </w:pPr>
    </w:p>
    <w:p w14:paraId="67C47BC6">
      <w:pPr>
        <w:rPr>
          <w:rFonts w:hint="eastAsia" w:ascii="宋体" w:hAnsi="宋体" w:eastAsia="宋体" w:cs="宋体"/>
          <w:b/>
          <w:bCs/>
          <w:lang w:eastAsia="zh-CN"/>
        </w:rPr>
        <w:sectPr>
          <w:pgSz w:w="11906" w:h="16838"/>
          <w:pgMar w:top="1588" w:right="1588" w:bottom="1361" w:left="1588" w:header="851" w:footer="850" w:gutter="0"/>
          <w:pgNumType w:start="1"/>
          <w:cols w:space="720" w:num="1"/>
          <w:titlePg/>
          <w:docGrid w:linePitch="312" w:charSpace="0"/>
        </w:sectPr>
      </w:pPr>
      <w:r>
        <w:rPr>
          <w:rFonts w:hint="eastAsia" w:ascii="宋体" w:hAnsi="宋体" w:eastAsia="宋体" w:cs="宋体"/>
          <w:b/>
          <w:bCs/>
          <w:lang w:eastAsia="zh-CN"/>
        </w:rPr>
        <w:object>
          <v:shape id="_x0000_i1025" o:spt="75" type="#_x0000_t75" style="height:66pt;width:72.75pt;" o:ole="t" filled="f" o:preferrelative="t" stroked="f" coordsize="21600,21600">
            <v:path/>
            <v:fill on="f" focussize="0,0"/>
            <v:stroke on="f"/>
            <v:imagedata r:id="rId8" o:title=""/>
            <o:lock v:ext="edit" aspectratio="t"/>
            <w10:wrap type="none"/>
            <w10:anchorlock/>
          </v:shape>
          <o:OLEObject Type="Embed" ProgID="Acrobat.Document.DC" ShapeID="_x0000_i1025" DrawAspect="Icon" ObjectID="_1468075725" r:id="rId7">
            <o:LockedField>false</o:LockedField>
          </o:OLEObject>
        </w:object>
      </w:r>
    </w:p>
    <w:p w14:paraId="2A7B0BF2">
      <w:pPr>
        <w:adjustRightInd w:val="0"/>
        <w:snapToGrid w:val="0"/>
        <w:spacing w:after="200" w:line="360" w:lineRule="auto"/>
        <w:jc w:val="left"/>
        <w:textAlignment w:val="baseline"/>
        <w:outlineLvl w:val="2"/>
        <w:rPr>
          <w:rFonts w:ascii="宋体" w:hAnsi="宋体"/>
          <w:b/>
          <w:szCs w:val="21"/>
        </w:rPr>
      </w:pPr>
      <w:r>
        <w:rPr>
          <w:rFonts w:hint="eastAsia" w:ascii="宋体" w:hAnsi="宋体"/>
          <w:b/>
          <w:szCs w:val="21"/>
        </w:rPr>
        <w:t>附件4：安全生产、文明施工管理协议书</w:t>
      </w:r>
    </w:p>
    <w:p w14:paraId="5B00F6AE">
      <w:pPr>
        <w:spacing w:line="500" w:lineRule="exact"/>
        <w:ind w:firstLine="482" w:firstLineChars="200"/>
        <w:jc w:val="center"/>
        <w:rPr>
          <w:rFonts w:ascii="宋体" w:hAnsi="宋体"/>
          <w:b/>
          <w:sz w:val="24"/>
          <w:szCs w:val="24"/>
        </w:rPr>
      </w:pPr>
      <w:r>
        <w:rPr>
          <w:rFonts w:hint="eastAsia" w:ascii="宋体" w:hAnsi="宋体" w:cs="宋体"/>
          <w:b/>
          <w:kern w:val="0"/>
          <w:sz w:val="24"/>
          <w:szCs w:val="24"/>
        </w:rPr>
        <w:t>安全生产、文明施工管理协议书</w:t>
      </w:r>
    </w:p>
    <w:p w14:paraId="3391C113">
      <w:pPr>
        <w:spacing w:line="500" w:lineRule="exact"/>
        <w:ind w:firstLine="480" w:firstLineChars="200"/>
        <w:rPr>
          <w:rFonts w:ascii="宋体" w:hAnsi="宋体"/>
          <w:sz w:val="24"/>
          <w:szCs w:val="24"/>
        </w:rPr>
      </w:pPr>
    </w:p>
    <w:p w14:paraId="35423453">
      <w:pPr>
        <w:spacing w:line="500" w:lineRule="exact"/>
        <w:ind w:firstLine="480" w:firstLineChars="200"/>
        <w:rPr>
          <w:rFonts w:ascii="宋体" w:hAnsi="宋体"/>
          <w:sz w:val="24"/>
          <w:szCs w:val="24"/>
          <w:u w:val="single"/>
        </w:rPr>
      </w:pPr>
      <w:r>
        <w:rPr>
          <w:rFonts w:hint="eastAsia" w:ascii="宋体" w:hAnsi="宋体"/>
          <w:sz w:val="24"/>
          <w:szCs w:val="24"/>
        </w:rPr>
        <w:t>发包人（甲方）：深圳市新龙观投资发展有限公司</w:t>
      </w:r>
    </w:p>
    <w:p w14:paraId="1E04AEA8">
      <w:pPr>
        <w:spacing w:line="500" w:lineRule="exact"/>
        <w:ind w:firstLine="480" w:firstLineChars="200"/>
        <w:rPr>
          <w:rFonts w:hint="eastAsia" w:ascii="宋体" w:hAnsi="宋体" w:eastAsia="宋体"/>
          <w:sz w:val="24"/>
          <w:szCs w:val="24"/>
          <w:highlight w:val="none"/>
          <w:lang w:eastAsia="zh-CN"/>
        </w:rPr>
      </w:pPr>
      <w:r>
        <w:rPr>
          <w:rFonts w:hint="eastAsia" w:ascii="宋体" w:hAnsi="宋体"/>
          <w:sz w:val="24"/>
          <w:szCs w:val="24"/>
          <w:highlight w:val="none"/>
          <w:lang w:val="en-US" w:eastAsia="zh-CN"/>
        </w:rPr>
        <w:t>勘察人</w:t>
      </w:r>
      <w:r>
        <w:rPr>
          <w:rFonts w:hint="eastAsia" w:ascii="宋体" w:hAnsi="宋体"/>
          <w:sz w:val="24"/>
          <w:szCs w:val="24"/>
          <w:highlight w:val="none"/>
        </w:rPr>
        <w:t>（乙方）：</w:t>
      </w:r>
      <w:r>
        <w:rPr>
          <w:rFonts w:hint="eastAsia" w:ascii="宋体" w:hAnsi="宋体"/>
          <w:sz w:val="24"/>
          <w:szCs w:val="24"/>
          <w:highlight w:val="none"/>
          <w:lang w:eastAsia="zh-CN"/>
        </w:rPr>
        <w:t>xxxx</w:t>
      </w:r>
    </w:p>
    <w:p w14:paraId="4CADA3A9">
      <w:pPr>
        <w:widowControl/>
        <w:spacing w:line="500" w:lineRule="exact"/>
        <w:ind w:firstLine="480" w:firstLineChars="200"/>
        <w:jc w:val="left"/>
        <w:rPr>
          <w:rFonts w:ascii="宋体" w:hAnsi="宋体" w:cs="宋体"/>
          <w:kern w:val="0"/>
          <w:sz w:val="24"/>
          <w:szCs w:val="24"/>
        </w:rPr>
      </w:pPr>
      <w:r>
        <w:rPr>
          <w:rFonts w:hint="eastAsia" w:ascii="宋体" w:hAnsi="宋体" w:cs="宋体"/>
          <w:kern w:val="0"/>
          <w:sz w:val="24"/>
          <w:szCs w:val="24"/>
        </w:rPr>
        <w:t>甲乙双方针对，为明确甲乙双方的权利和义务，保障工程实施及相关作业人员的安全，依据国家和深圳市相关法律的规定，结合工程项目建设的实际情况，经甲乙双方协商一致，达成如下协议：</w:t>
      </w:r>
    </w:p>
    <w:p w14:paraId="17FF3012">
      <w:pPr>
        <w:spacing w:line="360" w:lineRule="auto"/>
        <w:ind w:firstLine="480" w:firstLineChars="200"/>
        <w:rPr>
          <w:rFonts w:ascii="宋体" w:hAnsi="宋体"/>
          <w:b/>
          <w:sz w:val="24"/>
          <w:szCs w:val="22"/>
        </w:rPr>
      </w:pPr>
      <w:r>
        <w:rPr>
          <w:rFonts w:hint="eastAsia" w:ascii="宋体" w:hAnsi="宋体"/>
          <w:sz w:val="24"/>
          <w:szCs w:val="22"/>
        </w:rPr>
        <w:t>一、</w:t>
      </w:r>
      <w:r>
        <w:rPr>
          <w:rFonts w:hint="eastAsia" w:ascii="宋体" w:hAnsi="宋体"/>
          <w:b/>
          <w:sz w:val="24"/>
          <w:szCs w:val="22"/>
        </w:rPr>
        <w:t>安全生产目标</w:t>
      </w:r>
    </w:p>
    <w:p w14:paraId="0B22065B">
      <w:pPr>
        <w:spacing w:line="360" w:lineRule="auto"/>
        <w:ind w:firstLine="480" w:firstLineChars="200"/>
        <w:rPr>
          <w:rFonts w:ascii="宋体" w:hAnsi="宋体"/>
          <w:sz w:val="24"/>
          <w:szCs w:val="22"/>
        </w:rPr>
      </w:pPr>
      <w:r>
        <w:rPr>
          <w:rFonts w:hint="eastAsia" w:ascii="宋体" w:hAnsi="宋体"/>
          <w:sz w:val="24"/>
          <w:szCs w:val="22"/>
        </w:rPr>
        <w:t>1、不发生一般及以上安全生产责任事故；事故直接经济损失不超过50万元。</w:t>
      </w:r>
    </w:p>
    <w:p w14:paraId="6E4BD26E">
      <w:pPr>
        <w:spacing w:line="360" w:lineRule="auto"/>
        <w:ind w:firstLine="480" w:firstLineChars="200"/>
        <w:rPr>
          <w:rFonts w:ascii="宋体" w:hAnsi="宋体"/>
          <w:sz w:val="24"/>
          <w:szCs w:val="22"/>
        </w:rPr>
      </w:pPr>
      <w:r>
        <w:rPr>
          <w:rFonts w:hint="eastAsia" w:ascii="宋体" w:hAnsi="宋体"/>
          <w:sz w:val="24"/>
          <w:szCs w:val="22"/>
        </w:rPr>
        <w:t>2、安全隐患整改率100%。</w:t>
      </w:r>
    </w:p>
    <w:p w14:paraId="5B051D46">
      <w:pPr>
        <w:spacing w:line="360" w:lineRule="auto"/>
        <w:ind w:firstLine="480" w:firstLineChars="200"/>
        <w:rPr>
          <w:rFonts w:ascii="宋体" w:hAnsi="宋体"/>
          <w:sz w:val="24"/>
          <w:szCs w:val="22"/>
        </w:rPr>
      </w:pPr>
      <w:r>
        <w:rPr>
          <w:rFonts w:hint="eastAsia" w:ascii="宋体" w:hAnsi="宋体"/>
          <w:sz w:val="24"/>
          <w:szCs w:val="22"/>
        </w:rPr>
        <w:t>3、不发生火灾责任事故或后果严重、影响恶劣的安全、健康、环境责任事故。</w:t>
      </w:r>
    </w:p>
    <w:p w14:paraId="17DE8A61">
      <w:pPr>
        <w:spacing w:line="360" w:lineRule="auto"/>
        <w:ind w:firstLine="480" w:firstLineChars="200"/>
        <w:rPr>
          <w:rFonts w:ascii="宋体" w:hAnsi="宋体"/>
          <w:sz w:val="24"/>
          <w:szCs w:val="22"/>
        </w:rPr>
      </w:pPr>
      <w:r>
        <w:rPr>
          <w:rFonts w:hint="eastAsia" w:ascii="宋体" w:hAnsi="宋体"/>
          <w:sz w:val="24"/>
          <w:szCs w:val="22"/>
        </w:rPr>
        <w:t>4、不发生较大群体性事件。</w:t>
      </w:r>
    </w:p>
    <w:p w14:paraId="4D87FFE8">
      <w:pPr>
        <w:spacing w:line="360" w:lineRule="auto"/>
        <w:ind w:firstLine="480" w:firstLineChars="200"/>
        <w:rPr>
          <w:rFonts w:ascii="宋体" w:hAnsi="宋体"/>
          <w:sz w:val="24"/>
          <w:szCs w:val="22"/>
        </w:rPr>
      </w:pPr>
      <w:r>
        <w:rPr>
          <w:rFonts w:hint="eastAsia" w:ascii="宋体" w:hAnsi="宋体"/>
          <w:sz w:val="24"/>
          <w:szCs w:val="22"/>
        </w:rPr>
        <w:t>5、不发生员工死亡或重伤的工伤事故。</w:t>
      </w:r>
    </w:p>
    <w:p w14:paraId="6FB6F63E">
      <w:pPr>
        <w:spacing w:line="360" w:lineRule="auto"/>
        <w:ind w:firstLine="480" w:firstLineChars="200"/>
        <w:rPr>
          <w:rFonts w:ascii="宋体" w:hAnsi="宋体" w:cs="宋体"/>
          <w:kern w:val="0"/>
          <w:sz w:val="24"/>
          <w:szCs w:val="24"/>
        </w:rPr>
      </w:pPr>
      <w:r>
        <w:rPr>
          <w:rFonts w:hint="eastAsia" w:ascii="宋体" w:hAnsi="宋体"/>
          <w:sz w:val="24"/>
          <w:szCs w:val="22"/>
        </w:rPr>
        <w:t>6、按合同约定实现安全文明施工创优计划。</w:t>
      </w:r>
    </w:p>
    <w:p w14:paraId="7120A446">
      <w:pPr>
        <w:spacing w:line="360" w:lineRule="auto"/>
        <w:ind w:firstLine="482" w:firstLineChars="200"/>
        <w:rPr>
          <w:rFonts w:ascii="宋体" w:hAnsi="宋体"/>
          <w:b/>
          <w:sz w:val="24"/>
          <w:szCs w:val="22"/>
        </w:rPr>
      </w:pPr>
      <w:r>
        <w:rPr>
          <w:rFonts w:hint="eastAsia" w:ascii="宋体" w:hAnsi="宋体"/>
          <w:b/>
          <w:sz w:val="24"/>
          <w:szCs w:val="22"/>
        </w:rPr>
        <w:t>二、双方责任</w:t>
      </w:r>
    </w:p>
    <w:p w14:paraId="630A17B4">
      <w:pPr>
        <w:spacing w:line="360" w:lineRule="auto"/>
        <w:ind w:firstLine="602" w:firstLineChars="250"/>
        <w:rPr>
          <w:rFonts w:ascii="宋体" w:hAnsi="宋体"/>
          <w:b/>
          <w:sz w:val="24"/>
          <w:szCs w:val="22"/>
        </w:rPr>
      </w:pPr>
      <w:r>
        <w:rPr>
          <w:rFonts w:hint="eastAsia" w:ascii="宋体" w:hAnsi="宋体"/>
          <w:b/>
          <w:sz w:val="24"/>
          <w:szCs w:val="22"/>
        </w:rPr>
        <w:t>1、甲方责任</w:t>
      </w:r>
    </w:p>
    <w:p w14:paraId="1A12EF20">
      <w:pPr>
        <w:spacing w:line="360" w:lineRule="auto"/>
        <w:ind w:firstLine="480" w:firstLineChars="200"/>
        <w:rPr>
          <w:rFonts w:ascii="宋体" w:hAnsi="宋体"/>
          <w:sz w:val="24"/>
          <w:szCs w:val="22"/>
        </w:rPr>
      </w:pPr>
      <w:r>
        <w:rPr>
          <w:rFonts w:hint="eastAsia" w:ascii="宋体" w:hAnsi="宋体"/>
          <w:sz w:val="24"/>
          <w:szCs w:val="22"/>
        </w:rPr>
        <w:t>（1）甲方必须遵守有关法律、法规、强制性标准和政府规范性文件，依法承担建设工程安全生产责任。</w:t>
      </w:r>
    </w:p>
    <w:p w14:paraId="7ABC06FF">
      <w:pPr>
        <w:spacing w:line="360" w:lineRule="auto"/>
        <w:ind w:firstLine="480" w:firstLineChars="200"/>
        <w:rPr>
          <w:rFonts w:ascii="宋体" w:hAnsi="宋体"/>
          <w:sz w:val="24"/>
          <w:szCs w:val="22"/>
        </w:rPr>
      </w:pPr>
      <w:r>
        <w:rPr>
          <w:rFonts w:hint="eastAsia" w:ascii="宋体" w:hAnsi="宋体"/>
          <w:sz w:val="24"/>
          <w:szCs w:val="22"/>
        </w:rPr>
        <w:t>（2）甲方必须严格执行基本建设程序，坚持先勘察、后设计、再施工的原则。</w:t>
      </w:r>
    </w:p>
    <w:p w14:paraId="58821D3B">
      <w:pPr>
        <w:spacing w:line="360" w:lineRule="auto"/>
        <w:ind w:firstLine="480" w:firstLineChars="200"/>
        <w:rPr>
          <w:rFonts w:ascii="宋体" w:hAnsi="宋体"/>
          <w:sz w:val="24"/>
          <w:szCs w:val="22"/>
        </w:rPr>
      </w:pPr>
      <w:r>
        <w:rPr>
          <w:rFonts w:hint="eastAsia" w:ascii="宋体" w:hAnsi="宋体"/>
          <w:sz w:val="24"/>
          <w:szCs w:val="22"/>
        </w:rPr>
        <w:t>（3）甲方应严格落实《安全生产法》“三同时”规定，建设项目的安全设施必须符合国家标准或行业标准，与主体工程同时设计、同时施工、同时投入使用。</w:t>
      </w:r>
    </w:p>
    <w:p w14:paraId="59D69CB4">
      <w:pPr>
        <w:spacing w:line="360" w:lineRule="auto"/>
        <w:ind w:firstLine="480" w:firstLineChars="200"/>
        <w:rPr>
          <w:rFonts w:ascii="宋体" w:hAnsi="宋体"/>
          <w:sz w:val="24"/>
          <w:szCs w:val="22"/>
        </w:rPr>
      </w:pPr>
      <w:r>
        <w:rPr>
          <w:rFonts w:hint="eastAsia" w:ascii="宋体" w:hAnsi="宋体"/>
          <w:sz w:val="24"/>
          <w:szCs w:val="22"/>
        </w:rPr>
        <w:t>（4）甲方在编制工程概算时，应当确定建设工程安全作业环境及安全施工措施所需费用，并按照施工承包合同约定及时对安全文明施工措施费进行审核支付。</w:t>
      </w:r>
    </w:p>
    <w:p w14:paraId="00F8934C">
      <w:pPr>
        <w:spacing w:line="360" w:lineRule="auto"/>
        <w:ind w:firstLine="480" w:firstLineChars="200"/>
        <w:rPr>
          <w:rFonts w:ascii="宋体" w:hAnsi="宋体"/>
          <w:sz w:val="24"/>
          <w:szCs w:val="22"/>
        </w:rPr>
      </w:pPr>
      <w:r>
        <w:rPr>
          <w:rFonts w:hint="eastAsia" w:ascii="宋体" w:hAnsi="宋体"/>
          <w:kern w:val="44"/>
          <w:sz w:val="24"/>
          <w:szCs w:val="22"/>
        </w:rPr>
        <w:t>（5）</w:t>
      </w:r>
      <w:r>
        <w:rPr>
          <w:rFonts w:hint="eastAsia" w:ascii="宋体" w:hAnsi="宋体"/>
          <w:sz w:val="24"/>
          <w:szCs w:val="22"/>
        </w:rPr>
        <w:t>甲方</w:t>
      </w:r>
      <w:r>
        <w:rPr>
          <w:rFonts w:hint="eastAsia" w:ascii="宋体" w:hAnsi="宋体"/>
          <w:kern w:val="44"/>
          <w:sz w:val="24"/>
          <w:szCs w:val="22"/>
        </w:rPr>
        <w:t>应当组织勘察、设计等单位在施工招标文件中列出危大工程清单，要求施工单位在投标时补充完善危大工程清单并明确相应的安全管理措施。</w:t>
      </w:r>
    </w:p>
    <w:p w14:paraId="434B965B">
      <w:pPr>
        <w:spacing w:line="360" w:lineRule="auto"/>
        <w:ind w:firstLine="480" w:firstLineChars="200"/>
        <w:rPr>
          <w:rFonts w:ascii="宋体" w:hAnsi="宋体"/>
          <w:sz w:val="24"/>
          <w:szCs w:val="22"/>
        </w:rPr>
      </w:pPr>
      <w:r>
        <w:rPr>
          <w:rFonts w:hint="eastAsia" w:ascii="宋体" w:hAnsi="宋体"/>
          <w:sz w:val="24"/>
          <w:szCs w:val="22"/>
        </w:rPr>
        <w:t>（6）甲方应当将工程发包给具有相应资质（含安全生产资质）的施工、设计、地勘、监理等单位，确保企业资质及经营范围符合。</w:t>
      </w:r>
    </w:p>
    <w:p w14:paraId="7DB5C81A">
      <w:pPr>
        <w:spacing w:line="360" w:lineRule="auto"/>
        <w:ind w:firstLine="480" w:firstLineChars="200"/>
        <w:rPr>
          <w:rFonts w:ascii="宋体" w:hAnsi="宋体"/>
          <w:sz w:val="24"/>
          <w:szCs w:val="22"/>
        </w:rPr>
      </w:pPr>
      <w:r>
        <w:rPr>
          <w:rFonts w:hint="eastAsia" w:ascii="宋体" w:hAnsi="宋体"/>
          <w:sz w:val="24"/>
          <w:szCs w:val="22"/>
        </w:rPr>
        <w:t>（7）甲方应与承包、承租、协作等单位签订安全生产管理协议，明确各方在项目建设中安全生产方面的责任，督促其履行安全生产职责。</w:t>
      </w:r>
    </w:p>
    <w:p w14:paraId="37BE10C6">
      <w:pPr>
        <w:spacing w:line="360" w:lineRule="auto"/>
        <w:ind w:firstLine="480" w:firstLineChars="200"/>
        <w:rPr>
          <w:rFonts w:ascii="宋体" w:hAnsi="宋体"/>
          <w:sz w:val="24"/>
          <w:szCs w:val="22"/>
        </w:rPr>
      </w:pPr>
      <w:r>
        <w:rPr>
          <w:rFonts w:hint="eastAsia" w:ascii="宋体" w:hAnsi="宋体"/>
          <w:sz w:val="24"/>
          <w:szCs w:val="22"/>
        </w:rPr>
        <w:t>（8）甲方在工程开工前要切实做好拆、改、移工作，确保场地、水、电、交通条件满足施工要求，减少工程安全质量隐患，为项目顺利施工创造良好外部环境。</w:t>
      </w:r>
    </w:p>
    <w:p w14:paraId="6A05E700">
      <w:pPr>
        <w:spacing w:line="360" w:lineRule="auto"/>
        <w:ind w:firstLine="480" w:firstLineChars="200"/>
        <w:rPr>
          <w:rFonts w:ascii="宋体" w:hAnsi="宋体"/>
          <w:sz w:val="24"/>
          <w:szCs w:val="22"/>
        </w:rPr>
      </w:pPr>
      <w:r>
        <w:rPr>
          <w:rFonts w:hint="eastAsia" w:ascii="宋体" w:hAnsi="宋体"/>
          <w:sz w:val="24"/>
          <w:szCs w:val="22"/>
        </w:rPr>
        <w:t>（9）甲方应向有关的勘察、设计、施工、工程监理等单位提供与建设工程相关的真实、准确、齐全的原始资料，尤其是地下管线资料。</w:t>
      </w:r>
    </w:p>
    <w:p w14:paraId="30E346A0">
      <w:pPr>
        <w:spacing w:line="360" w:lineRule="auto"/>
        <w:ind w:firstLine="480" w:firstLineChars="200"/>
        <w:rPr>
          <w:rFonts w:ascii="宋体" w:hAnsi="宋体"/>
          <w:sz w:val="24"/>
          <w:szCs w:val="22"/>
        </w:rPr>
      </w:pPr>
      <w:r>
        <w:rPr>
          <w:rFonts w:hint="eastAsia" w:ascii="宋体" w:hAnsi="宋体"/>
          <w:sz w:val="24"/>
          <w:szCs w:val="22"/>
        </w:rPr>
        <w:t>（10）甲方对于按照规定需要进行第三方监测的危大工程，应当委托具有相应勘察资质的单位进行第三方监测，对工程围（支）护结构等关键部位及重要周边环境等进行监测、分析，并及时采取防范措施。</w:t>
      </w:r>
    </w:p>
    <w:p w14:paraId="47E8DEF9">
      <w:pPr>
        <w:spacing w:line="360" w:lineRule="auto"/>
        <w:ind w:firstLine="480" w:firstLineChars="200"/>
        <w:rPr>
          <w:rFonts w:ascii="宋体" w:hAnsi="宋体"/>
          <w:sz w:val="24"/>
          <w:szCs w:val="22"/>
        </w:rPr>
      </w:pPr>
      <w:r>
        <w:rPr>
          <w:rFonts w:hint="eastAsia" w:ascii="宋体" w:hAnsi="宋体"/>
          <w:sz w:val="24"/>
          <w:szCs w:val="22"/>
        </w:rPr>
        <w:t>（11）在燃气管道安全控制范围内施工的，甲方应当会同乙方与管道燃气企业签订安全保护协议，制定燃气管道安全保护方案并采取安全防护措施。</w:t>
      </w:r>
    </w:p>
    <w:p w14:paraId="1F56F0C7">
      <w:pPr>
        <w:spacing w:line="360" w:lineRule="auto"/>
        <w:ind w:firstLine="480" w:firstLineChars="200"/>
        <w:rPr>
          <w:rFonts w:ascii="宋体" w:hAnsi="宋体"/>
          <w:sz w:val="24"/>
          <w:szCs w:val="22"/>
        </w:rPr>
      </w:pPr>
      <w:r>
        <w:rPr>
          <w:rFonts w:hint="eastAsia" w:ascii="宋体" w:hAnsi="宋体"/>
          <w:sz w:val="24"/>
          <w:szCs w:val="22"/>
        </w:rPr>
        <w:t>（12）甲方不得对勘察、设计、施工、监理等单位提出不符合有关法律、法规、强制性标准和政府规范性文件的要求，不得明示或者暗示其违反上述要求，不得压缩合同约定的工期。</w:t>
      </w:r>
    </w:p>
    <w:p w14:paraId="07DF86A6">
      <w:pPr>
        <w:spacing w:line="360" w:lineRule="auto"/>
        <w:ind w:firstLine="480" w:firstLineChars="200"/>
        <w:rPr>
          <w:rFonts w:ascii="宋体" w:hAnsi="宋体"/>
          <w:sz w:val="24"/>
          <w:szCs w:val="22"/>
        </w:rPr>
      </w:pPr>
      <w:r>
        <w:rPr>
          <w:rFonts w:hint="eastAsia" w:ascii="宋体" w:hAnsi="宋体"/>
          <w:sz w:val="24"/>
          <w:szCs w:val="22"/>
        </w:rPr>
        <w:t>（13）甲方不得明示或暗示施工单位购买、租赁、使用不符合安全施工要求的安防用具、机械设备、施工机具及配件、消防设施和器材。</w:t>
      </w:r>
    </w:p>
    <w:p w14:paraId="741589EF">
      <w:pPr>
        <w:spacing w:line="360" w:lineRule="auto"/>
        <w:ind w:firstLine="480" w:firstLineChars="200"/>
        <w:rPr>
          <w:rFonts w:ascii="宋体" w:hAnsi="宋体"/>
          <w:sz w:val="24"/>
          <w:szCs w:val="22"/>
        </w:rPr>
      </w:pPr>
      <w:r>
        <w:rPr>
          <w:rFonts w:hint="eastAsia" w:ascii="宋体" w:hAnsi="宋体"/>
          <w:sz w:val="24"/>
          <w:szCs w:val="22"/>
        </w:rPr>
        <w:t>（14）甲方应将安全生产管理纳入项目管理的重要内容，并定期组织监理、施工单位开展安全隐患排查活动，督促乙方安全作业，并依照合同和本协议对不符合安全生产管理规定的行为进行处罚。</w:t>
      </w:r>
    </w:p>
    <w:p w14:paraId="2C41509F">
      <w:pPr>
        <w:spacing w:line="360" w:lineRule="auto"/>
        <w:ind w:firstLine="480" w:firstLineChars="200"/>
        <w:rPr>
          <w:rFonts w:ascii="宋体" w:hAnsi="宋体"/>
          <w:b/>
          <w:sz w:val="24"/>
          <w:szCs w:val="22"/>
        </w:rPr>
      </w:pPr>
      <w:r>
        <w:rPr>
          <w:rFonts w:hint="eastAsia" w:ascii="宋体" w:hAnsi="宋体"/>
          <w:sz w:val="24"/>
          <w:szCs w:val="22"/>
        </w:rPr>
        <w:t>（15）甲方应按规定进行事故的统计、报告和处理，并建立事故档案。</w:t>
      </w:r>
    </w:p>
    <w:p w14:paraId="1DA83415">
      <w:pPr>
        <w:spacing w:line="360" w:lineRule="auto"/>
        <w:ind w:left="540"/>
        <w:rPr>
          <w:rFonts w:ascii="宋体" w:hAnsi="宋体"/>
          <w:b/>
          <w:sz w:val="24"/>
          <w:szCs w:val="22"/>
        </w:rPr>
      </w:pPr>
      <w:r>
        <w:rPr>
          <w:rFonts w:hint="eastAsia" w:ascii="宋体" w:hAnsi="宋体"/>
          <w:sz w:val="24"/>
          <w:szCs w:val="22"/>
        </w:rPr>
        <w:t>2、</w:t>
      </w:r>
      <w:r>
        <w:rPr>
          <w:rFonts w:hint="eastAsia" w:ascii="宋体" w:hAnsi="宋体"/>
          <w:b/>
          <w:sz w:val="24"/>
          <w:szCs w:val="22"/>
        </w:rPr>
        <w:t>乙方责任</w:t>
      </w:r>
    </w:p>
    <w:p w14:paraId="788D0D15">
      <w:pPr>
        <w:spacing w:line="360" w:lineRule="auto"/>
        <w:ind w:left="1" w:firstLine="482" w:firstLineChars="200"/>
        <w:rPr>
          <w:rFonts w:ascii="宋体" w:hAnsi="宋体"/>
          <w:b/>
          <w:sz w:val="24"/>
          <w:szCs w:val="22"/>
        </w:rPr>
      </w:pPr>
      <w:r>
        <w:rPr>
          <w:rFonts w:hint="eastAsia" w:ascii="宋体" w:hAnsi="宋体"/>
          <w:b/>
          <w:sz w:val="24"/>
          <w:szCs w:val="22"/>
        </w:rPr>
        <w:t>（一）工程安全管理</w:t>
      </w:r>
    </w:p>
    <w:p w14:paraId="05890025">
      <w:pPr>
        <w:spacing w:line="360" w:lineRule="auto"/>
        <w:ind w:left="1" w:firstLine="480" w:firstLineChars="200"/>
        <w:rPr>
          <w:rFonts w:ascii="宋体" w:hAnsi="宋体"/>
          <w:sz w:val="24"/>
          <w:szCs w:val="22"/>
        </w:rPr>
      </w:pPr>
      <w:r>
        <w:rPr>
          <w:rFonts w:hint="eastAsia" w:ascii="宋体" w:hAnsi="宋体"/>
          <w:sz w:val="24"/>
          <w:szCs w:val="22"/>
        </w:rPr>
        <w:t>（1）乙方必须贯彻执行建设工程安全相关法律、法规、规章和标准，以及施工承包合同有关规定和要求，服从甲方及甲方委托的第三方监理单位对安全文明施工的管理，并全面遵守甲方及甲方委托的监理单位有关工程安全的各项规定。</w:t>
      </w:r>
    </w:p>
    <w:p w14:paraId="508030F9">
      <w:pPr>
        <w:spacing w:line="360" w:lineRule="auto"/>
        <w:ind w:left="1" w:firstLine="480" w:firstLineChars="200"/>
        <w:rPr>
          <w:rFonts w:ascii="宋体" w:hAnsi="宋体"/>
          <w:sz w:val="24"/>
          <w:szCs w:val="22"/>
        </w:rPr>
      </w:pPr>
      <w:r>
        <w:rPr>
          <w:rFonts w:hint="eastAsia" w:ascii="宋体" w:hAnsi="宋体"/>
          <w:sz w:val="24"/>
          <w:szCs w:val="22"/>
        </w:rPr>
        <w:t>（2）乙方应按照《建筑施工企业安全生产管理机构设置及专职安全生产管理人员配备办法》与合同条款要求，设置专业齐全、功能完善的安全管理机构，配置具有相关经验、管理能力且有较强责任心的安全管理人员。</w:t>
      </w:r>
    </w:p>
    <w:p w14:paraId="3E5AF317">
      <w:pPr>
        <w:spacing w:line="360" w:lineRule="auto"/>
        <w:ind w:left="1" w:firstLine="480" w:firstLineChars="200"/>
        <w:rPr>
          <w:rFonts w:ascii="宋体" w:hAnsi="宋体"/>
          <w:sz w:val="24"/>
          <w:szCs w:val="22"/>
        </w:rPr>
      </w:pPr>
      <w:r>
        <w:rPr>
          <w:rFonts w:hint="eastAsia" w:ascii="宋体" w:hAnsi="宋体"/>
          <w:sz w:val="24"/>
          <w:szCs w:val="22"/>
        </w:rPr>
        <w:t>承包人安全员配置要求如下：</w:t>
      </w:r>
    </w:p>
    <w:p w14:paraId="76E89543">
      <w:pPr>
        <w:tabs>
          <w:tab w:val="left" w:pos="540"/>
        </w:tabs>
        <w:spacing w:line="360" w:lineRule="auto"/>
        <w:ind w:firstLine="480" w:firstLineChars="200"/>
        <w:rPr>
          <w:rFonts w:ascii="宋体" w:hAnsi="宋体"/>
          <w:sz w:val="24"/>
          <w:szCs w:val="22"/>
        </w:rPr>
      </w:pPr>
      <w:r>
        <w:rPr>
          <w:rFonts w:hint="eastAsia" w:ascii="宋体" w:hAnsi="宋体"/>
          <w:sz w:val="24"/>
          <w:szCs w:val="22"/>
        </w:rPr>
        <w:t>以标段为单位，土建工程、装修工程专职安全生产管理人员应满足下列要求：</w:t>
      </w:r>
    </w:p>
    <w:p w14:paraId="1FC66744">
      <w:pPr>
        <w:tabs>
          <w:tab w:val="left" w:pos="540"/>
        </w:tabs>
        <w:spacing w:line="360" w:lineRule="auto"/>
        <w:ind w:firstLine="480" w:firstLineChars="200"/>
        <w:rPr>
          <w:rFonts w:ascii="宋体" w:hAnsi="宋体"/>
          <w:sz w:val="24"/>
          <w:szCs w:val="22"/>
        </w:rPr>
      </w:pPr>
      <w:r>
        <w:rPr>
          <w:rFonts w:ascii="宋体" w:hAnsi="宋体"/>
          <w:sz w:val="24"/>
          <w:szCs w:val="22"/>
        </w:rPr>
        <w:t>1.1万平方米以下的工程不少于1人；</w:t>
      </w:r>
    </w:p>
    <w:p w14:paraId="6281F5BF">
      <w:pPr>
        <w:tabs>
          <w:tab w:val="left" w:pos="540"/>
        </w:tabs>
        <w:spacing w:line="360" w:lineRule="auto"/>
        <w:ind w:firstLine="480" w:firstLineChars="200"/>
        <w:rPr>
          <w:rFonts w:ascii="宋体" w:hAnsi="宋体"/>
          <w:sz w:val="24"/>
          <w:szCs w:val="22"/>
        </w:rPr>
      </w:pPr>
      <w:r>
        <w:rPr>
          <w:rFonts w:ascii="宋体" w:hAnsi="宋体"/>
          <w:sz w:val="24"/>
          <w:szCs w:val="22"/>
        </w:rPr>
        <w:t>2.1万～5万平方米的工程不少于2人；</w:t>
      </w:r>
    </w:p>
    <w:p w14:paraId="20C549A2">
      <w:pPr>
        <w:tabs>
          <w:tab w:val="left" w:pos="540"/>
        </w:tabs>
        <w:spacing w:line="360" w:lineRule="auto"/>
        <w:ind w:firstLine="480" w:firstLineChars="200"/>
        <w:rPr>
          <w:rFonts w:ascii="宋体" w:hAnsi="宋体"/>
          <w:sz w:val="24"/>
          <w:szCs w:val="22"/>
        </w:rPr>
      </w:pPr>
      <w:r>
        <w:rPr>
          <w:rFonts w:ascii="宋体" w:hAnsi="宋体"/>
          <w:sz w:val="24"/>
          <w:szCs w:val="22"/>
        </w:rPr>
        <w:t>3.5万平方米及以上的工程不少于3人（</w:t>
      </w:r>
      <w:r>
        <w:rPr>
          <w:rFonts w:hint="eastAsia" w:ascii="宋体" w:hAnsi="宋体"/>
          <w:sz w:val="24"/>
          <w:szCs w:val="22"/>
        </w:rPr>
        <w:t>随管理面积加大增加人数），且按专业配备专职安全生产管理人员。</w:t>
      </w:r>
    </w:p>
    <w:p w14:paraId="3043BBF7">
      <w:pPr>
        <w:tabs>
          <w:tab w:val="left" w:pos="540"/>
        </w:tabs>
        <w:spacing w:line="360" w:lineRule="auto"/>
        <w:ind w:firstLine="480" w:firstLineChars="200"/>
        <w:rPr>
          <w:rFonts w:ascii="宋体" w:hAnsi="宋体"/>
          <w:sz w:val="24"/>
          <w:szCs w:val="22"/>
        </w:rPr>
      </w:pPr>
      <w:r>
        <w:rPr>
          <w:rFonts w:hint="eastAsia" w:ascii="宋体" w:hAnsi="宋体"/>
          <w:sz w:val="24"/>
          <w:szCs w:val="22"/>
        </w:rPr>
        <w:t>分包人安全员配置要求</w:t>
      </w:r>
    </w:p>
    <w:p w14:paraId="51A01041">
      <w:pPr>
        <w:tabs>
          <w:tab w:val="left" w:pos="540"/>
        </w:tabs>
        <w:spacing w:line="360" w:lineRule="auto"/>
        <w:ind w:firstLine="480" w:firstLineChars="200"/>
        <w:rPr>
          <w:rFonts w:ascii="宋体" w:hAnsi="宋体"/>
          <w:sz w:val="24"/>
          <w:szCs w:val="22"/>
        </w:rPr>
      </w:pPr>
      <w:r>
        <w:rPr>
          <w:rFonts w:hint="eastAsia" w:ascii="宋体" w:hAnsi="宋体"/>
          <w:sz w:val="24"/>
          <w:szCs w:val="22"/>
        </w:rPr>
        <w:t>分包单位配备项目专职安全生产管理人员应满足下列要求：</w:t>
      </w:r>
    </w:p>
    <w:p w14:paraId="08C77D2B">
      <w:pPr>
        <w:tabs>
          <w:tab w:val="left" w:pos="540"/>
        </w:tabs>
        <w:spacing w:line="360" w:lineRule="auto"/>
        <w:ind w:firstLine="480" w:firstLineChars="200"/>
        <w:rPr>
          <w:rFonts w:ascii="宋体" w:hAnsi="宋体"/>
          <w:sz w:val="24"/>
          <w:szCs w:val="22"/>
        </w:rPr>
      </w:pPr>
      <w:r>
        <w:rPr>
          <w:rFonts w:ascii="宋体" w:hAnsi="宋体"/>
          <w:sz w:val="24"/>
          <w:szCs w:val="22"/>
        </w:rPr>
        <w:t>1.专业承包单位应当配置至少1人，并根据所承担的分部分项工程的工程量和施工危险程度增加；</w:t>
      </w:r>
    </w:p>
    <w:p w14:paraId="2E04F5BC">
      <w:pPr>
        <w:tabs>
          <w:tab w:val="left" w:pos="540"/>
        </w:tabs>
        <w:spacing w:line="360" w:lineRule="auto"/>
        <w:ind w:firstLine="480" w:firstLineChars="200"/>
        <w:rPr>
          <w:rFonts w:ascii="宋体" w:hAnsi="宋体"/>
          <w:sz w:val="24"/>
          <w:szCs w:val="22"/>
        </w:rPr>
      </w:pPr>
      <w:r>
        <w:rPr>
          <w:rFonts w:ascii="宋体" w:hAnsi="宋体"/>
          <w:sz w:val="24"/>
          <w:szCs w:val="22"/>
        </w:rPr>
        <w:t>2.劳务分包单位施工人员在50人以下的，应当配备1名专职安全生产管理人员；50～200人的，应当配备2名专职安全生产管理人员；200人及以上的，应当配备3名及以上专职安全生产管理人员，并根据所承担的分部分项工程施工危险实际情况增加。</w:t>
      </w:r>
    </w:p>
    <w:p w14:paraId="5374A9C1">
      <w:pPr>
        <w:spacing w:line="360" w:lineRule="auto"/>
        <w:ind w:left="1" w:firstLine="480" w:firstLineChars="200"/>
        <w:rPr>
          <w:rFonts w:ascii="宋体" w:hAnsi="宋体"/>
          <w:sz w:val="24"/>
          <w:szCs w:val="22"/>
        </w:rPr>
      </w:pPr>
      <w:r>
        <w:rPr>
          <w:rFonts w:hint="eastAsia" w:ascii="宋体" w:hAnsi="宋体"/>
          <w:sz w:val="24"/>
          <w:szCs w:val="22"/>
        </w:rPr>
        <w:t>（3）乙方应向建设单位提交安全管理人员资质证明文件，如果安全管理人员不能满足岗位需求，乙方应按照建设单位的要求更换。</w:t>
      </w:r>
    </w:p>
    <w:p w14:paraId="3305737C">
      <w:pPr>
        <w:spacing w:line="360" w:lineRule="auto"/>
        <w:ind w:firstLine="480" w:firstLineChars="200"/>
        <w:rPr>
          <w:rFonts w:ascii="宋体" w:hAnsi="宋体"/>
          <w:sz w:val="24"/>
          <w:szCs w:val="22"/>
        </w:rPr>
      </w:pPr>
      <w:r>
        <w:rPr>
          <w:rFonts w:hint="eastAsia" w:ascii="宋体" w:hAnsi="宋体"/>
          <w:sz w:val="24"/>
          <w:szCs w:val="22"/>
        </w:rPr>
        <w:t>（4）乙方项目部安全总监（安全主任）应具有工程师及以上职称，且有8年以上建设工程安全管理工作经验。</w:t>
      </w:r>
    </w:p>
    <w:p w14:paraId="2148FC83">
      <w:pPr>
        <w:spacing w:line="360" w:lineRule="auto"/>
        <w:ind w:firstLine="480" w:firstLineChars="200"/>
        <w:rPr>
          <w:rFonts w:ascii="宋体" w:hAnsi="宋体"/>
          <w:sz w:val="24"/>
          <w:szCs w:val="22"/>
        </w:rPr>
      </w:pPr>
      <w:r>
        <w:rPr>
          <w:rFonts w:hint="eastAsia" w:ascii="宋体" w:hAnsi="宋体"/>
          <w:sz w:val="24"/>
          <w:szCs w:val="22"/>
        </w:rPr>
        <w:t>（5）乙方安全管理人员若发生变动或安全总监（安全主任）请假应及时报告监理单位和建设单位，但必须确保在国家法定节假日期间，有专职安全人员在现场跟班监控。</w:t>
      </w:r>
    </w:p>
    <w:p w14:paraId="40D59657">
      <w:pPr>
        <w:spacing w:line="360" w:lineRule="auto"/>
        <w:ind w:firstLine="480" w:firstLineChars="200"/>
        <w:rPr>
          <w:rFonts w:ascii="宋体" w:hAnsi="宋体"/>
          <w:sz w:val="24"/>
          <w:szCs w:val="22"/>
        </w:rPr>
      </w:pPr>
      <w:r>
        <w:rPr>
          <w:rFonts w:hint="eastAsia" w:ascii="宋体" w:hAnsi="宋体"/>
          <w:sz w:val="24"/>
          <w:szCs w:val="22"/>
        </w:rPr>
        <w:t>（6）乙方施工管理人员、专职安全员每年度应进行安全教育培训和考核，培训考核记录报监理单位审查备案。</w:t>
      </w:r>
    </w:p>
    <w:p w14:paraId="31DD4778">
      <w:pPr>
        <w:spacing w:line="360" w:lineRule="auto"/>
        <w:ind w:firstLine="480" w:firstLineChars="200"/>
        <w:rPr>
          <w:rFonts w:ascii="宋体" w:hAnsi="宋体"/>
          <w:sz w:val="24"/>
          <w:szCs w:val="22"/>
        </w:rPr>
      </w:pPr>
      <w:r>
        <w:rPr>
          <w:rFonts w:hint="eastAsia" w:ascii="宋体" w:hAnsi="宋体"/>
          <w:sz w:val="24"/>
          <w:szCs w:val="22"/>
        </w:rPr>
        <w:t>（7）乙方应建立以企业法人为第一责任人、项目经理为直接责任人的项目安全生产管理体系，制定目标与建立、健全和落实安全生产责任制、安全检查、教育培训、安全资金保障、设备进场报验和点检维修、特种设备及危险性设备管理、高危作业申报审批、应急预案、事故调查处理及安全考核奖惩等安全管理规章制度和安全操作规程。安全管理规章制度报监理单位审批，法律法规、规章制度学习记录真实、完整。</w:t>
      </w:r>
    </w:p>
    <w:p w14:paraId="3F9759B7">
      <w:pPr>
        <w:spacing w:line="360" w:lineRule="auto"/>
        <w:ind w:firstLine="480" w:firstLineChars="200"/>
        <w:rPr>
          <w:rFonts w:ascii="宋体" w:hAnsi="宋体"/>
          <w:sz w:val="24"/>
          <w:szCs w:val="22"/>
        </w:rPr>
      </w:pPr>
      <w:r>
        <w:rPr>
          <w:rFonts w:hint="eastAsia" w:ascii="宋体" w:hAnsi="宋体"/>
          <w:sz w:val="24"/>
          <w:szCs w:val="22"/>
        </w:rPr>
        <w:t>（8）乙方应按照《危险性较大的分部分项工程安全管理办法》有关规定，对危险性较大的分部分项工程编制专项施工方案，报监理单位审批。</w:t>
      </w:r>
    </w:p>
    <w:p w14:paraId="27C4BF7A">
      <w:pPr>
        <w:spacing w:line="360" w:lineRule="auto"/>
        <w:ind w:firstLine="480" w:firstLineChars="200"/>
        <w:rPr>
          <w:rFonts w:ascii="宋体" w:hAnsi="宋体"/>
          <w:sz w:val="24"/>
          <w:szCs w:val="22"/>
        </w:rPr>
      </w:pPr>
      <w:r>
        <w:rPr>
          <w:rFonts w:hint="eastAsia" w:ascii="宋体" w:hAnsi="宋体"/>
          <w:sz w:val="24"/>
          <w:szCs w:val="22"/>
        </w:rPr>
        <w:t>（9）乙方对超过一定规模的危险性较大的分部分项工程应组织专家论证，并严格按照论证方案组织施工。</w:t>
      </w:r>
    </w:p>
    <w:p w14:paraId="5A70FC3E">
      <w:pPr>
        <w:spacing w:line="360" w:lineRule="auto"/>
        <w:ind w:firstLine="480" w:firstLineChars="200"/>
        <w:rPr>
          <w:rFonts w:ascii="宋体" w:hAnsi="宋体"/>
          <w:sz w:val="24"/>
          <w:szCs w:val="22"/>
        </w:rPr>
      </w:pPr>
      <w:r>
        <w:rPr>
          <w:rFonts w:hint="eastAsia" w:ascii="宋体" w:hAnsi="宋体"/>
          <w:sz w:val="24"/>
          <w:szCs w:val="22"/>
        </w:rPr>
        <w:t>（10）乙方应加强对重大危险源的控制与管理，制定重大危险源的管理制度，对施工现场的重大危险源进行辨识、登记、公示、控制。</w:t>
      </w:r>
    </w:p>
    <w:p w14:paraId="3AA5EE78">
      <w:pPr>
        <w:spacing w:line="360" w:lineRule="auto"/>
        <w:ind w:firstLine="480" w:firstLineChars="200"/>
        <w:rPr>
          <w:rFonts w:ascii="宋体" w:hAnsi="宋体"/>
          <w:sz w:val="24"/>
          <w:szCs w:val="22"/>
        </w:rPr>
      </w:pPr>
      <w:r>
        <w:rPr>
          <w:rFonts w:hint="eastAsia" w:ascii="宋体" w:hAnsi="宋体"/>
          <w:sz w:val="24"/>
          <w:szCs w:val="22"/>
        </w:rPr>
        <w:t>（11）乙方必须严格遵循施工作业防护在先，作业在后的顺序，禁止先作业，后补防护或无防护冒险施工的情况发生。</w:t>
      </w:r>
    </w:p>
    <w:p w14:paraId="2B70981B">
      <w:pPr>
        <w:spacing w:line="360" w:lineRule="auto"/>
        <w:ind w:firstLine="480" w:firstLineChars="200"/>
        <w:rPr>
          <w:rFonts w:ascii="宋体" w:hAnsi="宋体"/>
          <w:sz w:val="24"/>
          <w:szCs w:val="22"/>
        </w:rPr>
      </w:pPr>
      <w:r>
        <w:rPr>
          <w:rFonts w:hint="eastAsia" w:ascii="宋体" w:hAnsi="宋体"/>
          <w:sz w:val="24"/>
          <w:szCs w:val="22"/>
        </w:rPr>
        <w:t>（12）乙方应在监理单位见证下及时将脚手架钢管、扣件、安全网、安全帽、安全带等安全用具送检，经检验合格后方可投入使用。</w:t>
      </w:r>
    </w:p>
    <w:p w14:paraId="4C04709B">
      <w:pPr>
        <w:spacing w:line="360" w:lineRule="auto"/>
        <w:ind w:firstLine="480" w:firstLineChars="200"/>
        <w:rPr>
          <w:rFonts w:ascii="宋体" w:hAnsi="宋体"/>
          <w:sz w:val="24"/>
          <w:szCs w:val="22"/>
        </w:rPr>
      </w:pPr>
      <w:r>
        <w:rPr>
          <w:rFonts w:hint="eastAsia" w:ascii="宋体" w:hAnsi="宋体"/>
          <w:sz w:val="24"/>
          <w:szCs w:val="22"/>
        </w:rPr>
        <w:t>（13）乙方进场的施工机具、设施设备投入使用前，应报监理单位验收。</w:t>
      </w:r>
    </w:p>
    <w:p w14:paraId="142BCF85">
      <w:pPr>
        <w:spacing w:line="360" w:lineRule="auto"/>
        <w:ind w:firstLine="480" w:firstLineChars="200"/>
        <w:rPr>
          <w:rFonts w:ascii="宋体" w:hAnsi="宋体"/>
          <w:sz w:val="24"/>
          <w:szCs w:val="22"/>
        </w:rPr>
      </w:pPr>
      <w:r>
        <w:rPr>
          <w:rFonts w:hint="eastAsia" w:ascii="宋体" w:hAnsi="宋体"/>
          <w:sz w:val="24"/>
          <w:szCs w:val="22"/>
        </w:rPr>
        <w:t>（14）乙方应加强安全生产教育培训</w:t>
      </w:r>
      <w:r>
        <w:rPr>
          <w:rFonts w:hint="eastAsia" w:ascii="宋体" w:hAnsi="宋体"/>
          <w:sz w:val="28"/>
          <w:szCs w:val="28"/>
        </w:rPr>
        <w:t>，</w:t>
      </w:r>
      <w:r>
        <w:rPr>
          <w:rFonts w:hint="eastAsia" w:ascii="宋体" w:hAnsi="宋体"/>
          <w:sz w:val="24"/>
          <w:szCs w:val="22"/>
        </w:rPr>
        <w:t>对新进场、转岗工人进行三级安全教育，并按照《深圳市住房和建设局关于试行建筑从业人员安全教育数字化教材强化实名制安全教育培训的通知》，落实实名制安全教育培训工作。</w:t>
      </w:r>
    </w:p>
    <w:p w14:paraId="3ADF68B1">
      <w:pPr>
        <w:spacing w:line="360" w:lineRule="auto"/>
        <w:ind w:firstLine="480" w:firstLineChars="200"/>
        <w:rPr>
          <w:rFonts w:ascii="宋体" w:hAnsi="宋体"/>
          <w:sz w:val="24"/>
          <w:szCs w:val="22"/>
        </w:rPr>
      </w:pPr>
      <w:r>
        <w:rPr>
          <w:rFonts w:hint="eastAsia" w:ascii="宋体" w:hAnsi="宋体"/>
          <w:sz w:val="24"/>
          <w:szCs w:val="22"/>
        </w:rPr>
        <w:t>（15）乙方每天应开展班前安全交底，每月开展岗位操作规程培训，监理旁站见证。</w:t>
      </w:r>
    </w:p>
    <w:p w14:paraId="33DC2348">
      <w:pPr>
        <w:spacing w:line="360" w:lineRule="auto"/>
        <w:ind w:firstLine="480" w:firstLineChars="200"/>
        <w:rPr>
          <w:rFonts w:ascii="宋体" w:hAnsi="宋体"/>
          <w:sz w:val="24"/>
          <w:szCs w:val="22"/>
        </w:rPr>
      </w:pPr>
      <w:r>
        <w:rPr>
          <w:rFonts w:hint="eastAsia" w:ascii="宋体" w:hAnsi="宋体"/>
          <w:sz w:val="24"/>
          <w:szCs w:val="22"/>
        </w:rPr>
        <w:t>（16）乙方专项方案实施前，编制人员或项目技术负责人应当向现场管理人员和作业人员进行安全技术交底，需监理旁站见证。</w:t>
      </w:r>
    </w:p>
    <w:p w14:paraId="20E429A2">
      <w:pPr>
        <w:spacing w:line="360" w:lineRule="auto"/>
        <w:ind w:firstLine="480" w:firstLineChars="200"/>
        <w:rPr>
          <w:rFonts w:ascii="宋体" w:hAnsi="宋体"/>
          <w:sz w:val="24"/>
          <w:szCs w:val="22"/>
        </w:rPr>
      </w:pPr>
      <w:r>
        <w:rPr>
          <w:rFonts w:hint="eastAsia" w:ascii="宋体" w:hAnsi="宋体"/>
          <w:sz w:val="24"/>
          <w:szCs w:val="22"/>
        </w:rPr>
        <w:t>（17）乙方特种作业人员应持证上岗，上岗前应对其进行安全技术交底，每月对其进行安全教育培训。</w:t>
      </w:r>
    </w:p>
    <w:p w14:paraId="2D8A5411">
      <w:pPr>
        <w:spacing w:line="360" w:lineRule="auto"/>
        <w:ind w:firstLine="480" w:firstLineChars="200"/>
        <w:rPr>
          <w:rFonts w:ascii="宋体" w:hAnsi="宋体"/>
          <w:sz w:val="24"/>
          <w:szCs w:val="22"/>
        </w:rPr>
      </w:pPr>
      <w:r>
        <w:rPr>
          <w:rFonts w:hint="eastAsia" w:ascii="宋体" w:hAnsi="宋体"/>
          <w:sz w:val="24"/>
          <w:szCs w:val="22"/>
        </w:rPr>
        <w:t>（18）乙方安全员应每日对现场进行安全巡查，并填写安全巡查日志。</w:t>
      </w:r>
    </w:p>
    <w:p w14:paraId="7DDF1FC0">
      <w:pPr>
        <w:spacing w:line="360" w:lineRule="auto"/>
        <w:ind w:firstLine="480" w:firstLineChars="200"/>
        <w:rPr>
          <w:rFonts w:ascii="宋体" w:hAnsi="宋体"/>
          <w:sz w:val="24"/>
          <w:szCs w:val="22"/>
        </w:rPr>
      </w:pPr>
      <w:r>
        <w:rPr>
          <w:rFonts w:hint="eastAsia" w:ascii="宋体" w:hAnsi="宋体"/>
          <w:sz w:val="24"/>
          <w:szCs w:val="22"/>
        </w:rPr>
        <w:t>（19）乙方项目部应每周开展安全检查，每月开展安全自评。</w:t>
      </w:r>
    </w:p>
    <w:p w14:paraId="41E7F0B5">
      <w:pPr>
        <w:spacing w:line="360" w:lineRule="auto"/>
        <w:ind w:firstLine="480" w:firstLineChars="200"/>
        <w:rPr>
          <w:rFonts w:ascii="宋体" w:hAnsi="宋体"/>
          <w:sz w:val="24"/>
          <w:szCs w:val="22"/>
        </w:rPr>
      </w:pPr>
      <w:r>
        <w:rPr>
          <w:rFonts w:hint="eastAsia" w:ascii="宋体" w:hAnsi="宋体"/>
          <w:sz w:val="24"/>
          <w:szCs w:val="22"/>
        </w:rPr>
        <w:t>（20）乙方对于施工现场的外脚手架、塔吊、施工电梯、模板支撑系统、施工机具、临时用电等进行安全自检，并做好检查记录。</w:t>
      </w:r>
    </w:p>
    <w:p w14:paraId="3761BB73">
      <w:pPr>
        <w:spacing w:line="360" w:lineRule="auto"/>
        <w:ind w:left="1" w:firstLine="480" w:firstLineChars="200"/>
        <w:rPr>
          <w:rFonts w:ascii="宋体" w:hAnsi="宋体"/>
          <w:sz w:val="24"/>
          <w:szCs w:val="22"/>
        </w:rPr>
      </w:pPr>
      <w:r>
        <w:rPr>
          <w:rFonts w:hint="eastAsia" w:ascii="宋体" w:hAnsi="宋体"/>
          <w:sz w:val="24"/>
          <w:szCs w:val="22"/>
        </w:rPr>
        <w:t>（21）乙方应定期召开安全会议，分析安全形势，在计划、布置、检查、总结和评比生产工作的同时，计划、布置、检查、总结和评比安全工作。积极宣传党和国家关于建设工程安全生产工作的方针政策，及时传达上级关于安全工作的通知和会议精神。</w:t>
      </w:r>
    </w:p>
    <w:p w14:paraId="0DCC819F">
      <w:pPr>
        <w:spacing w:line="360" w:lineRule="auto"/>
        <w:ind w:firstLine="480" w:firstLineChars="200"/>
        <w:rPr>
          <w:rFonts w:ascii="宋体" w:hAnsi="宋体"/>
          <w:sz w:val="24"/>
          <w:szCs w:val="22"/>
        </w:rPr>
      </w:pPr>
      <w:r>
        <w:rPr>
          <w:rFonts w:hint="eastAsia" w:ascii="宋体" w:hAnsi="宋体"/>
          <w:sz w:val="24"/>
          <w:szCs w:val="22"/>
        </w:rPr>
        <w:t>（22）乙方应参加监理单位组织的项目定期安全检查和项目安全生产专题会议，对检查发现的各项安全隐患按照“三定”原则进行整改。</w:t>
      </w:r>
    </w:p>
    <w:p w14:paraId="5368F6C3">
      <w:pPr>
        <w:spacing w:line="360" w:lineRule="auto"/>
        <w:ind w:firstLine="480" w:firstLineChars="200"/>
        <w:rPr>
          <w:rFonts w:ascii="宋体" w:hAnsi="宋体"/>
          <w:sz w:val="24"/>
          <w:szCs w:val="22"/>
        </w:rPr>
      </w:pPr>
      <w:r>
        <w:rPr>
          <w:rFonts w:hint="eastAsia" w:ascii="宋体" w:hAnsi="宋体"/>
          <w:sz w:val="24"/>
          <w:szCs w:val="22"/>
        </w:rPr>
        <w:t>（23）乙方应严格执行工伤保险和建筑工程意外伤害险制度，依法为现场施工人员办理保险，支付保险费，做好施工现场安全保卫工作。</w:t>
      </w:r>
    </w:p>
    <w:p w14:paraId="53210D93">
      <w:pPr>
        <w:spacing w:line="360" w:lineRule="auto"/>
        <w:ind w:firstLine="480" w:firstLineChars="200"/>
        <w:rPr>
          <w:rFonts w:ascii="宋体" w:hAnsi="宋体"/>
          <w:sz w:val="24"/>
          <w:szCs w:val="22"/>
        </w:rPr>
      </w:pPr>
      <w:r>
        <w:rPr>
          <w:rFonts w:hint="eastAsia" w:ascii="宋体" w:hAnsi="宋体"/>
          <w:sz w:val="24"/>
          <w:szCs w:val="22"/>
        </w:rPr>
        <w:t>（24）乙方应对安全文明措施费用专款专用，在财务管理中单独列出安全文明施工措施项目费用清单，每月报安全资金使用计划清单及上月安全资金使用情况清单，并附票据复印件。</w:t>
      </w:r>
    </w:p>
    <w:p w14:paraId="28379990">
      <w:pPr>
        <w:spacing w:line="360" w:lineRule="auto"/>
        <w:ind w:firstLine="480" w:firstLineChars="200"/>
        <w:rPr>
          <w:rFonts w:ascii="宋体" w:hAnsi="宋体"/>
          <w:sz w:val="24"/>
          <w:szCs w:val="22"/>
        </w:rPr>
      </w:pPr>
      <w:r>
        <w:rPr>
          <w:rFonts w:hint="eastAsia" w:ascii="宋体" w:hAnsi="宋体"/>
          <w:sz w:val="24"/>
          <w:szCs w:val="22"/>
        </w:rPr>
        <w:t>（25）乙方应对分包单位进行资质、安全生产许可证和相关人员安全生产资格的审查，并报监理单位审核。</w:t>
      </w:r>
    </w:p>
    <w:p w14:paraId="28EB2EE7">
      <w:pPr>
        <w:spacing w:line="360" w:lineRule="auto"/>
        <w:ind w:firstLine="480" w:firstLineChars="200"/>
        <w:rPr>
          <w:rFonts w:ascii="宋体" w:hAnsi="宋体"/>
          <w:sz w:val="24"/>
          <w:szCs w:val="22"/>
        </w:rPr>
      </w:pPr>
      <w:r>
        <w:rPr>
          <w:rFonts w:hint="eastAsia" w:ascii="宋体" w:hAnsi="宋体"/>
          <w:sz w:val="24"/>
          <w:szCs w:val="22"/>
        </w:rPr>
        <w:t>（26）乙方应与分包单位（含甲方专业分包）签订安全生产协议、消防协议，并报建设单位备案，并负责分包单位（含甲方专业分包）统一协调、管理。</w:t>
      </w:r>
    </w:p>
    <w:p w14:paraId="2BCB6A19">
      <w:pPr>
        <w:spacing w:line="360" w:lineRule="auto"/>
        <w:ind w:firstLine="480" w:firstLineChars="200"/>
        <w:rPr>
          <w:rFonts w:ascii="宋体" w:hAnsi="宋体"/>
          <w:sz w:val="24"/>
          <w:szCs w:val="22"/>
        </w:rPr>
      </w:pPr>
      <w:r>
        <w:rPr>
          <w:rFonts w:hint="eastAsia" w:ascii="宋体" w:hAnsi="宋体"/>
          <w:sz w:val="24"/>
          <w:szCs w:val="22"/>
        </w:rPr>
        <w:t>（27）乙方分包单位应按规定建立安全管理机构，配备项目经理和专职安全员，项目经理和专职安全员应具有B证、C证。</w:t>
      </w:r>
    </w:p>
    <w:p w14:paraId="232B1D14">
      <w:pPr>
        <w:spacing w:line="360" w:lineRule="auto"/>
        <w:ind w:firstLine="480" w:firstLineChars="200"/>
        <w:rPr>
          <w:rFonts w:ascii="宋体" w:hAnsi="宋体"/>
          <w:sz w:val="24"/>
          <w:szCs w:val="22"/>
        </w:rPr>
      </w:pPr>
      <w:r>
        <w:rPr>
          <w:rFonts w:hint="eastAsia" w:ascii="宋体" w:hAnsi="宋体"/>
          <w:sz w:val="24"/>
          <w:szCs w:val="22"/>
        </w:rPr>
        <w:t>（28）乙方应对建筑工程安全文明施工措施费的使用负总责，按规定及合同约定及时向分包单位支付安全文明施工措施费，否则，因此造成分包单位不能及时落实安全防护措施导致发生事故的，由乙方负主要责任。</w:t>
      </w:r>
    </w:p>
    <w:p w14:paraId="2EC11908">
      <w:pPr>
        <w:spacing w:line="360" w:lineRule="auto"/>
        <w:ind w:firstLine="480" w:firstLineChars="200"/>
        <w:rPr>
          <w:rFonts w:ascii="宋体" w:hAnsi="宋体"/>
          <w:sz w:val="24"/>
          <w:szCs w:val="22"/>
        </w:rPr>
      </w:pPr>
      <w:r>
        <w:rPr>
          <w:rFonts w:hint="eastAsia" w:ascii="宋体" w:hAnsi="宋体"/>
          <w:sz w:val="24"/>
          <w:szCs w:val="22"/>
        </w:rPr>
        <w:t>（29）乙方应关心项目管理人员和操作工人的身体、心理健康，定期组织身体、心理健康状态筛查。严禁患有心脏病、癫痫、高血压、恐高、肢体残疾、心理扭曲、思想极端、狂躁易怒或其它疾病的工人从事高空、临边、操作施工机械等高危工作，对不适应工地工作环境的带病人员给予劝退。</w:t>
      </w:r>
    </w:p>
    <w:p w14:paraId="56187CD1">
      <w:pPr>
        <w:spacing w:line="360" w:lineRule="auto"/>
        <w:ind w:firstLine="480" w:firstLineChars="200"/>
        <w:rPr>
          <w:rFonts w:ascii="宋体" w:hAnsi="宋体"/>
          <w:sz w:val="24"/>
          <w:szCs w:val="22"/>
        </w:rPr>
      </w:pPr>
      <w:r>
        <w:rPr>
          <w:rFonts w:hint="eastAsia" w:ascii="宋体" w:hAnsi="宋体"/>
          <w:sz w:val="24"/>
          <w:szCs w:val="22"/>
        </w:rPr>
        <w:t>（30）乙方应严格执行深圳市关于劳务工实名制和分账制的有关规定和要求，建立劳务工实名制和分账制，设立工人工资支付专用账户，配备劳资管理员，建立劳动用工管理台账，确保劳务工工资按时按月足额拨付到工人工资专户，并按月将工人工资支付明细表报甲方备案。</w:t>
      </w:r>
    </w:p>
    <w:p w14:paraId="759A9BE6">
      <w:pPr>
        <w:spacing w:line="360" w:lineRule="auto"/>
        <w:ind w:firstLine="480" w:firstLineChars="200"/>
        <w:rPr>
          <w:rFonts w:ascii="宋体" w:hAnsi="宋体"/>
          <w:sz w:val="24"/>
          <w:szCs w:val="22"/>
        </w:rPr>
      </w:pPr>
      <w:r>
        <w:rPr>
          <w:rFonts w:hint="eastAsia" w:ascii="宋体" w:hAnsi="宋体"/>
          <w:sz w:val="24"/>
          <w:szCs w:val="22"/>
        </w:rPr>
        <w:t>（31）乙方应按规定设置劳务工维权信息牌，关心工人、加强沟通交流，保障工人的基本生活条件。时刻保持维稳工作的敏感性，发现不稳定因素密切跟踪，出现不稳定苗头及时制止，防止矛盾激化或不稳的因素扩大。</w:t>
      </w:r>
    </w:p>
    <w:p w14:paraId="17D852AE">
      <w:pPr>
        <w:spacing w:line="360" w:lineRule="auto"/>
        <w:ind w:firstLine="480" w:firstLineChars="200"/>
        <w:rPr>
          <w:rFonts w:ascii="宋体" w:hAnsi="宋体"/>
          <w:sz w:val="24"/>
          <w:szCs w:val="22"/>
        </w:rPr>
      </w:pPr>
      <w:r>
        <w:rPr>
          <w:rFonts w:hint="eastAsia" w:ascii="宋体" w:hAnsi="宋体"/>
          <w:sz w:val="24"/>
          <w:szCs w:val="22"/>
        </w:rPr>
        <w:t>（32）乙方应针对工程特点，制定防触电、防坍塌、防高处坠落、防起重及机械伤害、防火灾、防物体打击等主要内容的专项应急救援预案。</w:t>
      </w:r>
    </w:p>
    <w:p w14:paraId="6D9323B3">
      <w:pPr>
        <w:spacing w:line="360" w:lineRule="auto"/>
        <w:ind w:firstLine="480" w:firstLineChars="200"/>
        <w:rPr>
          <w:rFonts w:ascii="宋体" w:hAnsi="宋体"/>
          <w:sz w:val="24"/>
          <w:szCs w:val="22"/>
        </w:rPr>
      </w:pPr>
      <w:r>
        <w:rPr>
          <w:rFonts w:hint="eastAsia" w:ascii="宋体" w:hAnsi="宋体"/>
          <w:sz w:val="24"/>
          <w:szCs w:val="22"/>
        </w:rPr>
        <w:t>（33）乙方应建立应急救援组织，培训、配备应急救援人员，定期组织员工进行应急救援演练，并做好演练记录。</w:t>
      </w:r>
    </w:p>
    <w:p w14:paraId="56BA7DA5">
      <w:pPr>
        <w:spacing w:line="360" w:lineRule="auto"/>
        <w:ind w:firstLine="480" w:firstLineChars="200"/>
        <w:rPr>
          <w:rFonts w:ascii="宋体" w:hAnsi="宋体"/>
          <w:sz w:val="24"/>
          <w:szCs w:val="22"/>
        </w:rPr>
      </w:pPr>
      <w:r>
        <w:rPr>
          <w:rFonts w:hint="eastAsia" w:ascii="宋体" w:hAnsi="宋体"/>
          <w:sz w:val="24"/>
          <w:szCs w:val="22"/>
        </w:rPr>
        <w:t>（34）乙方应按应急救援预案要求，配备应急救援器材和设备。</w:t>
      </w:r>
    </w:p>
    <w:p w14:paraId="15E2F444">
      <w:pPr>
        <w:spacing w:line="360" w:lineRule="auto"/>
        <w:ind w:firstLine="480" w:firstLineChars="200"/>
        <w:rPr>
          <w:rFonts w:ascii="宋体" w:hAnsi="宋体"/>
          <w:sz w:val="24"/>
          <w:szCs w:val="22"/>
        </w:rPr>
      </w:pPr>
      <w:r>
        <w:rPr>
          <w:rFonts w:hint="eastAsia" w:ascii="宋体" w:hAnsi="宋体"/>
          <w:sz w:val="24"/>
          <w:szCs w:val="22"/>
        </w:rPr>
        <w:t>（35）事故发生后，乙方应全力开展应急抢险救援，及时将事故原因、抢险措施上报政府有关部门和甲方，按“四不放过”原则做好事故调查处理工作。</w:t>
      </w:r>
    </w:p>
    <w:p w14:paraId="25CB5A00">
      <w:pPr>
        <w:spacing w:line="360" w:lineRule="auto"/>
        <w:ind w:firstLine="482" w:firstLineChars="200"/>
        <w:rPr>
          <w:rFonts w:ascii="宋体" w:hAnsi="宋体"/>
          <w:sz w:val="24"/>
          <w:szCs w:val="22"/>
        </w:rPr>
      </w:pPr>
      <w:r>
        <w:rPr>
          <w:rFonts w:hint="eastAsia" w:ascii="宋体" w:hAnsi="宋体"/>
          <w:b/>
          <w:sz w:val="24"/>
          <w:szCs w:val="22"/>
        </w:rPr>
        <w:t>（二）文明施工管理</w:t>
      </w:r>
    </w:p>
    <w:p w14:paraId="753D083E">
      <w:pPr>
        <w:spacing w:line="360" w:lineRule="auto"/>
        <w:ind w:firstLine="480" w:firstLineChars="200"/>
        <w:rPr>
          <w:rFonts w:ascii="宋体" w:hAnsi="宋体"/>
          <w:sz w:val="24"/>
          <w:szCs w:val="22"/>
        </w:rPr>
      </w:pPr>
      <w:r>
        <w:rPr>
          <w:rFonts w:hint="eastAsia" w:ascii="宋体" w:hAnsi="宋体"/>
          <w:sz w:val="24"/>
          <w:szCs w:val="22"/>
        </w:rPr>
        <w:t>（1）严格执行工程建设文明施工、城市管理、环境保护、道路交通等方面的法律、法规、规章和规范性文件，有效解决环境卫生、扬尘、噪音扰民、泥浆排放、土方外运、泥头车管理等存在的问题。</w:t>
      </w:r>
    </w:p>
    <w:p w14:paraId="126346DF">
      <w:pPr>
        <w:spacing w:line="360" w:lineRule="auto"/>
        <w:ind w:firstLine="480" w:firstLineChars="200"/>
        <w:rPr>
          <w:rFonts w:ascii="宋体" w:hAnsi="宋体"/>
          <w:sz w:val="24"/>
          <w:szCs w:val="22"/>
        </w:rPr>
      </w:pPr>
      <w:r>
        <w:rPr>
          <w:rFonts w:hint="eastAsia" w:ascii="宋体" w:hAnsi="宋体"/>
          <w:sz w:val="24"/>
          <w:szCs w:val="22"/>
        </w:rPr>
        <w:t>（2）乙方应当按照《深圳市建设工程现场文明施工管理办法》、《深圳市建设工程安全文明施工标准》、《深圳市建设工程扬尘污染防治专项方案》等有关规定，结合工程特点和作业环境要求，对安全施工、文明施工进行设计，编制文明施工专项方案及安全施工专项方案，报监理单位审批，并征得甲方同意，严格落实安全文明施工标准化措施。</w:t>
      </w:r>
    </w:p>
    <w:p w14:paraId="58652F6A">
      <w:pPr>
        <w:spacing w:line="360" w:lineRule="auto"/>
        <w:ind w:firstLine="480" w:firstLineChars="200"/>
        <w:rPr>
          <w:rFonts w:ascii="宋体" w:hAnsi="宋体"/>
          <w:sz w:val="24"/>
          <w:szCs w:val="22"/>
        </w:rPr>
      </w:pPr>
      <w:r>
        <w:rPr>
          <w:rFonts w:hint="eastAsia" w:ascii="宋体" w:hAnsi="宋体"/>
          <w:sz w:val="24"/>
          <w:szCs w:val="22"/>
        </w:rPr>
        <w:t>（3）乙方</w:t>
      </w:r>
      <w:r>
        <w:rPr>
          <w:rFonts w:hint="eastAsia" w:ascii="宋体" w:hAnsi="宋体"/>
          <w:kern w:val="44"/>
          <w:sz w:val="24"/>
          <w:szCs w:val="22"/>
        </w:rPr>
        <w:t>对现场安全防护、文明施工设施、现场安全文化等除严格按照</w:t>
      </w:r>
      <w:r>
        <w:rPr>
          <w:rFonts w:hint="eastAsia" w:ascii="宋体" w:hAnsi="宋体"/>
          <w:sz w:val="24"/>
          <w:szCs w:val="22"/>
        </w:rPr>
        <w:t>《深圳市建设工程安全文明施工标准》</w:t>
      </w:r>
      <w:r>
        <w:rPr>
          <w:rFonts w:hint="eastAsia" w:ascii="宋体" w:hAnsi="宋体"/>
          <w:kern w:val="44"/>
          <w:sz w:val="24"/>
          <w:szCs w:val="22"/>
        </w:rPr>
        <w:t>要求进行标准化设置外，其中大门、围挡、工地制度牌、塔吊塔身公示牌及楼宇企业表示牌等应符合深圳市龙华建设发展集团有限公司视觉形象识别手册》的统一形象设计要求。</w:t>
      </w:r>
    </w:p>
    <w:p w14:paraId="558A2ACB">
      <w:pPr>
        <w:spacing w:line="360" w:lineRule="auto"/>
        <w:ind w:firstLine="480" w:firstLineChars="200"/>
        <w:rPr>
          <w:rFonts w:ascii="宋体" w:hAnsi="宋体"/>
          <w:sz w:val="24"/>
          <w:szCs w:val="22"/>
        </w:rPr>
      </w:pPr>
      <w:r>
        <w:rPr>
          <w:rFonts w:hint="eastAsia" w:ascii="宋体" w:hAnsi="宋体"/>
          <w:sz w:val="24"/>
          <w:szCs w:val="22"/>
        </w:rPr>
        <w:t>（4）乙方在工地应设有铁制双开大门、洗车台、冲洗池、喷枪等设施，做好泥浆外运和泥头车管理，保证工地周边市政道路不受污染。</w:t>
      </w:r>
    </w:p>
    <w:p w14:paraId="2589F795">
      <w:pPr>
        <w:spacing w:line="360" w:lineRule="auto"/>
        <w:ind w:firstLine="480" w:firstLineChars="200"/>
        <w:rPr>
          <w:rFonts w:ascii="宋体" w:hAnsi="宋体"/>
          <w:sz w:val="24"/>
          <w:szCs w:val="22"/>
        </w:rPr>
      </w:pPr>
      <w:r>
        <w:rPr>
          <w:rFonts w:hint="eastAsia" w:ascii="宋体" w:hAnsi="宋体"/>
          <w:sz w:val="24"/>
          <w:szCs w:val="22"/>
        </w:rPr>
        <w:t>（5）乙方应按规定落实场地硬化，道路畅通、不积水，各种材料分类堆放，场地容貌整洁卫生，泥浆、污水排放达标。</w:t>
      </w:r>
    </w:p>
    <w:p w14:paraId="7CE5A641">
      <w:pPr>
        <w:spacing w:line="360" w:lineRule="auto"/>
        <w:ind w:firstLine="480" w:firstLineChars="200"/>
        <w:rPr>
          <w:rFonts w:ascii="宋体" w:hAnsi="宋体"/>
          <w:sz w:val="24"/>
          <w:szCs w:val="22"/>
        </w:rPr>
      </w:pPr>
      <w:r>
        <w:rPr>
          <w:rFonts w:hint="eastAsia" w:ascii="宋体" w:hAnsi="宋体"/>
          <w:sz w:val="24"/>
          <w:szCs w:val="22"/>
        </w:rPr>
        <w:t>（6）乙方在工地设置的“五小”设施（办公室、宿舍、厕所、浴室、食堂）应齐全，做好防暑降温、防台防汛、消灭“四害”、卫生防疫工作，杜绝中毒事件，现场办公生活区满足卫生防疫的相关规定。</w:t>
      </w:r>
    </w:p>
    <w:p w14:paraId="122F9BED">
      <w:pPr>
        <w:spacing w:line="360" w:lineRule="auto"/>
        <w:ind w:firstLine="480" w:firstLineChars="200"/>
        <w:rPr>
          <w:rFonts w:ascii="宋体" w:hAnsi="宋体"/>
          <w:sz w:val="24"/>
          <w:szCs w:val="22"/>
        </w:rPr>
      </w:pPr>
      <w:r>
        <w:rPr>
          <w:rFonts w:hint="eastAsia" w:ascii="宋体" w:hAnsi="宋体"/>
          <w:sz w:val="24"/>
          <w:szCs w:val="22"/>
        </w:rPr>
        <w:t>（7）乙方施工现场应对主要道路洒水降尘。</w:t>
      </w:r>
    </w:p>
    <w:p w14:paraId="297ACE7F">
      <w:pPr>
        <w:spacing w:line="360" w:lineRule="auto"/>
        <w:ind w:firstLine="480" w:firstLineChars="200"/>
        <w:rPr>
          <w:rFonts w:ascii="宋体" w:hAnsi="宋体"/>
          <w:sz w:val="24"/>
          <w:szCs w:val="22"/>
        </w:rPr>
      </w:pPr>
      <w:r>
        <w:rPr>
          <w:rFonts w:hint="eastAsia" w:ascii="宋体" w:hAnsi="宋体"/>
          <w:sz w:val="24"/>
          <w:szCs w:val="22"/>
        </w:rPr>
        <w:t>（8）乙方应根据《深圳市建设工程扬尘污染防治专项方案》的要求，做到施工围挡及外架100%全封闭，出入口及车行道100%硬底化，出入口100%安装冲洗设施，易起尘作业面100%湿法施工，裸露土及易起尘物料100%覆盖，出入口100%安装TSP在线监测和视频监控系统。</w:t>
      </w:r>
    </w:p>
    <w:p w14:paraId="6C6B4F9C">
      <w:pPr>
        <w:spacing w:line="360" w:lineRule="auto"/>
        <w:ind w:firstLine="480" w:firstLineChars="200"/>
        <w:rPr>
          <w:rFonts w:ascii="宋体" w:hAnsi="宋体"/>
          <w:sz w:val="24"/>
          <w:szCs w:val="22"/>
        </w:rPr>
      </w:pPr>
      <w:r>
        <w:rPr>
          <w:rFonts w:hint="eastAsia" w:ascii="宋体" w:hAnsi="宋体"/>
          <w:sz w:val="24"/>
          <w:szCs w:val="22"/>
        </w:rPr>
        <w:t>（9）乙方生活区应明确责任人。食堂应办理卫生许可证，炊事人员应办理健康证，食物留样。宿舍应干净整洁，严禁存放易燃易爆物品。</w:t>
      </w:r>
    </w:p>
    <w:p w14:paraId="5BAFFEBC">
      <w:pPr>
        <w:spacing w:line="360" w:lineRule="auto"/>
        <w:ind w:firstLine="480" w:firstLineChars="200"/>
        <w:rPr>
          <w:rFonts w:ascii="宋体" w:hAnsi="宋体"/>
          <w:sz w:val="24"/>
          <w:szCs w:val="22"/>
        </w:rPr>
      </w:pPr>
      <w:r>
        <w:rPr>
          <w:rFonts w:hint="eastAsia" w:ascii="宋体" w:hAnsi="宋体"/>
          <w:sz w:val="24"/>
          <w:szCs w:val="22"/>
        </w:rPr>
        <w:t>（10）乙方办公、生活区应绿化，并与施工区隔离，在塔吊回转半径内或外脚手架坠落半径内应搭设双层防护棚。</w:t>
      </w:r>
    </w:p>
    <w:p w14:paraId="4718E379">
      <w:pPr>
        <w:spacing w:line="360" w:lineRule="auto"/>
        <w:ind w:firstLine="480" w:firstLineChars="200"/>
        <w:rPr>
          <w:rFonts w:ascii="宋体" w:hAnsi="宋体"/>
          <w:sz w:val="24"/>
          <w:szCs w:val="22"/>
        </w:rPr>
      </w:pPr>
      <w:r>
        <w:rPr>
          <w:rFonts w:hint="eastAsia" w:ascii="宋体" w:hAnsi="宋体"/>
          <w:sz w:val="24"/>
          <w:szCs w:val="22"/>
        </w:rPr>
        <w:t>（11）乙方应定期对施工现场文明施工情况进行检查，及时对检查发现问题和隐患进行整改。</w:t>
      </w:r>
    </w:p>
    <w:p w14:paraId="53853693">
      <w:pPr>
        <w:widowControl/>
        <w:spacing w:line="500" w:lineRule="exact"/>
        <w:ind w:firstLine="480" w:firstLineChars="200"/>
        <w:jc w:val="left"/>
        <w:rPr>
          <w:rFonts w:ascii="宋体" w:hAnsi="宋体" w:cs="宋体"/>
          <w:kern w:val="0"/>
          <w:sz w:val="24"/>
          <w:szCs w:val="24"/>
        </w:rPr>
      </w:pPr>
      <w:r>
        <w:rPr>
          <w:rFonts w:hint="eastAsia" w:ascii="宋体" w:hAnsi="宋体" w:cs="宋体"/>
          <w:kern w:val="0"/>
          <w:sz w:val="24"/>
          <w:szCs w:val="24"/>
        </w:rPr>
        <w:t>（三）事故处理</w:t>
      </w:r>
    </w:p>
    <w:p w14:paraId="3EB803ED">
      <w:pPr>
        <w:widowControl/>
        <w:spacing w:line="500" w:lineRule="exact"/>
        <w:ind w:firstLine="480" w:firstLineChars="200"/>
        <w:jc w:val="left"/>
        <w:rPr>
          <w:rFonts w:ascii="宋体" w:hAnsi="宋体" w:cs="宋体"/>
          <w:kern w:val="0"/>
          <w:sz w:val="24"/>
          <w:szCs w:val="24"/>
        </w:rPr>
      </w:pPr>
      <w:r>
        <w:rPr>
          <w:rFonts w:hint="eastAsia" w:ascii="宋体" w:hAnsi="宋体" w:cs="宋体"/>
          <w:kern w:val="0"/>
          <w:sz w:val="24"/>
          <w:szCs w:val="24"/>
        </w:rPr>
        <w:t>1．工程施工过程中发生事故事件的，乙方应立即通知甲方，执行甲方的事故事件报送要求。甲乙双方应立即组织人员和设备进行紧急抢救和抢修，减少人员伤亡和财产损失，防止事故扩大，并保护事故现场。需要移动现场物品时，应做出标记和书面或视频影像记录，妥善保管有关证据。</w:t>
      </w:r>
    </w:p>
    <w:p w14:paraId="10771EB5">
      <w:pPr>
        <w:widowControl/>
        <w:spacing w:line="500" w:lineRule="exact"/>
        <w:ind w:firstLine="480" w:firstLineChars="200"/>
        <w:jc w:val="left"/>
        <w:rPr>
          <w:rFonts w:ascii="宋体" w:hAnsi="宋体" w:cs="宋体"/>
          <w:kern w:val="0"/>
          <w:sz w:val="24"/>
          <w:szCs w:val="24"/>
        </w:rPr>
      </w:pPr>
      <w:r>
        <w:rPr>
          <w:rFonts w:hint="eastAsia" w:ascii="宋体" w:hAnsi="宋体" w:cs="宋体"/>
          <w:kern w:val="0"/>
          <w:sz w:val="24"/>
          <w:szCs w:val="24"/>
        </w:rPr>
        <w:t>2．甲乙双方应按国家有关规定，及时如实地向有关部门报告事故发生的情况，以及正在采取的紧急措施等，按规定组织调查处理并统计上报，并协助政府部门事故调查组进行事故调查。</w:t>
      </w:r>
    </w:p>
    <w:p w14:paraId="3A2F82FD">
      <w:pPr>
        <w:widowControl/>
        <w:spacing w:line="500" w:lineRule="exact"/>
        <w:ind w:firstLine="480" w:firstLineChars="200"/>
        <w:jc w:val="left"/>
        <w:rPr>
          <w:rFonts w:ascii="宋体" w:hAnsi="宋体" w:cs="宋体"/>
          <w:kern w:val="0"/>
          <w:sz w:val="24"/>
          <w:szCs w:val="24"/>
        </w:rPr>
      </w:pPr>
      <w:r>
        <w:rPr>
          <w:rFonts w:hint="eastAsia" w:ascii="宋体" w:hAnsi="宋体" w:cs="宋体"/>
          <w:kern w:val="0"/>
          <w:sz w:val="24"/>
          <w:szCs w:val="24"/>
        </w:rPr>
        <w:t>3．涉及甲乙双方的事故，按照事故处理权限由甲乙双方共同组成调查组，查明事故原因，确定主要责任者、提出事故处理意见和防范措施的建议，编制事故调查报告并提交甲乙双方备案。</w:t>
      </w:r>
    </w:p>
    <w:p w14:paraId="16A743D7">
      <w:pPr>
        <w:widowControl/>
        <w:spacing w:line="500" w:lineRule="exact"/>
        <w:ind w:firstLine="480" w:firstLineChars="200"/>
        <w:jc w:val="left"/>
        <w:rPr>
          <w:rFonts w:ascii="宋体" w:hAnsi="宋体" w:cs="宋体"/>
          <w:kern w:val="0"/>
          <w:sz w:val="24"/>
          <w:szCs w:val="24"/>
        </w:rPr>
      </w:pPr>
      <w:r>
        <w:rPr>
          <w:rFonts w:hint="eastAsia" w:ascii="宋体" w:hAnsi="宋体" w:cs="宋体"/>
          <w:kern w:val="0"/>
          <w:sz w:val="24"/>
          <w:szCs w:val="24"/>
        </w:rPr>
        <w:t>三、因乙方的过错，造成甲方或他人财产或人身损害或甲方被处罚，乙方应负赔偿责任。</w:t>
      </w:r>
    </w:p>
    <w:p w14:paraId="557C6DEB">
      <w:pPr>
        <w:widowControl/>
        <w:spacing w:line="500" w:lineRule="exact"/>
        <w:ind w:firstLine="480" w:firstLineChars="200"/>
        <w:jc w:val="left"/>
        <w:rPr>
          <w:rFonts w:ascii="宋体" w:hAnsi="宋体" w:cs="宋体"/>
          <w:kern w:val="0"/>
          <w:sz w:val="24"/>
          <w:szCs w:val="24"/>
        </w:rPr>
      </w:pPr>
      <w:r>
        <w:rPr>
          <w:rFonts w:hint="eastAsia" w:ascii="宋体" w:hAnsi="宋体" w:cs="宋体"/>
          <w:kern w:val="0"/>
          <w:sz w:val="24"/>
          <w:szCs w:val="24"/>
        </w:rPr>
        <w:t>四、奖励与处罚：按照拆迁施工合同及发包方相关管理制度执行。</w:t>
      </w:r>
    </w:p>
    <w:p w14:paraId="56C5E205">
      <w:pPr>
        <w:widowControl/>
        <w:spacing w:line="500" w:lineRule="exact"/>
        <w:ind w:firstLine="480" w:firstLineChars="200"/>
        <w:jc w:val="left"/>
        <w:rPr>
          <w:rFonts w:ascii="宋体" w:hAnsi="宋体" w:cs="宋体"/>
          <w:kern w:val="0"/>
          <w:sz w:val="24"/>
          <w:szCs w:val="24"/>
        </w:rPr>
      </w:pPr>
      <w:r>
        <w:rPr>
          <w:rFonts w:hint="eastAsia" w:ascii="宋体" w:hAnsi="宋体" w:cs="宋体"/>
          <w:kern w:val="0"/>
          <w:sz w:val="24"/>
          <w:szCs w:val="24"/>
        </w:rPr>
        <w:t>五、本协议为主合同的从合同，随主合同生效而生效，主合同解除之日起，本协议自然失效，但因乙方违背协议，造成主合同终止，不影响本协议责任条款的效力。</w:t>
      </w:r>
    </w:p>
    <w:p w14:paraId="38759B5E">
      <w:pPr>
        <w:widowControl/>
        <w:spacing w:line="500" w:lineRule="exact"/>
        <w:ind w:firstLine="480" w:firstLineChars="200"/>
        <w:jc w:val="left"/>
        <w:rPr>
          <w:rFonts w:ascii="宋体" w:hAnsi="宋体" w:cs="宋体"/>
          <w:kern w:val="0"/>
          <w:sz w:val="24"/>
          <w:szCs w:val="24"/>
        </w:rPr>
      </w:pPr>
      <w:r>
        <w:rPr>
          <w:rFonts w:hint="eastAsia" w:ascii="宋体" w:hAnsi="宋体" w:cs="宋体"/>
          <w:kern w:val="0"/>
          <w:sz w:val="24"/>
          <w:szCs w:val="24"/>
        </w:rPr>
        <w:t>六、本协议一式拾陆份，甲、乙双方各持捌份。</w:t>
      </w:r>
    </w:p>
    <w:p w14:paraId="0D2CFC81">
      <w:pPr>
        <w:widowControl/>
        <w:spacing w:line="500" w:lineRule="exact"/>
        <w:jc w:val="left"/>
        <w:rPr>
          <w:rFonts w:ascii="宋体" w:hAnsi="宋体" w:cs="宋体"/>
          <w:kern w:val="0"/>
          <w:szCs w:val="21"/>
        </w:rPr>
      </w:pPr>
    </w:p>
    <w:tbl>
      <w:tblPr>
        <w:tblStyle w:val="13"/>
        <w:tblW w:w="0" w:type="auto"/>
        <w:tblInd w:w="-16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57"/>
        <w:gridCol w:w="4253"/>
      </w:tblGrid>
      <w:tr w14:paraId="16C3D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57" w:type="dxa"/>
          </w:tcPr>
          <w:p w14:paraId="0C7AC15F">
            <w:pPr>
              <w:spacing w:line="500" w:lineRule="exact"/>
              <w:rPr>
                <w:rFonts w:ascii="宋体" w:hAnsi="宋体" w:cs="宋体"/>
                <w:kern w:val="0"/>
                <w:sz w:val="24"/>
                <w:szCs w:val="24"/>
              </w:rPr>
            </w:pPr>
          </w:p>
          <w:p w14:paraId="09996DD6">
            <w:pPr>
              <w:spacing w:line="500" w:lineRule="exact"/>
              <w:ind w:left="1380" w:leftChars="200" w:hanging="960" w:hangingChars="400"/>
              <w:rPr>
                <w:rFonts w:ascii="宋体" w:hAnsi="宋体" w:cs="宋体"/>
                <w:kern w:val="0"/>
                <w:sz w:val="24"/>
                <w:szCs w:val="24"/>
              </w:rPr>
            </w:pPr>
            <w:r>
              <w:rPr>
                <w:rFonts w:hint="eastAsia" w:ascii="宋体" w:hAnsi="宋体" w:cs="宋体"/>
                <w:kern w:val="0"/>
                <w:sz w:val="24"/>
                <w:szCs w:val="24"/>
              </w:rPr>
              <w:t>发包人：深圳市新龙观投资发展有限公司</w:t>
            </w:r>
          </w:p>
        </w:tc>
        <w:tc>
          <w:tcPr>
            <w:tcW w:w="4253" w:type="dxa"/>
          </w:tcPr>
          <w:p w14:paraId="0B0BC400">
            <w:pPr>
              <w:widowControl/>
              <w:spacing w:line="500" w:lineRule="exact"/>
              <w:jc w:val="left"/>
              <w:rPr>
                <w:rFonts w:ascii="宋体" w:hAnsi="宋体" w:cs="宋体"/>
                <w:kern w:val="0"/>
                <w:sz w:val="24"/>
                <w:szCs w:val="24"/>
              </w:rPr>
            </w:pPr>
          </w:p>
          <w:p w14:paraId="673070CE">
            <w:pPr>
              <w:widowControl/>
              <w:spacing w:line="500" w:lineRule="exact"/>
              <w:jc w:val="left"/>
              <w:rPr>
                <w:rFonts w:ascii="宋体" w:hAnsi="宋体" w:cs="宋体"/>
                <w:kern w:val="0"/>
                <w:sz w:val="24"/>
                <w:szCs w:val="24"/>
              </w:rPr>
            </w:pPr>
            <w:r>
              <w:rPr>
                <w:rFonts w:hint="eastAsia" w:ascii="宋体" w:hAnsi="宋体" w:cs="宋体"/>
                <w:kern w:val="0"/>
                <w:sz w:val="24"/>
                <w:szCs w:val="24"/>
                <w:lang w:val="en-US" w:eastAsia="zh-CN"/>
              </w:rPr>
              <w:t>勘察</w:t>
            </w:r>
            <w:r>
              <w:rPr>
                <w:rFonts w:hint="eastAsia" w:ascii="宋体" w:hAnsi="宋体" w:cs="宋体"/>
                <w:kern w:val="0"/>
                <w:sz w:val="24"/>
                <w:szCs w:val="24"/>
              </w:rPr>
              <w:t>人：</w:t>
            </w:r>
            <w:r>
              <w:rPr>
                <w:rFonts w:hint="eastAsia" w:ascii="宋体" w:hAnsi="宋体" w:cs="宋体"/>
                <w:kern w:val="0"/>
                <w:sz w:val="24"/>
                <w:szCs w:val="24"/>
                <w:lang w:eastAsia="zh-CN"/>
              </w:rPr>
              <w:t>xxxx</w:t>
            </w:r>
          </w:p>
        </w:tc>
      </w:tr>
      <w:tr w14:paraId="21D79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57" w:type="dxa"/>
          </w:tcPr>
          <w:p w14:paraId="146788ED">
            <w:pPr>
              <w:spacing w:line="500" w:lineRule="exact"/>
              <w:ind w:firstLine="480" w:firstLineChars="200"/>
              <w:rPr>
                <w:rFonts w:ascii="宋体" w:hAnsi="宋体" w:cs="宋体"/>
                <w:kern w:val="0"/>
                <w:sz w:val="24"/>
                <w:szCs w:val="24"/>
              </w:rPr>
            </w:pPr>
            <w:r>
              <w:rPr>
                <w:rFonts w:hint="eastAsia" w:ascii="宋体" w:hAnsi="宋体" w:cs="宋体"/>
                <w:kern w:val="0"/>
                <w:sz w:val="24"/>
                <w:szCs w:val="24"/>
              </w:rPr>
              <w:t>法人代表：</w:t>
            </w:r>
          </w:p>
        </w:tc>
        <w:tc>
          <w:tcPr>
            <w:tcW w:w="4253" w:type="dxa"/>
          </w:tcPr>
          <w:p w14:paraId="20DE6875">
            <w:pPr>
              <w:spacing w:line="500" w:lineRule="exact"/>
              <w:rPr>
                <w:rFonts w:ascii="宋体" w:hAnsi="宋体" w:cs="宋体"/>
                <w:kern w:val="0"/>
                <w:sz w:val="24"/>
                <w:szCs w:val="24"/>
              </w:rPr>
            </w:pPr>
            <w:r>
              <w:rPr>
                <w:rFonts w:hint="eastAsia" w:ascii="宋体" w:hAnsi="宋体" w:cs="宋体"/>
                <w:kern w:val="0"/>
                <w:sz w:val="24"/>
                <w:szCs w:val="24"/>
              </w:rPr>
              <w:t>法人代表：</w:t>
            </w:r>
          </w:p>
        </w:tc>
      </w:tr>
      <w:tr w14:paraId="71E6F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57" w:type="dxa"/>
          </w:tcPr>
          <w:p w14:paraId="7B2B646B">
            <w:pPr>
              <w:spacing w:line="500" w:lineRule="exact"/>
              <w:ind w:firstLine="480" w:firstLineChars="200"/>
              <w:rPr>
                <w:rFonts w:ascii="宋体" w:hAnsi="宋体" w:cs="宋体"/>
                <w:kern w:val="0"/>
                <w:sz w:val="24"/>
                <w:szCs w:val="24"/>
              </w:rPr>
            </w:pPr>
            <w:r>
              <w:rPr>
                <w:rFonts w:hint="eastAsia" w:ascii="宋体" w:hAnsi="宋体" w:cs="宋体"/>
                <w:kern w:val="0"/>
                <w:sz w:val="24"/>
                <w:szCs w:val="24"/>
              </w:rPr>
              <w:t>日期：</w:t>
            </w:r>
            <w:r>
              <w:rPr>
                <w:rFonts w:hint="eastAsia" w:ascii="宋体" w:hAnsi="宋体" w:cs="宋体"/>
                <w:kern w:val="0"/>
                <w:sz w:val="24"/>
                <w:szCs w:val="24"/>
                <w:lang w:val="en-US" w:eastAsia="zh-CN"/>
              </w:rPr>
              <w:t>2025</w:t>
            </w:r>
            <w:r>
              <w:rPr>
                <w:rFonts w:hint="eastAsia" w:ascii="宋体" w:hAnsi="宋体" w:cs="宋体"/>
                <w:kern w:val="0"/>
                <w:sz w:val="24"/>
                <w:szCs w:val="24"/>
              </w:rPr>
              <w:t>年</w:t>
            </w:r>
            <w:r>
              <w:rPr>
                <w:rFonts w:hint="eastAsia" w:ascii="宋体" w:hAnsi="宋体" w:cs="宋体"/>
                <w:kern w:val="0"/>
                <w:sz w:val="24"/>
                <w:szCs w:val="24"/>
                <w:lang w:val="en-US" w:eastAsia="zh-CN"/>
              </w:rPr>
              <w:t xml:space="preserve">   月   日</w:t>
            </w:r>
          </w:p>
        </w:tc>
        <w:tc>
          <w:tcPr>
            <w:tcW w:w="4253" w:type="dxa"/>
          </w:tcPr>
          <w:p w14:paraId="2241F2AB">
            <w:pPr>
              <w:spacing w:line="500" w:lineRule="exact"/>
              <w:rPr>
                <w:rFonts w:ascii="宋体" w:hAnsi="宋体" w:cs="宋体"/>
                <w:kern w:val="0"/>
                <w:sz w:val="24"/>
                <w:szCs w:val="24"/>
              </w:rPr>
            </w:pPr>
            <w:r>
              <w:rPr>
                <w:rFonts w:hint="eastAsia" w:ascii="宋体" w:hAnsi="宋体" w:cs="宋体"/>
                <w:kern w:val="0"/>
                <w:sz w:val="24"/>
                <w:szCs w:val="24"/>
              </w:rPr>
              <w:t>日期：</w:t>
            </w:r>
            <w:r>
              <w:rPr>
                <w:rFonts w:hint="eastAsia" w:ascii="宋体" w:hAnsi="宋体" w:cs="宋体"/>
                <w:kern w:val="0"/>
                <w:sz w:val="24"/>
                <w:szCs w:val="24"/>
                <w:lang w:val="en-US" w:eastAsia="zh-CN"/>
              </w:rPr>
              <w:t>2025</w:t>
            </w:r>
            <w:r>
              <w:rPr>
                <w:rFonts w:hint="eastAsia" w:ascii="宋体" w:hAnsi="宋体" w:cs="宋体"/>
                <w:kern w:val="0"/>
                <w:sz w:val="24"/>
                <w:szCs w:val="24"/>
              </w:rPr>
              <w:t>年</w:t>
            </w:r>
            <w:r>
              <w:rPr>
                <w:rFonts w:hint="eastAsia" w:ascii="宋体" w:hAnsi="宋体" w:cs="宋体"/>
                <w:kern w:val="0"/>
                <w:sz w:val="24"/>
                <w:szCs w:val="24"/>
                <w:lang w:val="en-US" w:eastAsia="zh-CN"/>
              </w:rPr>
              <w:t xml:space="preserve">   月   日</w:t>
            </w:r>
          </w:p>
        </w:tc>
      </w:tr>
    </w:tbl>
    <w:p w14:paraId="5E63C199">
      <w:pPr>
        <w:widowControl/>
        <w:adjustRightInd w:val="0"/>
        <w:snapToGrid w:val="0"/>
        <w:spacing w:line="500" w:lineRule="exact"/>
        <w:ind w:firstLine="480" w:firstLineChars="200"/>
        <w:jc w:val="left"/>
        <w:rPr>
          <w:rFonts w:ascii="宋体" w:hAnsi="宋体" w:cs="宋体"/>
          <w:kern w:val="0"/>
          <w:szCs w:val="21"/>
        </w:rPr>
      </w:pPr>
      <w:r>
        <w:rPr>
          <w:rFonts w:ascii="宋体" w:hAnsi="宋体" w:cs="宋体"/>
          <w:kern w:val="0"/>
          <w:sz w:val="24"/>
          <w:szCs w:val="24"/>
        </w:rPr>
        <w:br w:type="page"/>
      </w:r>
    </w:p>
    <w:p w14:paraId="34CF1402">
      <w:pPr>
        <w:widowControl/>
        <w:numPr>
          <w:ilvl w:val="255"/>
          <w:numId w:val="0"/>
        </w:numPr>
        <w:adjustRightInd w:val="0"/>
        <w:snapToGrid w:val="0"/>
        <w:spacing w:line="500" w:lineRule="exact"/>
        <w:ind w:left="0" w:firstLine="0"/>
        <w:jc w:val="left"/>
        <w:outlineLvl w:val="2"/>
        <w:rPr>
          <w:rFonts w:ascii="宋体" w:hAnsi="宋体"/>
          <w:b/>
          <w:szCs w:val="21"/>
        </w:rPr>
      </w:pPr>
      <w:r>
        <w:rPr>
          <w:rFonts w:hint="eastAsia" w:ascii="宋体" w:hAnsi="宋体"/>
          <w:b/>
          <w:szCs w:val="21"/>
        </w:rPr>
        <w:t>附件5：安全生产管理承诺书</w:t>
      </w:r>
    </w:p>
    <w:p w14:paraId="1AB49937">
      <w:pPr>
        <w:spacing w:line="500" w:lineRule="exact"/>
        <w:jc w:val="center"/>
        <w:rPr>
          <w:rFonts w:ascii="宋体" w:hAnsi="宋体"/>
          <w:b/>
          <w:sz w:val="24"/>
          <w:szCs w:val="24"/>
        </w:rPr>
      </w:pPr>
      <w:r>
        <w:rPr>
          <w:rFonts w:hint="eastAsia" w:ascii="宋体" w:hAnsi="宋体"/>
          <w:b/>
          <w:sz w:val="24"/>
          <w:szCs w:val="24"/>
        </w:rPr>
        <w:t>安全生产管理承诺书</w:t>
      </w:r>
    </w:p>
    <w:p w14:paraId="7B2339DF">
      <w:pPr>
        <w:spacing w:line="500" w:lineRule="exact"/>
        <w:rPr>
          <w:rFonts w:ascii="宋体" w:hAnsi="宋体"/>
          <w:szCs w:val="21"/>
          <w:u w:val="single"/>
        </w:rPr>
      </w:pPr>
      <w:r>
        <w:rPr>
          <w:rFonts w:hint="eastAsia" w:ascii="宋体" w:hAnsi="宋体"/>
          <w:szCs w:val="21"/>
        </w:rPr>
        <w:t>致</w:t>
      </w:r>
      <w:r>
        <w:rPr>
          <w:rFonts w:hint="eastAsia" w:ascii="宋体" w:hAnsi="宋体"/>
          <w:szCs w:val="21"/>
          <w:u w:val="none"/>
        </w:rPr>
        <w:t>：</w:t>
      </w:r>
      <w:r>
        <w:rPr>
          <w:rFonts w:hint="eastAsia" w:ascii="宋体" w:hAnsi="宋体" w:eastAsia="宋体" w:cs="Times New Roman"/>
          <w:sz w:val="21"/>
          <w:szCs w:val="21"/>
          <w:u w:val="single"/>
          <w:lang w:eastAsia="zh-CN"/>
        </w:rPr>
        <w:t>深圳市新龙观投资发展有限公司</w:t>
      </w:r>
    </w:p>
    <w:p w14:paraId="51DD3F9F">
      <w:pPr>
        <w:spacing w:line="500" w:lineRule="exact"/>
        <w:ind w:firstLine="420" w:firstLineChars="200"/>
        <w:rPr>
          <w:rFonts w:ascii="宋体" w:hAnsi="宋体"/>
          <w:szCs w:val="21"/>
        </w:rPr>
      </w:pPr>
      <w:r>
        <w:rPr>
          <w:rFonts w:hint="eastAsia" w:ascii="宋体" w:hAnsi="宋体"/>
          <w:szCs w:val="21"/>
        </w:rPr>
        <w:t>我司承接贵司的</w:t>
      </w:r>
      <w:r>
        <w:rPr>
          <w:rFonts w:hint="eastAsia" w:ascii="宋体" w:hAnsi="宋体"/>
          <w:szCs w:val="21"/>
          <w:lang w:eastAsia="zh-CN"/>
        </w:rPr>
        <w:t>国际医疗器械城住4地块项目（勘察）</w:t>
      </w:r>
      <w:r>
        <w:rPr>
          <w:rFonts w:hint="eastAsia" w:ascii="宋体" w:hAnsi="宋体"/>
          <w:szCs w:val="21"/>
        </w:rPr>
        <w:t>项目区域范围内的工程勘察工作。我司承诺：我司将认真贯彻执行国家和广东省、深圳市有关安全文明生产的法律、法规和强制性标准、安全操作规程等，遵守贵司的现场管理制度，建立安全生产责任制，健全施工现场安全文明生产保障体系，落实各项具体措施，切实履行安全文明生产责任和义务，保护职工身体健康和生命安全，以及社会公众安全，保持施工现场整齐有序，做到文明施工。</w:t>
      </w:r>
    </w:p>
    <w:p w14:paraId="766B5035">
      <w:pPr>
        <w:spacing w:line="500" w:lineRule="exact"/>
        <w:ind w:firstLine="420" w:firstLineChars="200"/>
        <w:rPr>
          <w:rFonts w:ascii="宋体" w:hAnsi="宋体"/>
          <w:szCs w:val="21"/>
        </w:rPr>
      </w:pPr>
      <w:r>
        <w:rPr>
          <w:rFonts w:hint="eastAsia" w:ascii="宋体" w:hAnsi="宋体"/>
          <w:szCs w:val="21"/>
        </w:rPr>
        <w:t>因违反上述承诺而造成的一切人员伤亡和财产损失，均由我司承担，与贵司无关。</w:t>
      </w:r>
    </w:p>
    <w:p w14:paraId="51B32CE6">
      <w:pPr>
        <w:spacing w:line="500" w:lineRule="exact"/>
        <w:ind w:firstLine="420" w:firstLineChars="200"/>
        <w:rPr>
          <w:rFonts w:ascii="宋体" w:hAnsi="宋体"/>
          <w:szCs w:val="21"/>
        </w:rPr>
      </w:pPr>
      <w:r>
        <w:rPr>
          <w:rFonts w:hint="eastAsia" w:ascii="宋体" w:hAnsi="宋体"/>
          <w:szCs w:val="21"/>
        </w:rPr>
        <w:t>特此承诺。</w:t>
      </w:r>
    </w:p>
    <w:p w14:paraId="02500090">
      <w:pPr>
        <w:spacing w:line="560" w:lineRule="exact"/>
        <w:ind w:firstLine="420" w:firstLineChars="200"/>
        <w:rPr>
          <w:rFonts w:ascii="宋体" w:hAnsi="宋体"/>
          <w:szCs w:val="21"/>
        </w:rPr>
      </w:pPr>
    </w:p>
    <w:p w14:paraId="316E91CA">
      <w:pPr>
        <w:spacing w:line="560" w:lineRule="exact"/>
        <w:ind w:firstLine="420" w:firstLineChars="200"/>
        <w:rPr>
          <w:rFonts w:ascii="宋体" w:hAnsi="宋体"/>
          <w:szCs w:val="21"/>
        </w:rPr>
      </w:pPr>
    </w:p>
    <w:p w14:paraId="142082DE">
      <w:pPr>
        <w:spacing w:line="560" w:lineRule="exact"/>
        <w:ind w:firstLine="420" w:firstLineChars="200"/>
        <w:rPr>
          <w:rFonts w:ascii="宋体" w:hAnsi="宋体"/>
          <w:szCs w:val="21"/>
        </w:rPr>
      </w:pPr>
    </w:p>
    <w:p w14:paraId="3F73AA0E">
      <w:pPr>
        <w:spacing w:line="560" w:lineRule="exact"/>
        <w:ind w:firstLine="420" w:firstLineChars="200"/>
        <w:rPr>
          <w:rFonts w:ascii="宋体" w:hAnsi="宋体"/>
          <w:szCs w:val="21"/>
        </w:rPr>
      </w:pPr>
    </w:p>
    <w:p w14:paraId="495B7F41">
      <w:pPr>
        <w:spacing w:line="500" w:lineRule="exact"/>
        <w:ind w:firstLine="420" w:firstLineChars="200"/>
        <w:rPr>
          <w:rFonts w:ascii="宋体" w:hAnsi="宋体"/>
          <w:szCs w:val="21"/>
        </w:rPr>
      </w:pPr>
      <w:r>
        <w:rPr>
          <w:rFonts w:hint="eastAsia" w:ascii="宋体" w:hAnsi="宋体"/>
          <w:szCs w:val="21"/>
        </w:rPr>
        <w:t>承诺人</w:t>
      </w:r>
    </w:p>
    <w:p w14:paraId="05B962C3">
      <w:pPr>
        <w:spacing w:line="500" w:lineRule="exact"/>
        <w:ind w:firstLine="420" w:firstLineChars="200"/>
        <w:rPr>
          <w:rFonts w:hint="eastAsia" w:ascii="宋体" w:hAnsi="宋体" w:eastAsia="宋体"/>
          <w:szCs w:val="21"/>
          <w:lang w:eastAsia="zh-CN"/>
        </w:rPr>
      </w:pPr>
      <w:r>
        <w:rPr>
          <w:rFonts w:hint="eastAsia" w:ascii="宋体" w:hAnsi="宋体"/>
          <w:szCs w:val="21"/>
          <w:lang w:val="en-US" w:eastAsia="zh-CN"/>
        </w:rPr>
        <w:t>勘查人</w:t>
      </w:r>
      <w:r>
        <w:rPr>
          <w:rFonts w:hint="eastAsia" w:ascii="宋体" w:hAnsi="宋体"/>
          <w:szCs w:val="21"/>
        </w:rPr>
        <w:t>（盖章）：</w:t>
      </w:r>
      <w:r>
        <w:rPr>
          <w:rFonts w:hint="eastAsia" w:ascii="宋体" w:hAnsi="宋体"/>
          <w:szCs w:val="21"/>
          <w:lang w:eastAsia="zh-CN"/>
        </w:rPr>
        <w:t>xxxx</w:t>
      </w:r>
    </w:p>
    <w:p w14:paraId="20B0BA82">
      <w:pPr>
        <w:spacing w:line="500" w:lineRule="exact"/>
        <w:ind w:firstLine="420" w:firstLineChars="200"/>
        <w:rPr>
          <w:rFonts w:ascii="宋体" w:hAnsi="宋体"/>
          <w:szCs w:val="21"/>
        </w:rPr>
      </w:pPr>
      <w:r>
        <w:rPr>
          <w:rFonts w:hint="eastAsia" w:ascii="宋体" w:hAnsi="宋体"/>
          <w:szCs w:val="21"/>
        </w:rPr>
        <w:t>法人代表：</w:t>
      </w:r>
    </w:p>
    <w:p w14:paraId="6506F81A">
      <w:pPr>
        <w:spacing w:line="500" w:lineRule="exact"/>
        <w:ind w:firstLine="420" w:firstLineChars="200"/>
        <w:rPr>
          <w:rFonts w:ascii="宋体" w:hAnsi="宋体"/>
          <w:szCs w:val="21"/>
        </w:rPr>
      </w:pPr>
      <w:r>
        <w:rPr>
          <w:rFonts w:hint="eastAsia" w:ascii="宋体" w:hAnsi="宋体"/>
          <w:szCs w:val="21"/>
        </w:rPr>
        <w:t>或授权代理人（签字或盖章）：</w:t>
      </w:r>
    </w:p>
    <w:p w14:paraId="6817B761">
      <w:pPr>
        <w:spacing w:line="500" w:lineRule="exact"/>
        <w:ind w:firstLine="420" w:firstLineChars="200"/>
        <w:rPr>
          <w:rFonts w:ascii="宋体" w:hAnsi="宋体"/>
          <w:szCs w:val="21"/>
        </w:rPr>
      </w:pPr>
      <w:r>
        <w:rPr>
          <w:rFonts w:hint="eastAsia" w:ascii="宋体" w:hAnsi="宋体"/>
          <w:szCs w:val="21"/>
        </w:rPr>
        <w:t>联系电话：</w:t>
      </w:r>
    </w:p>
    <w:p w14:paraId="5D7DCBF2">
      <w:pPr>
        <w:spacing w:line="500" w:lineRule="exact"/>
        <w:ind w:firstLine="420" w:firstLineChars="200"/>
        <w:rPr>
          <w:rFonts w:ascii="宋体" w:hAnsi="宋体"/>
          <w:szCs w:val="21"/>
        </w:rPr>
      </w:pPr>
      <w:r>
        <w:rPr>
          <w:rFonts w:hint="eastAsia" w:ascii="宋体" w:hAnsi="宋体"/>
          <w:szCs w:val="21"/>
        </w:rPr>
        <w:t>日期：</w:t>
      </w:r>
      <w:r>
        <w:rPr>
          <w:rFonts w:hint="eastAsia" w:ascii="宋体" w:hAnsi="宋体"/>
          <w:szCs w:val="21"/>
          <w:lang w:val="en-US" w:eastAsia="zh-CN"/>
        </w:rPr>
        <w:t>2025</w:t>
      </w:r>
      <w:r>
        <w:rPr>
          <w:rFonts w:hint="eastAsia" w:ascii="宋体" w:hAnsi="宋体"/>
          <w:szCs w:val="21"/>
        </w:rPr>
        <w:t>年</w:t>
      </w:r>
      <w:r>
        <w:rPr>
          <w:rFonts w:hint="eastAsia" w:ascii="宋体" w:hAnsi="宋体"/>
          <w:szCs w:val="21"/>
          <w:lang w:val="en-US" w:eastAsia="zh-CN"/>
        </w:rPr>
        <w:t xml:space="preserve">   月   日</w:t>
      </w:r>
    </w:p>
    <w:p w14:paraId="1451713A">
      <w:pPr>
        <w:widowControl/>
        <w:spacing w:after="200" w:line="276" w:lineRule="auto"/>
        <w:jc w:val="left"/>
        <w:rPr>
          <w:rFonts w:ascii="宋体" w:hAnsi="宋体"/>
          <w:b/>
          <w:szCs w:val="21"/>
        </w:rPr>
      </w:pPr>
      <w:r>
        <w:rPr>
          <w:rFonts w:ascii="宋体" w:hAnsi="宋体"/>
          <w:b/>
          <w:szCs w:val="21"/>
        </w:rPr>
        <w:br w:type="page"/>
      </w:r>
    </w:p>
    <w:p w14:paraId="6B350489">
      <w:pPr>
        <w:adjustRightInd w:val="0"/>
        <w:snapToGrid w:val="0"/>
        <w:spacing w:after="200" w:line="360" w:lineRule="auto"/>
        <w:jc w:val="left"/>
        <w:textAlignment w:val="baseline"/>
        <w:outlineLvl w:val="2"/>
        <w:rPr>
          <w:rFonts w:ascii="宋体" w:hAnsi="宋体"/>
          <w:b/>
          <w:szCs w:val="21"/>
        </w:rPr>
      </w:pPr>
      <w:r>
        <w:rPr>
          <w:rFonts w:hint="eastAsia" w:ascii="宋体" w:hAnsi="宋体"/>
          <w:b/>
          <w:szCs w:val="21"/>
        </w:rPr>
        <w:t>附件6：项目开发建设廉洁协议书</w:t>
      </w:r>
    </w:p>
    <w:p w14:paraId="54AD9037">
      <w:pPr>
        <w:spacing w:line="500" w:lineRule="exact"/>
        <w:ind w:firstLine="482" w:firstLineChars="200"/>
        <w:jc w:val="center"/>
        <w:rPr>
          <w:rFonts w:ascii="宋体" w:hAnsi="宋体"/>
          <w:b/>
          <w:sz w:val="24"/>
          <w:szCs w:val="24"/>
        </w:rPr>
      </w:pPr>
      <w:r>
        <w:rPr>
          <w:rFonts w:hint="eastAsia" w:ascii="宋体" w:hAnsi="宋体"/>
          <w:b/>
          <w:sz w:val="24"/>
          <w:szCs w:val="24"/>
        </w:rPr>
        <w:t>项目开发建设廉洁协议书</w:t>
      </w:r>
    </w:p>
    <w:p w14:paraId="5D50FB17">
      <w:pPr>
        <w:snapToGrid w:val="0"/>
        <w:spacing w:line="500" w:lineRule="exact"/>
        <w:ind w:firstLine="420" w:firstLineChars="200"/>
        <w:rPr>
          <w:rFonts w:ascii="宋体" w:hAnsi="宋体"/>
          <w:szCs w:val="21"/>
          <w:u w:val="single"/>
        </w:rPr>
      </w:pPr>
      <w:r>
        <w:rPr>
          <w:rFonts w:hint="eastAsia" w:ascii="宋体" w:hAnsi="宋体"/>
          <w:szCs w:val="21"/>
        </w:rPr>
        <w:t>发包人</w:t>
      </w:r>
      <w:r>
        <w:rPr>
          <w:rFonts w:ascii="宋体" w:hAnsi="宋体"/>
          <w:szCs w:val="21"/>
        </w:rPr>
        <w:t>(</w:t>
      </w:r>
      <w:r>
        <w:rPr>
          <w:rFonts w:hint="eastAsia" w:ascii="宋体" w:hAnsi="宋体"/>
          <w:szCs w:val="21"/>
        </w:rPr>
        <w:t>甲方</w:t>
      </w:r>
      <w:r>
        <w:rPr>
          <w:rFonts w:ascii="宋体" w:hAnsi="宋体"/>
          <w:szCs w:val="21"/>
        </w:rPr>
        <w:t>)：</w:t>
      </w:r>
      <w:r>
        <w:rPr>
          <w:rFonts w:hint="eastAsia" w:ascii="宋体" w:hAnsi="宋体"/>
          <w:szCs w:val="21"/>
        </w:rPr>
        <w:t>深圳市新龙观投资发展有限公司</w:t>
      </w:r>
    </w:p>
    <w:p w14:paraId="07DB3596">
      <w:pPr>
        <w:snapToGrid w:val="0"/>
        <w:spacing w:line="500" w:lineRule="exact"/>
        <w:ind w:firstLine="420" w:firstLineChars="200"/>
        <w:rPr>
          <w:rFonts w:hint="eastAsia" w:ascii="宋体" w:hAnsi="宋体" w:eastAsia="宋体"/>
          <w:szCs w:val="21"/>
          <w:lang w:eastAsia="zh-CN"/>
        </w:rPr>
      </w:pPr>
      <w:r>
        <w:rPr>
          <w:rFonts w:hint="eastAsia" w:ascii="宋体" w:hAnsi="宋体"/>
          <w:szCs w:val="21"/>
          <w:lang w:val="en-US" w:eastAsia="zh-CN"/>
        </w:rPr>
        <w:t>勘察</w:t>
      </w:r>
      <w:r>
        <w:rPr>
          <w:rFonts w:hint="eastAsia" w:ascii="宋体" w:hAnsi="宋体"/>
          <w:szCs w:val="21"/>
        </w:rPr>
        <w:t>人</w:t>
      </w:r>
      <w:r>
        <w:rPr>
          <w:rFonts w:ascii="宋体" w:hAnsi="宋体"/>
          <w:szCs w:val="21"/>
        </w:rPr>
        <w:t>(</w:t>
      </w:r>
      <w:r>
        <w:rPr>
          <w:rFonts w:hint="eastAsia" w:ascii="宋体" w:hAnsi="宋体"/>
          <w:szCs w:val="21"/>
        </w:rPr>
        <w:t>乙方</w:t>
      </w:r>
      <w:r>
        <w:rPr>
          <w:rFonts w:ascii="宋体" w:hAnsi="宋体"/>
          <w:szCs w:val="21"/>
        </w:rPr>
        <w:t>)：</w:t>
      </w:r>
      <w:r>
        <w:rPr>
          <w:rFonts w:hint="eastAsia" w:ascii="宋体" w:hAnsi="宋体"/>
          <w:szCs w:val="21"/>
          <w:lang w:eastAsia="zh-CN"/>
        </w:rPr>
        <w:t>xxxx</w:t>
      </w:r>
    </w:p>
    <w:p w14:paraId="27EE8AEE">
      <w:pPr>
        <w:spacing w:line="500" w:lineRule="exact"/>
        <w:ind w:firstLine="420" w:firstLineChars="200"/>
        <w:rPr>
          <w:rFonts w:ascii="宋体" w:hAnsi="宋体"/>
          <w:szCs w:val="21"/>
        </w:rPr>
      </w:pPr>
      <w:r>
        <w:rPr>
          <w:rFonts w:hint="eastAsia" w:ascii="宋体" w:hAnsi="宋体"/>
          <w:szCs w:val="21"/>
        </w:rPr>
        <w:t>为加强廉洁建设，规范双方的活动，防止发生各种谋取不正当利益的违法违纪行为，保护双方的合法权益，保证国有资产的安全和有效使用，根据国家有关规定和廉洁从业的各项要求，双方签订本廉洁协议。</w:t>
      </w:r>
    </w:p>
    <w:p w14:paraId="2F3EC55F">
      <w:pPr>
        <w:spacing w:line="500" w:lineRule="exact"/>
        <w:ind w:firstLine="420" w:firstLineChars="200"/>
        <w:rPr>
          <w:rFonts w:ascii="宋体" w:hAnsi="宋体"/>
          <w:szCs w:val="21"/>
        </w:rPr>
      </w:pPr>
      <w:r>
        <w:rPr>
          <w:rFonts w:hint="eastAsia" w:ascii="宋体" w:hAnsi="宋体"/>
          <w:szCs w:val="21"/>
        </w:rPr>
        <w:t>第一条双方的权利和责任</w:t>
      </w:r>
    </w:p>
    <w:p w14:paraId="6E6DFCD0">
      <w:pPr>
        <w:spacing w:line="500" w:lineRule="exact"/>
        <w:ind w:firstLine="420" w:firstLineChars="200"/>
        <w:rPr>
          <w:rFonts w:ascii="宋体" w:hAnsi="宋体"/>
          <w:szCs w:val="21"/>
        </w:rPr>
      </w:pPr>
      <w:r>
        <w:rPr>
          <w:rFonts w:hint="eastAsia" w:ascii="宋体" w:hAnsi="宋体"/>
          <w:szCs w:val="21"/>
        </w:rPr>
        <w:t>（一）严格遵守国家法律法规、廉洁从业规定以及相关行业规定。</w:t>
      </w:r>
    </w:p>
    <w:p w14:paraId="34520FEC">
      <w:pPr>
        <w:spacing w:line="500" w:lineRule="exact"/>
        <w:ind w:firstLine="420" w:firstLineChars="200"/>
        <w:rPr>
          <w:rFonts w:ascii="宋体" w:hAnsi="宋体"/>
          <w:szCs w:val="21"/>
        </w:rPr>
      </w:pPr>
      <w:r>
        <w:rPr>
          <w:rFonts w:hint="eastAsia" w:ascii="宋体" w:hAnsi="宋体"/>
          <w:szCs w:val="21"/>
        </w:rPr>
        <w:t>（二）严格执行一切合同文件及本协议条款，自觉履行权利和责任。</w:t>
      </w:r>
    </w:p>
    <w:p w14:paraId="45FDB11B">
      <w:pPr>
        <w:spacing w:line="500" w:lineRule="exact"/>
        <w:ind w:firstLine="420" w:firstLineChars="200"/>
        <w:rPr>
          <w:rFonts w:ascii="宋体" w:hAnsi="宋体"/>
          <w:szCs w:val="21"/>
        </w:rPr>
      </w:pPr>
      <w:r>
        <w:rPr>
          <w:rFonts w:hint="eastAsia" w:ascii="宋体" w:hAnsi="宋体"/>
          <w:szCs w:val="21"/>
        </w:rPr>
        <w:t>（三）双方的业务活动应坚持公平、公开、公正和诚信的原则（法律法规另有规定除外），不得损害国家、集体和对方利益，不得违反项目开发建设管理的有关规章制度。</w:t>
      </w:r>
    </w:p>
    <w:p w14:paraId="3B175E1F">
      <w:pPr>
        <w:spacing w:line="500" w:lineRule="exact"/>
        <w:ind w:firstLine="420" w:firstLineChars="200"/>
        <w:rPr>
          <w:rFonts w:ascii="宋体" w:hAnsi="宋体"/>
          <w:szCs w:val="21"/>
        </w:rPr>
      </w:pPr>
      <w:r>
        <w:rPr>
          <w:rFonts w:hint="eastAsia" w:ascii="宋体" w:hAnsi="宋体"/>
          <w:szCs w:val="21"/>
        </w:rPr>
        <w:t>（四）建立健全廉洁制度，开展廉洁教育，公布监督部门和电话，监督并认真查处违纪违法行为。</w:t>
      </w:r>
    </w:p>
    <w:p w14:paraId="7FF5BF03">
      <w:pPr>
        <w:spacing w:line="500" w:lineRule="exact"/>
        <w:ind w:firstLine="420" w:firstLineChars="200"/>
        <w:rPr>
          <w:rFonts w:ascii="宋体" w:hAnsi="宋体"/>
          <w:szCs w:val="21"/>
        </w:rPr>
      </w:pPr>
      <w:r>
        <w:rPr>
          <w:rFonts w:hint="eastAsia" w:ascii="宋体" w:hAnsi="宋体"/>
          <w:szCs w:val="21"/>
        </w:rPr>
        <w:t>（五）发现对方在业务活动中有违反本协议的行为倾向，有权利和义务及时给予提醒和纠正。</w:t>
      </w:r>
    </w:p>
    <w:p w14:paraId="444CF8FD">
      <w:pPr>
        <w:spacing w:line="500" w:lineRule="exact"/>
        <w:ind w:firstLine="420" w:firstLineChars="200"/>
        <w:rPr>
          <w:rFonts w:ascii="宋体" w:hAnsi="宋体"/>
          <w:szCs w:val="21"/>
        </w:rPr>
      </w:pPr>
      <w:r>
        <w:rPr>
          <w:rFonts w:hint="eastAsia" w:ascii="宋体" w:hAnsi="宋体"/>
          <w:szCs w:val="21"/>
        </w:rPr>
        <w:t>（六）发现对方有违反本协议的行为，应及时向指定的监督部门举报控告，也有权向纪检监察或司法机关举报控告。</w:t>
      </w:r>
    </w:p>
    <w:p w14:paraId="345A1611">
      <w:pPr>
        <w:spacing w:line="500" w:lineRule="exact"/>
        <w:ind w:firstLine="420" w:firstLineChars="200"/>
        <w:rPr>
          <w:rFonts w:ascii="宋体" w:hAnsi="宋体"/>
          <w:szCs w:val="21"/>
        </w:rPr>
      </w:pPr>
      <w:r>
        <w:rPr>
          <w:rFonts w:hint="eastAsia" w:ascii="宋体" w:hAnsi="宋体"/>
          <w:szCs w:val="21"/>
        </w:rPr>
        <w:t>（七）双方应互相配合，积极开展廉洁教育、学习和宣传活动，有配合对方履行本协议的责任。</w:t>
      </w:r>
    </w:p>
    <w:p w14:paraId="5267B4AB">
      <w:pPr>
        <w:spacing w:line="500" w:lineRule="exact"/>
        <w:ind w:firstLine="420" w:firstLineChars="200"/>
        <w:rPr>
          <w:rFonts w:ascii="宋体" w:hAnsi="宋体"/>
          <w:szCs w:val="21"/>
        </w:rPr>
      </w:pPr>
      <w:r>
        <w:rPr>
          <w:rFonts w:hint="eastAsia" w:ascii="宋体" w:hAnsi="宋体"/>
          <w:szCs w:val="21"/>
        </w:rPr>
        <w:t>（八）一方有不履行或不完全履行廉洁宣传教育责任的，另一方有权利和责任要求对方履行和督促改进。</w:t>
      </w:r>
    </w:p>
    <w:p w14:paraId="626E75ED">
      <w:pPr>
        <w:spacing w:line="500" w:lineRule="exact"/>
        <w:ind w:firstLine="420" w:firstLineChars="200"/>
        <w:rPr>
          <w:rFonts w:ascii="宋体" w:hAnsi="宋体"/>
          <w:szCs w:val="21"/>
        </w:rPr>
      </w:pPr>
      <w:r>
        <w:rPr>
          <w:rFonts w:hint="eastAsia" w:ascii="宋体" w:hAnsi="宋体"/>
          <w:szCs w:val="21"/>
        </w:rPr>
        <w:t>第二条甲方的责任</w:t>
      </w:r>
    </w:p>
    <w:p w14:paraId="21898E47">
      <w:pPr>
        <w:spacing w:line="500" w:lineRule="exact"/>
        <w:ind w:firstLine="420" w:firstLineChars="200"/>
        <w:rPr>
          <w:rFonts w:ascii="宋体" w:hAnsi="宋体"/>
          <w:szCs w:val="21"/>
        </w:rPr>
      </w:pPr>
      <w:r>
        <w:rPr>
          <w:rFonts w:hint="eastAsia" w:ascii="宋体" w:hAnsi="宋体"/>
          <w:szCs w:val="21"/>
        </w:rPr>
        <w:t>（一）甲方作为项目的建设单位，全面负责项目开发建设的进度、质量和资金管理，认真履行合同规定的甲方责任。</w:t>
      </w:r>
    </w:p>
    <w:p w14:paraId="5A549FF5">
      <w:pPr>
        <w:spacing w:line="500" w:lineRule="exact"/>
        <w:ind w:firstLine="420" w:firstLineChars="200"/>
        <w:rPr>
          <w:rFonts w:ascii="宋体" w:hAnsi="宋体"/>
          <w:szCs w:val="21"/>
        </w:rPr>
      </w:pPr>
      <w:r>
        <w:rPr>
          <w:rFonts w:hint="eastAsia" w:ascii="宋体" w:hAnsi="宋体"/>
          <w:szCs w:val="21"/>
        </w:rPr>
        <w:t>（二）甲方人员不得违反规定变更规划设计、材料设备供应或改变项目开发建设的投资规模、变更工程量等；不得违反规定与项目承担单位商谈项目施工、资金拨付、工程验收、工程质量处理、工程决算等事项，也不得违反规定干预、决定。</w:t>
      </w:r>
    </w:p>
    <w:p w14:paraId="07952676">
      <w:pPr>
        <w:spacing w:line="500" w:lineRule="exact"/>
        <w:ind w:firstLine="420" w:firstLineChars="200"/>
        <w:rPr>
          <w:rFonts w:ascii="宋体" w:hAnsi="宋体"/>
          <w:szCs w:val="21"/>
        </w:rPr>
      </w:pPr>
      <w:r>
        <w:rPr>
          <w:rFonts w:hint="eastAsia" w:ascii="宋体" w:hAnsi="宋体"/>
          <w:szCs w:val="21"/>
        </w:rPr>
        <w:t>（三）甲方人员不得要求项目承担单位购买合同约定以外的商品、物品、设备和服务等。</w:t>
      </w:r>
    </w:p>
    <w:p w14:paraId="19F99305">
      <w:pPr>
        <w:spacing w:line="500" w:lineRule="exact"/>
        <w:ind w:firstLine="420" w:firstLineChars="200"/>
        <w:rPr>
          <w:rFonts w:ascii="宋体" w:hAnsi="宋体"/>
          <w:szCs w:val="21"/>
        </w:rPr>
      </w:pPr>
      <w:r>
        <w:rPr>
          <w:rFonts w:hint="eastAsia" w:ascii="宋体" w:hAnsi="宋体"/>
          <w:szCs w:val="21"/>
        </w:rPr>
        <w:t>（四）甲方人员不得索要、接受项目承担单位违反法规赠送的现金、有价证券、支付凭证或股份等各种财物；不得索要、接受项目承担单位违反法规提供的通讯工具、交通工具、高档办公用品。</w:t>
      </w:r>
    </w:p>
    <w:p w14:paraId="5082C1E9">
      <w:pPr>
        <w:spacing w:line="500" w:lineRule="exact"/>
        <w:ind w:firstLine="420" w:firstLineChars="200"/>
        <w:rPr>
          <w:rFonts w:ascii="宋体" w:hAnsi="宋体"/>
          <w:szCs w:val="21"/>
        </w:rPr>
      </w:pPr>
      <w:r>
        <w:rPr>
          <w:rFonts w:hint="eastAsia" w:ascii="宋体" w:hAnsi="宋体"/>
          <w:szCs w:val="21"/>
        </w:rPr>
        <w:t>（五）甲方人员不得索要、接受乙方对个人或配偶子女等亲属亲友的馈赠、赞助、费用报销、装修、旅游、疗养、健身以及各种高消费娱乐等活动。</w:t>
      </w:r>
    </w:p>
    <w:p w14:paraId="6ABD5244">
      <w:pPr>
        <w:spacing w:line="500" w:lineRule="exact"/>
        <w:ind w:firstLine="420" w:firstLineChars="200"/>
        <w:rPr>
          <w:rFonts w:ascii="宋体" w:hAnsi="宋体"/>
          <w:szCs w:val="21"/>
        </w:rPr>
      </w:pPr>
      <w:r>
        <w:rPr>
          <w:rFonts w:hint="eastAsia" w:ascii="宋体" w:hAnsi="宋体"/>
          <w:szCs w:val="21"/>
        </w:rPr>
        <w:t>（六）甲方人员不得索要、接受项目承担单位为本人配偶子女等亲属亲友提供工作的安排、照顾和便利等；本人及配偶子女等亲属亲友不得从事与项目承担单位有关的工程材料设备供应、工程分包与施工、劳务等经济活动。</w:t>
      </w:r>
    </w:p>
    <w:p w14:paraId="64CC78A8">
      <w:pPr>
        <w:spacing w:line="500" w:lineRule="exact"/>
        <w:ind w:firstLine="420" w:firstLineChars="200"/>
        <w:rPr>
          <w:rFonts w:ascii="宋体" w:hAnsi="宋体"/>
          <w:szCs w:val="21"/>
        </w:rPr>
      </w:pPr>
      <w:r>
        <w:rPr>
          <w:rFonts w:hint="eastAsia" w:ascii="宋体" w:hAnsi="宋体"/>
          <w:szCs w:val="21"/>
        </w:rPr>
        <w:t>第三条乙方的责任</w:t>
      </w:r>
    </w:p>
    <w:p w14:paraId="0760F68A">
      <w:pPr>
        <w:spacing w:line="500" w:lineRule="exact"/>
        <w:ind w:firstLine="420" w:firstLineChars="200"/>
        <w:rPr>
          <w:rFonts w:ascii="宋体" w:hAnsi="宋体"/>
          <w:szCs w:val="21"/>
        </w:rPr>
      </w:pPr>
      <w:r>
        <w:rPr>
          <w:rFonts w:hint="eastAsia" w:ascii="宋体" w:hAnsi="宋体"/>
          <w:szCs w:val="21"/>
        </w:rPr>
        <w:t>（一）乙方作为项目的施工责任主体，严格执行工程建设法律、法规和强制性标准与规范，依照合同负责承担项目开发建设工程的进度、质量、资金控制。</w:t>
      </w:r>
    </w:p>
    <w:p w14:paraId="14AE7FA7">
      <w:pPr>
        <w:spacing w:line="500" w:lineRule="exact"/>
        <w:ind w:firstLine="420" w:firstLineChars="200"/>
        <w:rPr>
          <w:rFonts w:ascii="宋体" w:hAnsi="宋体"/>
          <w:szCs w:val="21"/>
        </w:rPr>
      </w:pPr>
      <w:r>
        <w:rPr>
          <w:rFonts w:hint="eastAsia" w:ascii="宋体" w:hAnsi="宋体"/>
          <w:szCs w:val="21"/>
        </w:rPr>
        <w:t>（二）乙方不得违反规定变更规划设计、材料设备供应或改变项目开发建设的投资规模、变更工程量等；不得违反规定与建设单位商谈项目施工、资金拨付、工程验收、工程质量处理、工程决算等事项，也不得违反规定干预、决定。</w:t>
      </w:r>
    </w:p>
    <w:p w14:paraId="4557CB4B">
      <w:pPr>
        <w:spacing w:line="500" w:lineRule="exact"/>
        <w:ind w:firstLine="420" w:firstLineChars="200"/>
        <w:rPr>
          <w:rFonts w:ascii="宋体" w:hAnsi="宋体"/>
          <w:szCs w:val="21"/>
        </w:rPr>
      </w:pPr>
      <w:r>
        <w:rPr>
          <w:rFonts w:hint="eastAsia" w:ascii="宋体" w:hAnsi="宋体"/>
          <w:szCs w:val="21"/>
        </w:rPr>
        <w:t>（三）乙方不得接受建设单位要求购买合同约定以外的商品、物品、设备和服务等要求。</w:t>
      </w:r>
    </w:p>
    <w:p w14:paraId="21256C1D">
      <w:pPr>
        <w:spacing w:line="500" w:lineRule="exact"/>
        <w:ind w:firstLine="420" w:firstLineChars="200"/>
        <w:rPr>
          <w:rFonts w:ascii="宋体" w:hAnsi="宋体"/>
          <w:szCs w:val="21"/>
        </w:rPr>
      </w:pPr>
      <w:r>
        <w:rPr>
          <w:rFonts w:hint="eastAsia" w:ascii="宋体" w:hAnsi="宋体"/>
          <w:szCs w:val="21"/>
        </w:rPr>
        <w:t>（四）乙方不得以任何理由违反法规向甲方人员赠送现金、有价证券、支付凭证或股份等各种财物；不得违反法规向甲方人员提供通讯工具、交通工具、高档办公用品等。</w:t>
      </w:r>
    </w:p>
    <w:p w14:paraId="19DC0B04">
      <w:pPr>
        <w:spacing w:line="500" w:lineRule="exact"/>
        <w:ind w:firstLine="420" w:firstLineChars="200"/>
        <w:rPr>
          <w:rFonts w:ascii="宋体" w:hAnsi="宋体"/>
          <w:szCs w:val="21"/>
        </w:rPr>
      </w:pPr>
      <w:r>
        <w:rPr>
          <w:rFonts w:hint="eastAsia" w:ascii="宋体" w:hAnsi="宋体"/>
          <w:szCs w:val="21"/>
        </w:rPr>
        <w:t>（五）乙方不得对甲方人员个人或其配偶子女等亲属亲友提供馈赠、赞助、费用报销、装修、旅游、疗养、健身以及各种高消费娱乐等活动。</w:t>
      </w:r>
    </w:p>
    <w:p w14:paraId="78C7C61B">
      <w:pPr>
        <w:spacing w:line="500" w:lineRule="exact"/>
        <w:ind w:firstLine="420" w:firstLineChars="200"/>
        <w:rPr>
          <w:rFonts w:ascii="宋体" w:hAnsi="宋体"/>
          <w:szCs w:val="21"/>
        </w:rPr>
      </w:pPr>
      <w:r>
        <w:rPr>
          <w:rFonts w:hint="eastAsia" w:ascii="宋体" w:hAnsi="宋体"/>
          <w:szCs w:val="21"/>
        </w:rPr>
        <w:t>（六）乙方不得为甲方人员个人的配偶子女等亲属亲友提供工作的安排、照顾和便利等；不得接受甲方人员个人及配偶子女等亲属亲友从事与项目承担单位有关的工程材料设备供应、工程分包与施工、劳务等经济活动的要求。</w:t>
      </w:r>
    </w:p>
    <w:p w14:paraId="6D3D3002">
      <w:pPr>
        <w:spacing w:line="500" w:lineRule="exact"/>
        <w:ind w:firstLine="420" w:firstLineChars="200"/>
        <w:rPr>
          <w:rFonts w:ascii="宋体" w:hAnsi="宋体"/>
          <w:szCs w:val="21"/>
        </w:rPr>
      </w:pPr>
      <w:r>
        <w:rPr>
          <w:rFonts w:hint="eastAsia" w:ascii="宋体" w:hAnsi="宋体"/>
          <w:szCs w:val="21"/>
        </w:rPr>
        <w:t>第四条违约责任</w:t>
      </w:r>
    </w:p>
    <w:p w14:paraId="0C390941">
      <w:pPr>
        <w:spacing w:line="500" w:lineRule="exact"/>
        <w:ind w:firstLine="420" w:firstLineChars="200"/>
        <w:rPr>
          <w:rFonts w:ascii="宋体" w:hAnsi="宋体"/>
          <w:szCs w:val="21"/>
        </w:rPr>
      </w:pPr>
      <w:r>
        <w:rPr>
          <w:rFonts w:hint="eastAsia" w:ascii="宋体" w:hAnsi="宋体"/>
          <w:szCs w:val="21"/>
        </w:rPr>
        <w:t>（一）甲方人员违反本协议第一条和第二条规定的，由甲方按照管理权限，依据有关法律和规定给予党纪、政纪处分或组织处理，涉嫌犯罪的，移交司法机关追究刑事责任；给乙方造成经济损失的，应予赔偿。</w:t>
      </w:r>
    </w:p>
    <w:p w14:paraId="498FCE03">
      <w:pPr>
        <w:spacing w:line="500" w:lineRule="exact"/>
        <w:ind w:firstLine="420" w:firstLineChars="200"/>
        <w:rPr>
          <w:rFonts w:ascii="宋体" w:hAnsi="宋体"/>
          <w:szCs w:val="21"/>
        </w:rPr>
      </w:pPr>
      <w:r>
        <w:rPr>
          <w:rFonts w:hint="eastAsia" w:ascii="宋体" w:hAnsi="宋体"/>
          <w:szCs w:val="21"/>
        </w:rPr>
        <w:t>（二）乙方人员违反本协议第一条和第三条规定的，由乙方按照管理权限，依据有关法律和规定给予党纪、政纪处分或组织处理，涉嫌犯罪的，移交司法机关追究刑事责任；给甲方造成经济损失的，应予赔偿。</w:t>
      </w:r>
    </w:p>
    <w:p w14:paraId="69160028">
      <w:pPr>
        <w:spacing w:line="500" w:lineRule="exact"/>
        <w:ind w:firstLine="420" w:firstLineChars="200"/>
        <w:rPr>
          <w:rFonts w:ascii="宋体" w:hAnsi="宋体"/>
          <w:szCs w:val="21"/>
        </w:rPr>
      </w:pPr>
      <w:r>
        <w:rPr>
          <w:rFonts w:hint="eastAsia" w:ascii="宋体" w:hAnsi="宋体"/>
          <w:szCs w:val="21"/>
        </w:rPr>
        <w:t>第五条本协议书作为项目开发建设工程合同的附件，在双方签署工程合同的同时签署本协议，经双方签署后生效，有效时间以双方签订的工程施工合同的有效期限为准。</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6"/>
        <w:gridCol w:w="4470"/>
      </w:tblGrid>
      <w:tr w14:paraId="2CB27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5" w:type="dxa"/>
          </w:tcPr>
          <w:p w14:paraId="4583E221">
            <w:pPr>
              <w:spacing w:line="500" w:lineRule="exact"/>
              <w:ind w:firstLine="400" w:firstLineChars="200"/>
              <w:rPr>
                <w:rFonts w:ascii="宋体" w:hAnsi="宋体" w:cs="宋体"/>
                <w:kern w:val="0"/>
                <w:sz w:val="20"/>
                <w:szCs w:val="21"/>
              </w:rPr>
            </w:pPr>
            <w:r>
              <w:rPr>
                <w:rFonts w:hint="eastAsia" w:ascii="宋体" w:hAnsi="宋体" w:cs="宋体"/>
                <w:kern w:val="0"/>
                <w:sz w:val="20"/>
                <w:szCs w:val="21"/>
              </w:rPr>
              <w:t>发包人：深圳市新龙观投资发展有限公司</w:t>
            </w:r>
          </w:p>
        </w:tc>
        <w:tc>
          <w:tcPr>
            <w:tcW w:w="4616" w:type="dxa"/>
          </w:tcPr>
          <w:p w14:paraId="27079C66">
            <w:pPr>
              <w:widowControl/>
              <w:spacing w:line="500" w:lineRule="exact"/>
              <w:jc w:val="left"/>
              <w:rPr>
                <w:rFonts w:ascii="宋体" w:hAnsi="宋体" w:cs="宋体"/>
                <w:kern w:val="0"/>
                <w:sz w:val="20"/>
                <w:szCs w:val="21"/>
              </w:rPr>
            </w:pPr>
            <w:r>
              <w:rPr>
                <w:rFonts w:hint="eastAsia" w:ascii="宋体" w:hAnsi="宋体" w:cs="宋体"/>
                <w:kern w:val="0"/>
                <w:sz w:val="20"/>
                <w:szCs w:val="21"/>
                <w:lang w:val="en-US" w:eastAsia="zh-CN"/>
              </w:rPr>
              <w:t>勘察</w:t>
            </w:r>
            <w:r>
              <w:rPr>
                <w:rFonts w:hint="eastAsia" w:ascii="宋体" w:hAnsi="宋体" w:cs="宋体"/>
                <w:kern w:val="0"/>
                <w:sz w:val="20"/>
                <w:szCs w:val="21"/>
              </w:rPr>
              <w:t>人：</w:t>
            </w:r>
            <w:r>
              <w:rPr>
                <w:rFonts w:hint="eastAsia" w:ascii="宋体" w:hAnsi="宋体"/>
                <w:szCs w:val="21"/>
                <w:lang w:eastAsia="zh-CN"/>
              </w:rPr>
              <w:t>xxxx</w:t>
            </w:r>
          </w:p>
        </w:tc>
      </w:tr>
      <w:tr w14:paraId="3A137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5" w:type="dxa"/>
          </w:tcPr>
          <w:p w14:paraId="1C97C9EC">
            <w:pPr>
              <w:spacing w:line="500" w:lineRule="exact"/>
              <w:ind w:firstLine="400" w:firstLineChars="200"/>
              <w:rPr>
                <w:rFonts w:ascii="宋体" w:hAnsi="宋体" w:cs="宋体"/>
                <w:kern w:val="0"/>
                <w:sz w:val="20"/>
                <w:szCs w:val="21"/>
              </w:rPr>
            </w:pPr>
            <w:r>
              <w:rPr>
                <w:rFonts w:hint="eastAsia" w:ascii="宋体" w:hAnsi="宋体" w:cs="宋体"/>
                <w:kern w:val="0"/>
                <w:sz w:val="20"/>
                <w:szCs w:val="21"/>
              </w:rPr>
              <w:t>法人代表：</w:t>
            </w:r>
          </w:p>
        </w:tc>
        <w:tc>
          <w:tcPr>
            <w:tcW w:w="4616" w:type="dxa"/>
          </w:tcPr>
          <w:p w14:paraId="1CCF3EBA">
            <w:pPr>
              <w:spacing w:line="500" w:lineRule="exact"/>
              <w:rPr>
                <w:rFonts w:ascii="宋体" w:hAnsi="宋体" w:cs="宋体"/>
                <w:kern w:val="0"/>
                <w:sz w:val="20"/>
                <w:szCs w:val="21"/>
              </w:rPr>
            </w:pPr>
            <w:r>
              <w:rPr>
                <w:rFonts w:hint="eastAsia" w:ascii="宋体" w:hAnsi="宋体" w:cs="宋体"/>
                <w:kern w:val="0"/>
                <w:sz w:val="20"/>
                <w:szCs w:val="21"/>
              </w:rPr>
              <w:t>法人代表：</w:t>
            </w:r>
          </w:p>
        </w:tc>
      </w:tr>
      <w:tr w14:paraId="0A1AD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5" w:type="dxa"/>
          </w:tcPr>
          <w:p w14:paraId="78633C2D">
            <w:pPr>
              <w:spacing w:line="500" w:lineRule="exact"/>
              <w:ind w:firstLine="400" w:firstLineChars="200"/>
              <w:rPr>
                <w:rFonts w:ascii="宋体" w:hAnsi="宋体" w:cs="宋体"/>
                <w:kern w:val="0"/>
                <w:sz w:val="20"/>
                <w:szCs w:val="21"/>
              </w:rPr>
            </w:pPr>
            <w:r>
              <w:rPr>
                <w:rFonts w:hint="eastAsia" w:ascii="宋体" w:hAnsi="宋体" w:cs="宋体"/>
                <w:kern w:val="0"/>
                <w:sz w:val="20"/>
                <w:szCs w:val="21"/>
              </w:rPr>
              <w:t>日期：</w:t>
            </w:r>
            <w:r>
              <w:rPr>
                <w:rFonts w:hint="eastAsia" w:ascii="宋体" w:hAnsi="宋体" w:cs="宋体"/>
                <w:kern w:val="0"/>
                <w:sz w:val="20"/>
                <w:szCs w:val="21"/>
                <w:lang w:val="en-US" w:eastAsia="zh-CN"/>
              </w:rPr>
              <w:t>2025</w:t>
            </w:r>
            <w:r>
              <w:rPr>
                <w:rFonts w:hint="eastAsia" w:ascii="宋体" w:hAnsi="宋体" w:cs="宋体"/>
                <w:kern w:val="0"/>
                <w:sz w:val="20"/>
                <w:szCs w:val="21"/>
              </w:rPr>
              <w:t>年</w:t>
            </w:r>
            <w:r>
              <w:rPr>
                <w:rFonts w:hint="eastAsia" w:ascii="宋体" w:hAnsi="宋体" w:cs="宋体"/>
                <w:kern w:val="0"/>
                <w:sz w:val="20"/>
                <w:szCs w:val="21"/>
                <w:lang w:val="en-US" w:eastAsia="zh-CN"/>
              </w:rPr>
              <w:t xml:space="preserve">   月   日</w:t>
            </w:r>
          </w:p>
        </w:tc>
        <w:tc>
          <w:tcPr>
            <w:tcW w:w="4616" w:type="dxa"/>
          </w:tcPr>
          <w:p w14:paraId="6179D244">
            <w:pPr>
              <w:spacing w:line="500" w:lineRule="exact"/>
              <w:rPr>
                <w:rFonts w:ascii="宋体" w:hAnsi="宋体" w:cs="宋体"/>
                <w:kern w:val="0"/>
                <w:sz w:val="20"/>
                <w:szCs w:val="21"/>
              </w:rPr>
            </w:pPr>
            <w:r>
              <w:rPr>
                <w:rFonts w:hint="eastAsia" w:ascii="宋体" w:hAnsi="宋体" w:cs="宋体"/>
                <w:kern w:val="0"/>
                <w:sz w:val="20"/>
                <w:szCs w:val="21"/>
              </w:rPr>
              <w:t>日期：</w:t>
            </w:r>
            <w:r>
              <w:rPr>
                <w:rFonts w:hint="eastAsia" w:ascii="宋体" w:hAnsi="宋体" w:cs="宋体"/>
                <w:kern w:val="0"/>
                <w:sz w:val="20"/>
                <w:szCs w:val="21"/>
                <w:lang w:val="en-US" w:eastAsia="zh-CN"/>
              </w:rPr>
              <w:t>2025</w:t>
            </w:r>
            <w:r>
              <w:rPr>
                <w:rFonts w:hint="eastAsia" w:ascii="宋体" w:hAnsi="宋体" w:cs="宋体"/>
                <w:kern w:val="0"/>
                <w:sz w:val="20"/>
                <w:szCs w:val="21"/>
              </w:rPr>
              <w:t>年</w:t>
            </w:r>
            <w:r>
              <w:rPr>
                <w:rFonts w:hint="eastAsia" w:ascii="宋体" w:hAnsi="宋体" w:cs="宋体"/>
                <w:kern w:val="0"/>
                <w:sz w:val="20"/>
                <w:szCs w:val="21"/>
                <w:lang w:val="en-US" w:eastAsia="zh-CN"/>
              </w:rPr>
              <w:t xml:space="preserve">   月   日</w:t>
            </w:r>
          </w:p>
        </w:tc>
      </w:tr>
    </w:tbl>
    <w:p w14:paraId="694B34F8">
      <w:pPr>
        <w:widowControl/>
        <w:adjustRightInd w:val="0"/>
        <w:snapToGrid w:val="0"/>
        <w:spacing w:line="500" w:lineRule="exact"/>
        <w:ind w:firstLine="420" w:firstLineChars="200"/>
        <w:jc w:val="left"/>
        <w:rPr>
          <w:rFonts w:ascii="宋体" w:hAnsi="宋体" w:cs="宋体"/>
          <w:kern w:val="0"/>
          <w:szCs w:val="21"/>
        </w:rPr>
      </w:pPr>
      <w:r>
        <w:rPr>
          <w:rFonts w:ascii="宋体" w:hAnsi="宋体" w:cs="宋体"/>
          <w:kern w:val="0"/>
          <w:szCs w:val="21"/>
        </w:rPr>
        <w:br w:type="page"/>
      </w:r>
    </w:p>
    <w:p w14:paraId="2EC954D3">
      <w:pPr>
        <w:adjustRightInd w:val="0"/>
        <w:snapToGrid w:val="0"/>
        <w:spacing w:after="200" w:line="360" w:lineRule="auto"/>
        <w:jc w:val="left"/>
        <w:textAlignment w:val="baseline"/>
        <w:outlineLvl w:val="2"/>
        <w:rPr>
          <w:rFonts w:ascii="宋体" w:hAnsi="宋体"/>
          <w:b/>
          <w:szCs w:val="21"/>
        </w:rPr>
      </w:pPr>
      <w:r>
        <w:rPr>
          <w:rFonts w:hint="eastAsia" w:ascii="宋体" w:hAnsi="宋体"/>
          <w:b/>
          <w:szCs w:val="21"/>
        </w:rPr>
        <w:t>附件7：项目管理机构配备情况表</w:t>
      </w:r>
    </w:p>
    <w:p w14:paraId="76B2D602">
      <w:pPr>
        <w:spacing w:after="200" w:line="440" w:lineRule="exact"/>
        <w:jc w:val="center"/>
        <w:rPr>
          <w:rFonts w:ascii="宋体" w:hAnsi="宋体"/>
          <w:b/>
          <w:sz w:val="24"/>
          <w:szCs w:val="24"/>
        </w:rPr>
      </w:pPr>
      <w:r>
        <w:rPr>
          <w:rFonts w:hint="eastAsia" w:ascii="宋体" w:hAnsi="宋体"/>
          <w:b/>
          <w:sz w:val="24"/>
          <w:szCs w:val="24"/>
        </w:rPr>
        <w:t>项目管理机构配备情况表</w:t>
      </w:r>
    </w:p>
    <w:tbl>
      <w:tblPr>
        <w:tblStyle w:val="9"/>
        <w:tblW w:w="5191" w:type="pct"/>
        <w:jc w:val="center"/>
        <w:tblLayout w:type="fixed"/>
        <w:tblCellMar>
          <w:top w:w="0" w:type="dxa"/>
          <w:left w:w="108" w:type="dxa"/>
          <w:bottom w:w="0" w:type="dxa"/>
          <w:right w:w="108" w:type="dxa"/>
        </w:tblCellMar>
      </w:tblPr>
      <w:tblGrid>
        <w:gridCol w:w="538"/>
        <w:gridCol w:w="1055"/>
        <w:gridCol w:w="859"/>
        <w:gridCol w:w="1541"/>
        <w:gridCol w:w="1377"/>
        <w:gridCol w:w="1595"/>
        <w:gridCol w:w="368"/>
        <w:gridCol w:w="1091"/>
        <w:gridCol w:w="865"/>
      </w:tblGrid>
      <w:tr w14:paraId="1E1C2993">
        <w:tblPrEx>
          <w:tblCellMar>
            <w:top w:w="0" w:type="dxa"/>
            <w:left w:w="108" w:type="dxa"/>
            <w:bottom w:w="0" w:type="dxa"/>
            <w:right w:w="108" w:type="dxa"/>
          </w:tblCellMar>
        </w:tblPrEx>
        <w:trPr>
          <w:trHeight w:val="411" w:hRule="atLeast"/>
          <w:jc w:val="center"/>
        </w:trPr>
        <w:tc>
          <w:tcPr>
            <w:tcW w:w="289" w:type="pct"/>
            <w:vMerge w:val="restart"/>
            <w:tcBorders>
              <w:top w:val="single" w:color="auto" w:sz="4" w:space="0"/>
              <w:left w:val="single" w:color="auto" w:sz="4" w:space="0"/>
              <w:right w:val="single" w:color="auto" w:sz="4" w:space="0"/>
            </w:tcBorders>
            <w:vAlign w:val="center"/>
          </w:tcPr>
          <w:p w14:paraId="0856476B">
            <w:pPr>
              <w:widowControl/>
              <w:adjustRightInd w:val="0"/>
              <w:snapToGrid w:val="0"/>
              <w:spacing w:after="0" w:line="240" w:lineRule="auto"/>
              <w:jc w:val="center"/>
              <w:rPr>
                <w:rFonts w:ascii="宋体" w:hAnsi="宋体" w:cs="宋体"/>
                <w:kern w:val="0"/>
                <w:szCs w:val="21"/>
              </w:rPr>
            </w:pPr>
            <w:r>
              <w:rPr>
                <w:rFonts w:hint="eastAsia" w:ascii="宋体" w:hAnsi="宋体" w:cs="宋体"/>
                <w:kern w:val="0"/>
                <w:szCs w:val="21"/>
              </w:rPr>
              <w:t>序号</w:t>
            </w:r>
          </w:p>
        </w:tc>
        <w:tc>
          <w:tcPr>
            <w:tcW w:w="567" w:type="pct"/>
            <w:vMerge w:val="restart"/>
            <w:tcBorders>
              <w:top w:val="single" w:color="auto" w:sz="4" w:space="0"/>
              <w:left w:val="single" w:color="auto" w:sz="4" w:space="0"/>
              <w:right w:val="single" w:color="auto" w:sz="4" w:space="0"/>
            </w:tcBorders>
            <w:vAlign w:val="center"/>
          </w:tcPr>
          <w:p w14:paraId="085EB6AB">
            <w:pPr>
              <w:widowControl/>
              <w:adjustRightInd w:val="0"/>
              <w:snapToGrid w:val="0"/>
              <w:spacing w:after="0" w:line="240" w:lineRule="auto"/>
              <w:jc w:val="center"/>
              <w:rPr>
                <w:rFonts w:ascii="宋体" w:hAnsi="宋体" w:cs="宋体"/>
                <w:kern w:val="0"/>
                <w:szCs w:val="21"/>
              </w:rPr>
            </w:pPr>
            <w:r>
              <w:rPr>
                <w:rFonts w:hint="eastAsia" w:ascii="宋体" w:hAnsi="宋体" w:cs="宋体"/>
                <w:kern w:val="0"/>
                <w:szCs w:val="21"/>
              </w:rPr>
              <w:t>职务</w:t>
            </w:r>
          </w:p>
        </w:tc>
        <w:tc>
          <w:tcPr>
            <w:tcW w:w="462" w:type="pct"/>
            <w:vMerge w:val="restart"/>
            <w:tcBorders>
              <w:top w:val="single" w:color="auto" w:sz="4" w:space="0"/>
              <w:left w:val="single" w:color="auto" w:sz="4" w:space="0"/>
              <w:right w:val="single" w:color="auto" w:sz="4" w:space="0"/>
            </w:tcBorders>
            <w:vAlign w:val="center"/>
          </w:tcPr>
          <w:p w14:paraId="50E1C431">
            <w:pPr>
              <w:widowControl/>
              <w:adjustRightInd w:val="0"/>
              <w:snapToGrid w:val="0"/>
              <w:spacing w:after="0" w:line="240" w:lineRule="auto"/>
              <w:jc w:val="center"/>
              <w:rPr>
                <w:rFonts w:ascii="宋体" w:hAnsi="宋体" w:cs="宋体"/>
                <w:kern w:val="0"/>
                <w:szCs w:val="21"/>
              </w:rPr>
            </w:pPr>
            <w:r>
              <w:rPr>
                <w:rFonts w:hint="eastAsia" w:ascii="宋体" w:hAnsi="宋体" w:cs="宋体"/>
                <w:kern w:val="0"/>
                <w:szCs w:val="21"/>
              </w:rPr>
              <w:t>姓名</w:t>
            </w:r>
          </w:p>
        </w:tc>
        <w:tc>
          <w:tcPr>
            <w:tcW w:w="829" w:type="pct"/>
            <w:vMerge w:val="restart"/>
            <w:tcBorders>
              <w:top w:val="single" w:color="auto" w:sz="4" w:space="0"/>
              <w:left w:val="single" w:color="auto" w:sz="4" w:space="0"/>
              <w:right w:val="single" w:color="auto" w:sz="4" w:space="0"/>
            </w:tcBorders>
            <w:vAlign w:val="center"/>
          </w:tcPr>
          <w:p w14:paraId="35C57166">
            <w:pPr>
              <w:widowControl/>
              <w:adjustRightInd w:val="0"/>
              <w:snapToGrid w:val="0"/>
              <w:spacing w:after="0" w:line="240" w:lineRule="auto"/>
              <w:jc w:val="center"/>
              <w:rPr>
                <w:rFonts w:ascii="宋体" w:hAnsi="宋体" w:cs="宋体"/>
                <w:kern w:val="0"/>
                <w:szCs w:val="21"/>
              </w:rPr>
            </w:pPr>
            <w:r>
              <w:rPr>
                <w:rFonts w:hint="eastAsia" w:ascii="宋体" w:hAnsi="宋体" w:cs="宋体"/>
                <w:kern w:val="0"/>
                <w:szCs w:val="21"/>
              </w:rPr>
              <w:t>职称</w:t>
            </w:r>
          </w:p>
        </w:tc>
        <w:tc>
          <w:tcPr>
            <w:tcW w:w="2385" w:type="pct"/>
            <w:gridSpan w:val="4"/>
            <w:tcBorders>
              <w:top w:val="single" w:color="auto" w:sz="4" w:space="0"/>
              <w:left w:val="single" w:color="auto" w:sz="4" w:space="0"/>
              <w:bottom w:val="single" w:color="auto" w:sz="4" w:space="0"/>
              <w:right w:val="single" w:color="auto" w:sz="4" w:space="0"/>
            </w:tcBorders>
            <w:vAlign w:val="center"/>
          </w:tcPr>
          <w:p w14:paraId="0B04E7CF">
            <w:pPr>
              <w:widowControl/>
              <w:adjustRightInd w:val="0"/>
              <w:snapToGrid w:val="0"/>
              <w:spacing w:after="0" w:line="240" w:lineRule="auto"/>
              <w:jc w:val="center"/>
              <w:rPr>
                <w:rFonts w:hint="eastAsia" w:ascii="宋体" w:hAnsi="宋体" w:cs="宋体"/>
                <w:kern w:val="0"/>
                <w:szCs w:val="21"/>
              </w:rPr>
            </w:pPr>
            <w:r>
              <w:rPr>
                <w:rFonts w:hint="eastAsia" w:ascii="宋体" w:hAnsi="宋体" w:cs="宋体"/>
                <w:kern w:val="0"/>
                <w:szCs w:val="21"/>
              </w:rPr>
              <w:t>上岗资格证明</w:t>
            </w:r>
          </w:p>
        </w:tc>
        <w:tc>
          <w:tcPr>
            <w:tcW w:w="465" w:type="pct"/>
            <w:vMerge w:val="restart"/>
            <w:tcBorders>
              <w:top w:val="single" w:color="auto" w:sz="4" w:space="0"/>
              <w:left w:val="single" w:color="auto" w:sz="4" w:space="0"/>
              <w:right w:val="single" w:color="auto" w:sz="4" w:space="0"/>
            </w:tcBorders>
            <w:vAlign w:val="center"/>
          </w:tcPr>
          <w:p w14:paraId="04DC7138">
            <w:pPr>
              <w:widowControl/>
              <w:adjustRightInd w:val="0"/>
              <w:snapToGrid w:val="0"/>
              <w:spacing w:after="0" w:line="240" w:lineRule="auto"/>
              <w:jc w:val="center"/>
              <w:rPr>
                <w:rFonts w:hint="eastAsia" w:ascii="宋体" w:hAnsi="宋体" w:cs="宋体"/>
                <w:kern w:val="0"/>
                <w:szCs w:val="21"/>
              </w:rPr>
            </w:pPr>
            <w:r>
              <w:rPr>
                <w:rFonts w:hint="eastAsia" w:ascii="宋体" w:hAnsi="宋体" w:cs="宋体"/>
                <w:kern w:val="0"/>
                <w:szCs w:val="21"/>
              </w:rPr>
              <w:t>学历</w:t>
            </w:r>
          </w:p>
        </w:tc>
      </w:tr>
      <w:tr w14:paraId="06784A6C">
        <w:tblPrEx>
          <w:tblCellMar>
            <w:top w:w="0" w:type="dxa"/>
            <w:left w:w="108" w:type="dxa"/>
            <w:bottom w:w="0" w:type="dxa"/>
            <w:right w:w="108" w:type="dxa"/>
          </w:tblCellMar>
        </w:tblPrEx>
        <w:trPr>
          <w:trHeight w:val="520" w:hRule="atLeast"/>
          <w:jc w:val="center"/>
        </w:trPr>
        <w:tc>
          <w:tcPr>
            <w:tcW w:w="289" w:type="pct"/>
            <w:vMerge w:val="continue"/>
            <w:tcBorders>
              <w:left w:val="single" w:color="auto" w:sz="4" w:space="0"/>
              <w:bottom w:val="single" w:color="auto" w:sz="4" w:space="0"/>
              <w:right w:val="single" w:color="auto" w:sz="4" w:space="0"/>
            </w:tcBorders>
            <w:vAlign w:val="center"/>
          </w:tcPr>
          <w:p w14:paraId="5664E9CF">
            <w:pPr>
              <w:widowControl/>
              <w:adjustRightInd w:val="0"/>
              <w:snapToGrid w:val="0"/>
              <w:spacing w:after="0" w:line="240" w:lineRule="auto"/>
              <w:jc w:val="center"/>
              <w:rPr>
                <w:rFonts w:ascii="宋体" w:hAnsi="宋体" w:cs="宋体"/>
                <w:kern w:val="0"/>
                <w:sz w:val="24"/>
              </w:rPr>
            </w:pPr>
          </w:p>
        </w:tc>
        <w:tc>
          <w:tcPr>
            <w:tcW w:w="567" w:type="pct"/>
            <w:vMerge w:val="continue"/>
            <w:tcBorders>
              <w:left w:val="single" w:color="auto" w:sz="4" w:space="0"/>
              <w:bottom w:val="single" w:color="auto" w:sz="4" w:space="0"/>
              <w:right w:val="single" w:color="auto" w:sz="4" w:space="0"/>
            </w:tcBorders>
            <w:vAlign w:val="center"/>
          </w:tcPr>
          <w:p w14:paraId="798CB04F">
            <w:pPr>
              <w:widowControl/>
              <w:adjustRightInd w:val="0"/>
              <w:snapToGrid w:val="0"/>
              <w:spacing w:after="0" w:line="240" w:lineRule="auto"/>
              <w:jc w:val="center"/>
              <w:rPr>
                <w:rFonts w:ascii="宋体" w:hAnsi="宋体" w:cs="宋体"/>
                <w:b/>
                <w:kern w:val="0"/>
                <w:sz w:val="24"/>
              </w:rPr>
            </w:pPr>
          </w:p>
        </w:tc>
        <w:tc>
          <w:tcPr>
            <w:tcW w:w="462" w:type="pct"/>
            <w:vMerge w:val="continue"/>
            <w:tcBorders>
              <w:left w:val="single" w:color="auto" w:sz="4" w:space="0"/>
              <w:bottom w:val="single" w:color="auto" w:sz="4" w:space="0"/>
              <w:right w:val="single" w:color="auto" w:sz="4" w:space="0"/>
            </w:tcBorders>
            <w:vAlign w:val="center"/>
          </w:tcPr>
          <w:p w14:paraId="408B6F2E">
            <w:pPr>
              <w:widowControl/>
              <w:adjustRightInd w:val="0"/>
              <w:snapToGrid w:val="0"/>
              <w:spacing w:after="0" w:line="240" w:lineRule="auto"/>
              <w:jc w:val="center"/>
              <w:rPr>
                <w:rFonts w:ascii="宋体" w:hAnsi="宋体" w:cs="宋体"/>
                <w:b/>
                <w:kern w:val="0"/>
                <w:sz w:val="24"/>
              </w:rPr>
            </w:pPr>
          </w:p>
        </w:tc>
        <w:tc>
          <w:tcPr>
            <w:tcW w:w="829" w:type="pct"/>
            <w:vMerge w:val="continue"/>
            <w:tcBorders>
              <w:left w:val="single" w:color="auto" w:sz="4" w:space="0"/>
              <w:bottom w:val="single" w:color="auto" w:sz="4" w:space="0"/>
              <w:right w:val="single" w:color="auto" w:sz="4" w:space="0"/>
            </w:tcBorders>
            <w:vAlign w:val="center"/>
          </w:tcPr>
          <w:p w14:paraId="7F769329">
            <w:pPr>
              <w:widowControl/>
              <w:adjustRightInd w:val="0"/>
              <w:snapToGrid w:val="0"/>
              <w:spacing w:after="0" w:line="240" w:lineRule="auto"/>
              <w:jc w:val="center"/>
              <w:rPr>
                <w:rFonts w:ascii="宋体" w:hAnsi="宋体" w:cs="宋体"/>
                <w:b/>
                <w:kern w:val="0"/>
                <w:sz w:val="24"/>
              </w:rPr>
            </w:pPr>
          </w:p>
        </w:tc>
        <w:tc>
          <w:tcPr>
            <w:tcW w:w="741" w:type="pct"/>
            <w:tcBorders>
              <w:top w:val="single" w:color="auto" w:sz="4" w:space="0"/>
              <w:left w:val="single" w:color="auto" w:sz="4" w:space="0"/>
              <w:bottom w:val="single" w:color="auto" w:sz="4" w:space="0"/>
              <w:right w:val="single" w:color="auto" w:sz="4" w:space="0"/>
            </w:tcBorders>
            <w:vAlign w:val="center"/>
          </w:tcPr>
          <w:p w14:paraId="12F4935B">
            <w:pPr>
              <w:widowControl/>
              <w:adjustRightInd w:val="0"/>
              <w:snapToGrid w:val="0"/>
              <w:spacing w:after="0" w:line="240" w:lineRule="auto"/>
              <w:jc w:val="center"/>
              <w:rPr>
                <w:rFonts w:hint="eastAsia" w:ascii="宋体" w:hAnsi="宋体" w:cs="宋体"/>
                <w:kern w:val="0"/>
                <w:sz w:val="21"/>
                <w:szCs w:val="21"/>
              </w:rPr>
            </w:pPr>
            <w:r>
              <w:rPr>
                <w:rFonts w:hint="eastAsia" w:ascii="宋体" w:hAnsi="宋体" w:cs="宋体"/>
                <w:kern w:val="0"/>
                <w:sz w:val="21"/>
                <w:szCs w:val="21"/>
              </w:rPr>
              <w:t>证明名称</w:t>
            </w:r>
          </w:p>
        </w:tc>
        <w:tc>
          <w:tcPr>
            <w:tcW w:w="858" w:type="pct"/>
            <w:tcBorders>
              <w:top w:val="single" w:color="auto" w:sz="4" w:space="0"/>
              <w:left w:val="single" w:color="auto" w:sz="4" w:space="0"/>
              <w:bottom w:val="single" w:color="auto" w:sz="4" w:space="0"/>
              <w:right w:val="single" w:color="auto" w:sz="4" w:space="0"/>
            </w:tcBorders>
            <w:vAlign w:val="center"/>
          </w:tcPr>
          <w:p w14:paraId="421D37A7">
            <w:pPr>
              <w:widowControl/>
              <w:adjustRightInd w:val="0"/>
              <w:snapToGrid w:val="0"/>
              <w:spacing w:after="0" w:line="240" w:lineRule="auto"/>
              <w:jc w:val="center"/>
              <w:rPr>
                <w:rFonts w:hint="eastAsia" w:ascii="宋体" w:hAnsi="宋体" w:cs="宋体"/>
                <w:kern w:val="0"/>
                <w:szCs w:val="21"/>
              </w:rPr>
            </w:pPr>
            <w:r>
              <w:rPr>
                <w:rFonts w:hint="eastAsia" w:ascii="宋体" w:hAnsi="宋体" w:cs="宋体"/>
                <w:kern w:val="0"/>
                <w:szCs w:val="21"/>
              </w:rPr>
              <w:t>证号</w:t>
            </w:r>
          </w:p>
        </w:tc>
        <w:tc>
          <w:tcPr>
            <w:tcW w:w="198" w:type="pct"/>
            <w:tcBorders>
              <w:top w:val="single" w:color="auto" w:sz="4" w:space="0"/>
              <w:left w:val="single" w:color="auto" w:sz="4" w:space="0"/>
              <w:bottom w:val="single" w:color="auto" w:sz="4" w:space="0"/>
              <w:right w:val="single" w:color="auto" w:sz="4" w:space="0"/>
            </w:tcBorders>
            <w:vAlign w:val="center"/>
          </w:tcPr>
          <w:p w14:paraId="236351C8">
            <w:pPr>
              <w:widowControl/>
              <w:adjustRightInd w:val="0"/>
              <w:snapToGrid w:val="0"/>
              <w:spacing w:after="0" w:line="240" w:lineRule="auto"/>
              <w:jc w:val="center"/>
              <w:rPr>
                <w:rFonts w:hint="eastAsia" w:ascii="宋体" w:hAnsi="宋体" w:cs="宋体"/>
                <w:kern w:val="0"/>
                <w:szCs w:val="21"/>
              </w:rPr>
            </w:pPr>
            <w:r>
              <w:rPr>
                <w:rFonts w:hint="eastAsia" w:ascii="宋体" w:hAnsi="宋体" w:cs="宋体"/>
                <w:kern w:val="0"/>
                <w:szCs w:val="21"/>
              </w:rPr>
              <w:t>级别</w:t>
            </w:r>
          </w:p>
        </w:tc>
        <w:tc>
          <w:tcPr>
            <w:tcW w:w="587" w:type="pct"/>
            <w:tcBorders>
              <w:top w:val="single" w:color="auto" w:sz="4" w:space="0"/>
              <w:left w:val="single" w:color="auto" w:sz="4" w:space="0"/>
              <w:bottom w:val="single" w:color="auto" w:sz="4" w:space="0"/>
              <w:right w:val="single" w:color="auto" w:sz="4" w:space="0"/>
            </w:tcBorders>
            <w:vAlign w:val="center"/>
          </w:tcPr>
          <w:p w14:paraId="34F6CA93">
            <w:pPr>
              <w:widowControl/>
              <w:adjustRightInd w:val="0"/>
              <w:snapToGrid w:val="0"/>
              <w:spacing w:after="0" w:line="240" w:lineRule="auto"/>
              <w:jc w:val="center"/>
              <w:rPr>
                <w:rFonts w:hint="eastAsia" w:ascii="宋体" w:hAnsi="宋体" w:cs="宋体"/>
                <w:kern w:val="0"/>
                <w:szCs w:val="21"/>
              </w:rPr>
            </w:pPr>
            <w:r>
              <w:rPr>
                <w:rFonts w:hint="eastAsia" w:ascii="宋体" w:hAnsi="宋体" w:cs="宋体"/>
                <w:kern w:val="0"/>
                <w:szCs w:val="21"/>
              </w:rPr>
              <w:t>专业</w:t>
            </w:r>
          </w:p>
        </w:tc>
        <w:tc>
          <w:tcPr>
            <w:tcW w:w="465" w:type="pct"/>
            <w:vMerge w:val="continue"/>
            <w:tcBorders>
              <w:left w:val="single" w:color="auto" w:sz="4" w:space="0"/>
              <w:bottom w:val="single" w:color="auto" w:sz="4" w:space="0"/>
              <w:right w:val="single" w:color="auto" w:sz="4" w:space="0"/>
            </w:tcBorders>
            <w:vAlign w:val="center"/>
          </w:tcPr>
          <w:p w14:paraId="7A294DCF">
            <w:pPr>
              <w:widowControl/>
              <w:adjustRightInd w:val="0"/>
              <w:snapToGrid w:val="0"/>
              <w:spacing w:after="0" w:line="240" w:lineRule="auto"/>
              <w:jc w:val="center"/>
              <w:rPr>
                <w:rFonts w:hint="eastAsia" w:ascii="宋体" w:hAnsi="宋体" w:cs="宋体"/>
                <w:kern w:val="0"/>
                <w:sz w:val="21"/>
                <w:szCs w:val="21"/>
              </w:rPr>
            </w:pPr>
          </w:p>
        </w:tc>
      </w:tr>
      <w:tr w14:paraId="69C3D2EE">
        <w:tblPrEx>
          <w:tblCellMar>
            <w:top w:w="0" w:type="dxa"/>
            <w:left w:w="108" w:type="dxa"/>
            <w:bottom w:w="0" w:type="dxa"/>
            <w:right w:w="108" w:type="dxa"/>
          </w:tblCellMar>
        </w:tblPrEx>
        <w:trPr>
          <w:trHeight w:val="575"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6FD65740">
            <w:pPr>
              <w:widowControl/>
              <w:adjustRightInd w:val="0"/>
              <w:snapToGrid w:val="0"/>
              <w:spacing w:line="240" w:lineRule="auto"/>
              <w:jc w:val="center"/>
              <w:rPr>
                <w:rFonts w:ascii="宋体" w:hAnsi="宋体" w:cs="宋体"/>
                <w:kern w:val="0"/>
                <w:szCs w:val="21"/>
              </w:rPr>
            </w:pPr>
            <w:r>
              <w:rPr>
                <w:rFonts w:hint="eastAsia" w:ascii="宋体" w:hAnsi="宋体" w:cs="宋体"/>
                <w:kern w:val="0"/>
                <w:szCs w:val="21"/>
              </w:rPr>
              <w:t>1</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7CBB4A4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项目</w:t>
            </w:r>
          </w:p>
          <w:p w14:paraId="7FEAD40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负责人</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5121F01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vertAlign w:val="baseline"/>
                <w:lang w:val="en-US" w:eastAsia="zh-CN"/>
              </w:rPr>
              <w:t>全永庆</w:t>
            </w:r>
          </w:p>
        </w:tc>
        <w:tc>
          <w:tcPr>
            <w:tcW w:w="829" w:type="pct"/>
            <w:tcBorders>
              <w:top w:val="single" w:color="auto" w:sz="4" w:space="0"/>
              <w:left w:val="single" w:color="auto" w:sz="4" w:space="0"/>
              <w:bottom w:val="single" w:color="auto" w:sz="4" w:space="0"/>
              <w:right w:val="single" w:color="auto" w:sz="4" w:space="0"/>
            </w:tcBorders>
            <w:shd w:val="clear" w:color="auto" w:fill="auto"/>
            <w:vAlign w:val="center"/>
          </w:tcPr>
          <w:p w14:paraId="3882CC4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高级工程师</w:t>
            </w:r>
          </w:p>
        </w:tc>
        <w:tc>
          <w:tcPr>
            <w:tcW w:w="741" w:type="pct"/>
            <w:tcBorders>
              <w:top w:val="single" w:color="auto" w:sz="4" w:space="0"/>
              <w:left w:val="single" w:color="auto" w:sz="4" w:space="0"/>
              <w:bottom w:val="single" w:color="auto" w:sz="4" w:space="0"/>
              <w:right w:val="single" w:color="auto" w:sz="4" w:space="0"/>
            </w:tcBorders>
            <w:shd w:val="clear" w:color="auto" w:fill="auto"/>
            <w:vAlign w:val="center"/>
          </w:tcPr>
          <w:p w14:paraId="33BBC84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注册土木工程师</w:t>
            </w:r>
          </w:p>
          <w:p w14:paraId="4CBF725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eastAsia="zh-CN"/>
              </w:rPr>
              <w:t>（岩土）</w:t>
            </w:r>
          </w:p>
        </w:tc>
        <w:tc>
          <w:tcPr>
            <w:tcW w:w="858" w:type="pct"/>
            <w:tcBorders>
              <w:top w:val="single" w:color="auto" w:sz="4" w:space="0"/>
              <w:left w:val="single" w:color="auto" w:sz="4" w:space="0"/>
              <w:bottom w:val="single" w:color="auto" w:sz="4" w:space="0"/>
              <w:right w:val="single" w:color="auto" w:sz="4" w:space="0"/>
            </w:tcBorders>
            <w:shd w:val="clear" w:color="auto" w:fill="auto"/>
            <w:vAlign w:val="center"/>
          </w:tcPr>
          <w:p w14:paraId="2890E74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AY214401815</w:t>
            </w:r>
          </w:p>
        </w:tc>
        <w:tc>
          <w:tcPr>
            <w:tcW w:w="198" w:type="pct"/>
            <w:tcBorders>
              <w:top w:val="single" w:color="auto" w:sz="4" w:space="0"/>
              <w:left w:val="single" w:color="auto" w:sz="4" w:space="0"/>
              <w:bottom w:val="single" w:color="auto" w:sz="4" w:space="0"/>
              <w:right w:val="single" w:color="auto" w:sz="4" w:space="0"/>
            </w:tcBorders>
            <w:shd w:val="clear" w:color="auto" w:fill="auto"/>
            <w:vAlign w:val="center"/>
          </w:tcPr>
          <w:p w14:paraId="22BB7EF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460B6D4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rPr>
              <w:t>岩土工程勘察</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4F6422FB">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硕士研究生</w:t>
            </w:r>
          </w:p>
        </w:tc>
      </w:tr>
      <w:tr w14:paraId="1C5D94A0">
        <w:tblPrEx>
          <w:tblCellMar>
            <w:top w:w="0" w:type="dxa"/>
            <w:left w:w="108" w:type="dxa"/>
            <w:bottom w:w="0" w:type="dxa"/>
            <w:right w:w="108" w:type="dxa"/>
          </w:tblCellMar>
        </w:tblPrEx>
        <w:trPr>
          <w:trHeight w:val="575"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5771A497">
            <w:pPr>
              <w:widowControl/>
              <w:spacing w:line="240" w:lineRule="auto"/>
              <w:jc w:val="center"/>
              <w:rPr>
                <w:rFonts w:ascii="宋体" w:hAnsi="宋体" w:cs="宋体"/>
                <w:kern w:val="0"/>
                <w:szCs w:val="21"/>
              </w:rPr>
            </w:pPr>
            <w:r>
              <w:rPr>
                <w:rFonts w:hint="eastAsia" w:ascii="宋体" w:hAnsi="宋体" w:cs="宋体"/>
                <w:kern w:val="0"/>
                <w:szCs w:val="21"/>
              </w:rPr>
              <w:t>2</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48328D3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项目技术负责人</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3FBE5AA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eastAsia="zh-CN"/>
              </w:rPr>
              <w:t>陈梦鸥</w:t>
            </w:r>
          </w:p>
        </w:tc>
        <w:tc>
          <w:tcPr>
            <w:tcW w:w="829" w:type="pct"/>
            <w:tcBorders>
              <w:top w:val="single" w:color="auto" w:sz="4" w:space="0"/>
              <w:left w:val="single" w:color="auto" w:sz="4" w:space="0"/>
              <w:bottom w:val="single" w:color="auto" w:sz="4" w:space="0"/>
              <w:right w:val="single" w:color="auto" w:sz="4" w:space="0"/>
            </w:tcBorders>
            <w:shd w:val="clear" w:color="auto" w:fill="auto"/>
            <w:vAlign w:val="center"/>
          </w:tcPr>
          <w:p w14:paraId="69AE9A0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eastAsia="zh-CN"/>
              </w:rPr>
              <w:t>正</w:t>
            </w:r>
            <w:r>
              <w:rPr>
                <w:rFonts w:hint="eastAsia" w:ascii="宋体" w:hAnsi="宋体" w:eastAsia="宋体" w:cs="宋体"/>
                <w:kern w:val="0"/>
                <w:sz w:val="21"/>
                <w:szCs w:val="21"/>
              </w:rPr>
              <w:t>高级</w:t>
            </w:r>
            <w:r>
              <w:rPr>
                <w:rFonts w:hint="eastAsia" w:ascii="宋体" w:hAnsi="宋体" w:eastAsia="宋体" w:cs="宋体"/>
                <w:kern w:val="0"/>
                <w:sz w:val="21"/>
                <w:szCs w:val="21"/>
                <w:lang w:val="en-US" w:eastAsia="zh-CN"/>
              </w:rPr>
              <w:t>工程师</w:t>
            </w:r>
          </w:p>
        </w:tc>
        <w:tc>
          <w:tcPr>
            <w:tcW w:w="741" w:type="pct"/>
            <w:tcBorders>
              <w:top w:val="single" w:color="auto" w:sz="4" w:space="0"/>
              <w:left w:val="single" w:color="auto" w:sz="4" w:space="0"/>
              <w:bottom w:val="single" w:color="auto" w:sz="4" w:space="0"/>
              <w:right w:val="single" w:color="auto" w:sz="4" w:space="0"/>
            </w:tcBorders>
            <w:shd w:val="clear" w:color="auto" w:fill="auto"/>
            <w:vAlign w:val="center"/>
          </w:tcPr>
          <w:p w14:paraId="6028A26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注册土木工程师</w:t>
            </w:r>
          </w:p>
          <w:p w14:paraId="2B28E9C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eastAsia="zh-CN"/>
              </w:rPr>
              <w:t>（岩土）</w:t>
            </w:r>
          </w:p>
        </w:tc>
        <w:tc>
          <w:tcPr>
            <w:tcW w:w="858" w:type="pct"/>
            <w:tcBorders>
              <w:top w:val="single" w:color="auto" w:sz="4" w:space="0"/>
              <w:left w:val="single" w:color="auto" w:sz="4" w:space="0"/>
              <w:bottom w:val="single" w:color="auto" w:sz="4" w:space="0"/>
              <w:right w:val="single" w:color="auto" w:sz="4" w:space="0"/>
            </w:tcBorders>
            <w:shd w:val="clear" w:color="auto" w:fill="auto"/>
            <w:vAlign w:val="center"/>
          </w:tcPr>
          <w:p w14:paraId="636C1C6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AY124400851</w:t>
            </w:r>
          </w:p>
        </w:tc>
        <w:tc>
          <w:tcPr>
            <w:tcW w:w="198" w:type="pct"/>
            <w:tcBorders>
              <w:top w:val="single" w:color="auto" w:sz="4" w:space="0"/>
              <w:left w:val="single" w:color="auto" w:sz="4" w:space="0"/>
              <w:bottom w:val="single" w:color="auto" w:sz="4" w:space="0"/>
              <w:right w:val="single" w:color="auto" w:sz="4" w:space="0"/>
            </w:tcBorders>
            <w:shd w:val="clear" w:color="auto" w:fill="auto"/>
            <w:vAlign w:val="center"/>
          </w:tcPr>
          <w:p w14:paraId="6995675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w:t>
            </w: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1A1B1ED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岩土工程勘察</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6C84A66E">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硕士研究生</w:t>
            </w:r>
          </w:p>
        </w:tc>
      </w:tr>
      <w:tr w14:paraId="35A423F7">
        <w:tblPrEx>
          <w:tblCellMar>
            <w:top w:w="0" w:type="dxa"/>
            <w:left w:w="108" w:type="dxa"/>
            <w:bottom w:w="0" w:type="dxa"/>
            <w:right w:w="108" w:type="dxa"/>
          </w:tblCellMar>
        </w:tblPrEx>
        <w:trPr>
          <w:trHeight w:val="649"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1AD6E6CA">
            <w:pPr>
              <w:widowControl/>
              <w:spacing w:line="240" w:lineRule="auto"/>
              <w:jc w:val="center"/>
              <w:rPr>
                <w:rFonts w:ascii="宋体" w:hAnsi="宋体" w:cs="宋体"/>
                <w:kern w:val="0"/>
                <w:szCs w:val="21"/>
              </w:rPr>
            </w:pPr>
            <w:r>
              <w:rPr>
                <w:rFonts w:hint="eastAsia" w:ascii="宋体" w:hAnsi="宋体" w:cs="宋体"/>
                <w:kern w:val="0"/>
                <w:szCs w:val="21"/>
              </w:rPr>
              <w:t>3</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1A0EBC0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vertAlign w:val="baseline"/>
                <w:lang w:eastAsia="zh-CN"/>
              </w:rPr>
              <w:t>施工现场管理负责人</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vertAlign w:val="baseline"/>
                <w:lang w:eastAsia="zh-CN"/>
              </w:rPr>
              <w:t>审定负责人</w:t>
            </w:r>
            <w:r>
              <w:rPr>
                <w:rFonts w:hint="eastAsia" w:ascii="宋体" w:hAnsi="宋体" w:cs="宋体"/>
                <w:kern w:val="0"/>
                <w:sz w:val="21"/>
                <w:szCs w:val="21"/>
                <w:vertAlign w:val="baseline"/>
                <w:lang w:eastAsia="zh-CN"/>
              </w:rPr>
              <w:t>（</w:t>
            </w:r>
            <w:r>
              <w:rPr>
                <w:rFonts w:hint="eastAsia" w:ascii="宋体" w:hAnsi="宋体" w:eastAsia="宋体" w:cs="宋体"/>
                <w:color w:val="auto"/>
                <w:kern w:val="0"/>
                <w:sz w:val="21"/>
                <w:szCs w:val="21"/>
                <w:lang w:val="en-US" w:eastAsia="zh-CN" w:bidi="ar"/>
              </w:rPr>
              <w:t>岩土工程师</w:t>
            </w:r>
            <w:r>
              <w:rPr>
                <w:rFonts w:hint="eastAsia" w:ascii="宋体" w:hAnsi="宋体" w:cs="宋体"/>
                <w:kern w:val="0"/>
                <w:sz w:val="21"/>
                <w:szCs w:val="21"/>
                <w:vertAlign w:val="baseline"/>
                <w:lang w:eastAsia="zh-CN"/>
              </w:rPr>
              <w:t>）</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176A003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eastAsia="zh-CN"/>
              </w:rPr>
              <w:t>周旺高</w:t>
            </w:r>
          </w:p>
        </w:tc>
        <w:tc>
          <w:tcPr>
            <w:tcW w:w="829" w:type="pct"/>
            <w:tcBorders>
              <w:top w:val="single" w:color="auto" w:sz="4" w:space="0"/>
              <w:left w:val="single" w:color="auto" w:sz="4" w:space="0"/>
              <w:bottom w:val="single" w:color="auto" w:sz="4" w:space="0"/>
              <w:right w:val="single" w:color="auto" w:sz="4" w:space="0"/>
            </w:tcBorders>
            <w:shd w:val="clear" w:color="auto" w:fill="auto"/>
            <w:vAlign w:val="center"/>
          </w:tcPr>
          <w:p w14:paraId="582EA53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snapToGrid/>
                <w:color w:val="auto"/>
                <w:kern w:val="0"/>
                <w:sz w:val="21"/>
                <w:szCs w:val="21"/>
                <w:lang w:val="en-US" w:eastAsia="zh-CN" w:bidi="ar-SA"/>
              </w:rPr>
            </w:pPr>
            <w:r>
              <w:rPr>
                <w:rFonts w:hint="eastAsia" w:ascii="宋体" w:hAnsi="宋体" w:eastAsia="宋体" w:cs="宋体"/>
                <w:kern w:val="0"/>
                <w:sz w:val="21"/>
                <w:szCs w:val="21"/>
                <w:lang w:val="en-US" w:eastAsia="zh-CN"/>
              </w:rPr>
              <w:t>高级工程师</w:t>
            </w:r>
          </w:p>
        </w:tc>
        <w:tc>
          <w:tcPr>
            <w:tcW w:w="741" w:type="pct"/>
            <w:tcBorders>
              <w:top w:val="single" w:color="auto" w:sz="4" w:space="0"/>
              <w:left w:val="single" w:color="auto" w:sz="4" w:space="0"/>
              <w:bottom w:val="single" w:color="auto" w:sz="4" w:space="0"/>
              <w:right w:val="single" w:color="auto" w:sz="4" w:space="0"/>
            </w:tcBorders>
            <w:shd w:val="clear" w:color="auto" w:fill="auto"/>
            <w:vAlign w:val="center"/>
          </w:tcPr>
          <w:p w14:paraId="3A3395E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858" w:type="pct"/>
            <w:tcBorders>
              <w:top w:val="single" w:color="auto" w:sz="4" w:space="0"/>
              <w:left w:val="single" w:color="auto" w:sz="4" w:space="0"/>
              <w:bottom w:val="single" w:color="auto" w:sz="4" w:space="0"/>
              <w:right w:val="single" w:color="auto" w:sz="4" w:space="0"/>
            </w:tcBorders>
            <w:shd w:val="clear" w:color="auto" w:fill="auto"/>
            <w:vAlign w:val="center"/>
          </w:tcPr>
          <w:p w14:paraId="63DAD35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198" w:type="pct"/>
            <w:tcBorders>
              <w:top w:val="single" w:color="auto" w:sz="4" w:space="0"/>
              <w:left w:val="single" w:color="auto" w:sz="4" w:space="0"/>
              <w:bottom w:val="single" w:color="auto" w:sz="4" w:space="0"/>
              <w:right w:val="single" w:color="auto" w:sz="4" w:space="0"/>
            </w:tcBorders>
            <w:shd w:val="clear" w:color="auto" w:fill="auto"/>
            <w:vAlign w:val="center"/>
          </w:tcPr>
          <w:p w14:paraId="251C0AC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24DEA3A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rPr>
              <w:t>岩土工程勘察</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0C7ED61E">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本科</w:t>
            </w:r>
          </w:p>
        </w:tc>
      </w:tr>
      <w:tr w14:paraId="50BC16A3">
        <w:tblPrEx>
          <w:tblCellMar>
            <w:top w:w="0" w:type="dxa"/>
            <w:left w:w="108" w:type="dxa"/>
            <w:bottom w:w="0" w:type="dxa"/>
            <w:right w:w="108" w:type="dxa"/>
          </w:tblCellMar>
        </w:tblPrEx>
        <w:trPr>
          <w:trHeight w:val="649"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76A892B0">
            <w:pPr>
              <w:widowControl/>
              <w:spacing w:line="240" w:lineRule="auto"/>
              <w:jc w:val="center"/>
              <w:rPr>
                <w:rFonts w:ascii="宋体" w:hAnsi="宋体" w:cs="宋体"/>
                <w:kern w:val="0"/>
                <w:szCs w:val="21"/>
              </w:rPr>
            </w:pPr>
            <w:r>
              <w:rPr>
                <w:rFonts w:hint="eastAsia" w:ascii="宋体" w:hAnsi="宋体" w:cs="宋体"/>
                <w:kern w:val="0"/>
                <w:szCs w:val="21"/>
              </w:rPr>
              <w:t>4</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06914C4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vertAlign w:val="baseline"/>
                <w:lang w:eastAsia="zh-CN"/>
              </w:rPr>
              <w:t>审核负责人</w:t>
            </w:r>
            <w:r>
              <w:rPr>
                <w:rFonts w:hint="eastAsia" w:ascii="宋体" w:hAnsi="宋体" w:cs="宋体"/>
                <w:kern w:val="0"/>
                <w:sz w:val="21"/>
                <w:szCs w:val="21"/>
                <w:vertAlign w:val="baseline"/>
                <w:lang w:eastAsia="zh-CN"/>
              </w:rPr>
              <w:t>（</w:t>
            </w:r>
            <w:r>
              <w:rPr>
                <w:rFonts w:hint="eastAsia" w:ascii="宋体" w:hAnsi="宋体" w:eastAsia="宋体" w:cs="宋体"/>
                <w:color w:val="auto"/>
                <w:kern w:val="0"/>
                <w:sz w:val="21"/>
                <w:szCs w:val="21"/>
                <w:lang w:val="en-US" w:eastAsia="zh-CN" w:bidi="ar"/>
              </w:rPr>
              <w:t>岩土工程师</w:t>
            </w:r>
            <w:r>
              <w:rPr>
                <w:rFonts w:hint="eastAsia" w:ascii="宋体" w:hAnsi="宋体" w:cs="宋体"/>
                <w:kern w:val="0"/>
                <w:sz w:val="21"/>
                <w:szCs w:val="21"/>
                <w:vertAlign w:val="baseline"/>
                <w:lang w:eastAsia="zh-CN"/>
              </w:rPr>
              <w:t>）</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2E6CBB5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rPr>
              <w:t>邹辉</w:t>
            </w:r>
          </w:p>
        </w:tc>
        <w:tc>
          <w:tcPr>
            <w:tcW w:w="829" w:type="pct"/>
            <w:tcBorders>
              <w:top w:val="single" w:color="auto" w:sz="4" w:space="0"/>
              <w:left w:val="single" w:color="auto" w:sz="4" w:space="0"/>
              <w:bottom w:val="single" w:color="auto" w:sz="4" w:space="0"/>
              <w:right w:val="single" w:color="auto" w:sz="4" w:space="0"/>
            </w:tcBorders>
            <w:shd w:val="clear" w:color="auto" w:fill="auto"/>
            <w:vAlign w:val="center"/>
          </w:tcPr>
          <w:p w14:paraId="4291343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snapToGrid/>
                <w:color w:val="auto"/>
                <w:kern w:val="0"/>
                <w:sz w:val="21"/>
                <w:szCs w:val="21"/>
                <w:lang w:val="en-US" w:eastAsia="zh-CN" w:bidi="ar-SA"/>
              </w:rPr>
            </w:pPr>
            <w:r>
              <w:rPr>
                <w:rFonts w:hint="eastAsia" w:ascii="宋体" w:hAnsi="宋体" w:eastAsia="宋体" w:cs="宋体"/>
                <w:kern w:val="0"/>
                <w:sz w:val="21"/>
                <w:szCs w:val="21"/>
                <w:lang w:val="en-US" w:eastAsia="zh-CN"/>
              </w:rPr>
              <w:t>高级工程师</w:t>
            </w:r>
          </w:p>
        </w:tc>
        <w:tc>
          <w:tcPr>
            <w:tcW w:w="741" w:type="pct"/>
            <w:tcBorders>
              <w:top w:val="single" w:color="auto" w:sz="4" w:space="0"/>
              <w:left w:val="single" w:color="auto" w:sz="4" w:space="0"/>
              <w:bottom w:val="single" w:color="auto" w:sz="4" w:space="0"/>
              <w:right w:val="single" w:color="auto" w:sz="4" w:space="0"/>
            </w:tcBorders>
            <w:shd w:val="clear" w:color="auto" w:fill="auto"/>
            <w:vAlign w:val="center"/>
          </w:tcPr>
          <w:p w14:paraId="615A6A6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858" w:type="pct"/>
            <w:tcBorders>
              <w:top w:val="single" w:color="auto" w:sz="4" w:space="0"/>
              <w:left w:val="single" w:color="auto" w:sz="4" w:space="0"/>
              <w:bottom w:val="single" w:color="auto" w:sz="4" w:space="0"/>
              <w:right w:val="single" w:color="auto" w:sz="4" w:space="0"/>
            </w:tcBorders>
            <w:shd w:val="clear" w:color="auto" w:fill="auto"/>
            <w:vAlign w:val="center"/>
          </w:tcPr>
          <w:p w14:paraId="39E9573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198" w:type="pct"/>
            <w:tcBorders>
              <w:top w:val="single" w:color="auto" w:sz="4" w:space="0"/>
              <w:left w:val="single" w:color="auto" w:sz="4" w:space="0"/>
              <w:bottom w:val="single" w:color="auto" w:sz="4" w:space="0"/>
              <w:right w:val="single" w:color="auto" w:sz="4" w:space="0"/>
            </w:tcBorders>
            <w:shd w:val="clear" w:color="auto" w:fill="auto"/>
            <w:vAlign w:val="center"/>
          </w:tcPr>
          <w:p w14:paraId="0201130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6F8B530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rPr>
              <w:t>岩土工程勘察</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57A41F96">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本科</w:t>
            </w:r>
          </w:p>
        </w:tc>
      </w:tr>
      <w:tr w14:paraId="1371DFF9">
        <w:tblPrEx>
          <w:tblCellMar>
            <w:top w:w="0" w:type="dxa"/>
            <w:left w:w="108" w:type="dxa"/>
            <w:bottom w:w="0" w:type="dxa"/>
            <w:right w:w="108" w:type="dxa"/>
          </w:tblCellMar>
        </w:tblPrEx>
        <w:trPr>
          <w:trHeight w:val="649"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50E1DFF9">
            <w:pPr>
              <w:widowControl/>
              <w:spacing w:line="240" w:lineRule="auto"/>
              <w:jc w:val="center"/>
              <w:rPr>
                <w:rFonts w:ascii="宋体" w:hAnsi="宋体" w:cs="宋体"/>
                <w:kern w:val="0"/>
                <w:szCs w:val="21"/>
              </w:rPr>
            </w:pPr>
            <w:r>
              <w:rPr>
                <w:rFonts w:hint="eastAsia" w:ascii="宋体" w:hAnsi="宋体" w:cs="宋体"/>
                <w:kern w:val="0"/>
                <w:szCs w:val="21"/>
              </w:rPr>
              <w:t>5</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22A1720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测量、物探</w:t>
            </w:r>
            <w:r>
              <w:rPr>
                <w:rFonts w:hint="eastAsia" w:ascii="宋体" w:hAnsi="宋体" w:eastAsia="宋体" w:cs="宋体"/>
                <w:kern w:val="0"/>
                <w:sz w:val="24"/>
                <w:szCs w:val="24"/>
                <w:lang w:val="en-US" w:eastAsia="zh-CN"/>
              </w:rPr>
              <w:t>专业负责人</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4D80402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eastAsia="zh-CN"/>
              </w:rPr>
              <w:t>林如喜</w:t>
            </w:r>
          </w:p>
        </w:tc>
        <w:tc>
          <w:tcPr>
            <w:tcW w:w="829" w:type="pct"/>
            <w:tcBorders>
              <w:top w:val="single" w:color="auto" w:sz="4" w:space="0"/>
              <w:left w:val="single" w:color="auto" w:sz="4" w:space="0"/>
              <w:bottom w:val="single" w:color="auto" w:sz="4" w:space="0"/>
              <w:right w:val="single" w:color="auto" w:sz="4" w:space="0"/>
            </w:tcBorders>
            <w:shd w:val="clear" w:color="auto" w:fill="auto"/>
            <w:vAlign w:val="center"/>
          </w:tcPr>
          <w:p w14:paraId="385F6CC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snapToGrid/>
                <w:color w:val="auto"/>
                <w:kern w:val="0"/>
                <w:sz w:val="21"/>
                <w:szCs w:val="21"/>
                <w:lang w:val="en-US" w:eastAsia="zh-CN" w:bidi="ar-SA"/>
              </w:rPr>
            </w:pPr>
            <w:r>
              <w:rPr>
                <w:rFonts w:hint="eastAsia" w:ascii="宋体" w:hAnsi="宋体" w:eastAsia="宋体" w:cs="宋体"/>
                <w:kern w:val="0"/>
                <w:sz w:val="21"/>
                <w:szCs w:val="21"/>
                <w:lang w:val="en-US" w:eastAsia="zh-CN"/>
              </w:rPr>
              <w:t>高级工程师</w:t>
            </w:r>
          </w:p>
        </w:tc>
        <w:tc>
          <w:tcPr>
            <w:tcW w:w="741" w:type="pct"/>
            <w:tcBorders>
              <w:top w:val="single" w:color="auto" w:sz="4" w:space="0"/>
              <w:left w:val="single" w:color="auto" w:sz="4" w:space="0"/>
              <w:bottom w:val="single" w:color="auto" w:sz="4" w:space="0"/>
              <w:right w:val="single" w:color="auto" w:sz="4" w:space="0"/>
            </w:tcBorders>
            <w:shd w:val="clear" w:color="auto" w:fill="auto"/>
            <w:vAlign w:val="center"/>
          </w:tcPr>
          <w:p w14:paraId="46BD7A4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eastAsia="zh-CN"/>
              </w:rPr>
              <w:t>注册测绘师</w:t>
            </w:r>
          </w:p>
        </w:tc>
        <w:tc>
          <w:tcPr>
            <w:tcW w:w="858" w:type="pct"/>
            <w:tcBorders>
              <w:top w:val="single" w:color="auto" w:sz="4" w:space="0"/>
              <w:left w:val="single" w:color="auto" w:sz="4" w:space="0"/>
              <w:bottom w:val="single" w:color="auto" w:sz="4" w:space="0"/>
              <w:right w:val="single" w:color="auto" w:sz="4" w:space="0"/>
            </w:tcBorders>
            <w:shd w:val="clear" w:color="auto" w:fill="auto"/>
            <w:vAlign w:val="center"/>
          </w:tcPr>
          <w:p w14:paraId="15DD942C">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Style w:val="10"/>
                <w:rFonts w:hint="eastAsia" w:ascii="宋体" w:hAnsi="宋体" w:eastAsia="宋体" w:cs="宋体"/>
                <w:kern w:val="0"/>
                <w:sz w:val="21"/>
                <w:szCs w:val="21"/>
                <w:lang w:val="en-US" w:eastAsia="zh-CN"/>
              </w:rPr>
              <w:t>154400338（00）</w:t>
            </w:r>
          </w:p>
        </w:tc>
        <w:tc>
          <w:tcPr>
            <w:tcW w:w="198" w:type="pct"/>
            <w:tcBorders>
              <w:top w:val="single" w:color="auto" w:sz="4" w:space="0"/>
              <w:left w:val="single" w:color="auto" w:sz="4" w:space="0"/>
              <w:bottom w:val="single" w:color="auto" w:sz="4" w:space="0"/>
              <w:right w:val="single" w:color="auto" w:sz="4" w:space="0"/>
            </w:tcBorders>
            <w:shd w:val="clear" w:color="auto" w:fill="auto"/>
            <w:vAlign w:val="center"/>
          </w:tcPr>
          <w:p w14:paraId="45C359C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6952DB4C">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rPr>
              <w:t>工程测量</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5B4C7608">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本科</w:t>
            </w:r>
          </w:p>
        </w:tc>
      </w:tr>
      <w:tr w14:paraId="26CF33AA">
        <w:tblPrEx>
          <w:tblCellMar>
            <w:top w:w="0" w:type="dxa"/>
            <w:left w:w="108" w:type="dxa"/>
            <w:bottom w:w="0" w:type="dxa"/>
            <w:right w:w="108" w:type="dxa"/>
          </w:tblCellMar>
        </w:tblPrEx>
        <w:trPr>
          <w:trHeight w:val="649"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5E7589B0">
            <w:pPr>
              <w:widowControl/>
              <w:spacing w:line="240" w:lineRule="auto"/>
              <w:jc w:val="center"/>
              <w:rPr>
                <w:rFonts w:ascii="宋体" w:hAnsi="宋体" w:cs="宋体"/>
                <w:kern w:val="0"/>
                <w:szCs w:val="21"/>
              </w:rPr>
            </w:pPr>
            <w:r>
              <w:rPr>
                <w:rFonts w:hint="eastAsia" w:ascii="宋体" w:hAnsi="宋体" w:cs="宋体"/>
                <w:kern w:val="0"/>
                <w:szCs w:val="21"/>
              </w:rPr>
              <w:t>6</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56CA7D9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项目技术人员</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3ED4388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vertAlign w:val="baseline"/>
                <w:lang w:eastAsia="zh-CN"/>
              </w:rPr>
              <w:t>王康成</w:t>
            </w:r>
          </w:p>
        </w:tc>
        <w:tc>
          <w:tcPr>
            <w:tcW w:w="829" w:type="pct"/>
            <w:tcBorders>
              <w:top w:val="single" w:color="auto" w:sz="4" w:space="0"/>
              <w:left w:val="single" w:color="auto" w:sz="4" w:space="0"/>
              <w:bottom w:val="single" w:color="auto" w:sz="4" w:space="0"/>
              <w:right w:val="single" w:color="auto" w:sz="4" w:space="0"/>
            </w:tcBorders>
            <w:shd w:val="clear" w:color="auto" w:fill="auto"/>
            <w:vAlign w:val="center"/>
          </w:tcPr>
          <w:p w14:paraId="76E3D90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中级工程师</w:t>
            </w:r>
          </w:p>
        </w:tc>
        <w:tc>
          <w:tcPr>
            <w:tcW w:w="741" w:type="pct"/>
            <w:tcBorders>
              <w:top w:val="single" w:color="auto" w:sz="4" w:space="0"/>
              <w:left w:val="single" w:color="auto" w:sz="4" w:space="0"/>
              <w:bottom w:val="single" w:color="auto" w:sz="4" w:space="0"/>
              <w:right w:val="single" w:color="auto" w:sz="4" w:space="0"/>
            </w:tcBorders>
            <w:shd w:val="clear" w:color="auto" w:fill="auto"/>
            <w:vAlign w:val="center"/>
          </w:tcPr>
          <w:p w14:paraId="0F7F31D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eastAsia="zh-CN"/>
              </w:rPr>
              <w:t>注册测绘师</w:t>
            </w:r>
          </w:p>
        </w:tc>
        <w:tc>
          <w:tcPr>
            <w:tcW w:w="858" w:type="pct"/>
            <w:tcBorders>
              <w:top w:val="single" w:color="auto" w:sz="4" w:space="0"/>
              <w:left w:val="single" w:color="auto" w:sz="4" w:space="0"/>
              <w:bottom w:val="single" w:color="auto" w:sz="4" w:space="0"/>
              <w:right w:val="single" w:color="auto" w:sz="4" w:space="0"/>
            </w:tcBorders>
            <w:shd w:val="clear" w:color="auto" w:fill="auto"/>
            <w:vAlign w:val="center"/>
          </w:tcPr>
          <w:p w14:paraId="40309A8F">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bidi="ar-SA"/>
              </w:rPr>
              <w:t>214402010(00)</w:t>
            </w:r>
          </w:p>
        </w:tc>
        <w:tc>
          <w:tcPr>
            <w:tcW w:w="198" w:type="pct"/>
            <w:tcBorders>
              <w:top w:val="single" w:color="auto" w:sz="4" w:space="0"/>
              <w:left w:val="single" w:color="auto" w:sz="4" w:space="0"/>
              <w:bottom w:val="single" w:color="auto" w:sz="4" w:space="0"/>
              <w:right w:val="single" w:color="auto" w:sz="4" w:space="0"/>
            </w:tcBorders>
            <w:shd w:val="clear" w:color="auto" w:fill="auto"/>
            <w:vAlign w:val="center"/>
          </w:tcPr>
          <w:p w14:paraId="107E23F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6AB509F3">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rPr>
              <w:t>工程测量</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2412B5D9">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本科</w:t>
            </w:r>
          </w:p>
        </w:tc>
      </w:tr>
      <w:tr w14:paraId="4F3E43F8">
        <w:tblPrEx>
          <w:tblCellMar>
            <w:top w:w="0" w:type="dxa"/>
            <w:left w:w="108" w:type="dxa"/>
            <w:bottom w:w="0" w:type="dxa"/>
            <w:right w:w="108" w:type="dxa"/>
          </w:tblCellMar>
        </w:tblPrEx>
        <w:trPr>
          <w:trHeight w:val="649"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296F8856">
            <w:pPr>
              <w:widowControl/>
              <w:spacing w:line="240" w:lineRule="auto"/>
              <w:jc w:val="center"/>
              <w:rPr>
                <w:rFonts w:ascii="宋体" w:hAnsi="宋体" w:cs="宋体"/>
                <w:kern w:val="0"/>
                <w:szCs w:val="21"/>
              </w:rPr>
            </w:pPr>
            <w:r>
              <w:rPr>
                <w:rFonts w:hint="eastAsia" w:ascii="宋体" w:hAnsi="宋体" w:cs="宋体"/>
                <w:kern w:val="0"/>
                <w:szCs w:val="21"/>
              </w:rPr>
              <w:t>7</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414A93A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勘察专业负责人</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6C2B92A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rPr>
              <w:t>阴晓冬</w:t>
            </w:r>
          </w:p>
        </w:tc>
        <w:tc>
          <w:tcPr>
            <w:tcW w:w="829" w:type="pct"/>
            <w:tcBorders>
              <w:top w:val="single" w:color="auto" w:sz="4" w:space="0"/>
              <w:left w:val="single" w:color="auto" w:sz="4" w:space="0"/>
              <w:bottom w:val="single" w:color="auto" w:sz="4" w:space="0"/>
              <w:right w:val="single" w:color="auto" w:sz="4" w:space="0"/>
            </w:tcBorders>
            <w:shd w:val="clear" w:color="auto" w:fill="auto"/>
            <w:vAlign w:val="center"/>
          </w:tcPr>
          <w:p w14:paraId="1CB53E5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中级工程师</w:t>
            </w:r>
          </w:p>
        </w:tc>
        <w:tc>
          <w:tcPr>
            <w:tcW w:w="741" w:type="pct"/>
            <w:tcBorders>
              <w:top w:val="single" w:color="auto" w:sz="4" w:space="0"/>
              <w:left w:val="single" w:color="auto" w:sz="4" w:space="0"/>
              <w:bottom w:val="single" w:color="auto" w:sz="4" w:space="0"/>
              <w:right w:val="single" w:color="auto" w:sz="4" w:space="0"/>
            </w:tcBorders>
            <w:shd w:val="clear" w:color="auto" w:fill="auto"/>
            <w:vAlign w:val="center"/>
          </w:tcPr>
          <w:p w14:paraId="731E92A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858" w:type="pct"/>
            <w:tcBorders>
              <w:top w:val="single" w:color="auto" w:sz="4" w:space="0"/>
              <w:left w:val="single" w:color="auto" w:sz="4" w:space="0"/>
              <w:bottom w:val="single" w:color="auto" w:sz="4" w:space="0"/>
              <w:right w:val="single" w:color="auto" w:sz="4" w:space="0"/>
            </w:tcBorders>
            <w:shd w:val="clear" w:color="auto" w:fill="auto"/>
            <w:vAlign w:val="center"/>
          </w:tcPr>
          <w:p w14:paraId="25834E5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198" w:type="pct"/>
            <w:tcBorders>
              <w:top w:val="single" w:color="auto" w:sz="4" w:space="0"/>
              <w:left w:val="single" w:color="auto" w:sz="4" w:space="0"/>
              <w:bottom w:val="single" w:color="auto" w:sz="4" w:space="0"/>
              <w:right w:val="single" w:color="auto" w:sz="4" w:space="0"/>
            </w:tcBorders>
            <w:shd w:val="clear" w:color="auto" w:fill="auto"/>
            <w:vAlign w:val="center"/>
          </w:tcPr>
          <w:p w14:paraId="2C3BFC2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67291311">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rPr>
              <w:t>岩土工程勘察</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07403EFA">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硕士研究生</w:t>
            </w:r>
          </w:p>
        </w:tc>
      </w:tr>
      <w:tr w14:paraId="76D2107F">
        <w:tblPrEx>
          <w:tblCellMar>
            <w:top w:w="0" w:type="dxa"/>
            <w:left w:w="108" w:type="dxa"/>
            <w:bottom w:w="0" w:type="dxa"/>
            <w:right w:w="108" w:type="dxa"/>
          </w:tblCellMar>
        </w:tblPrEx>
        <w:trPr>
          <w:trHeight w:val="649"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73297BE2">
            <w:pPr>
              <w:widowControl/>
              <w:spacing w:line="240" w:lineRule="auto"/>
              <w:jc w:val="center"/>
              <w:rPr>
                <w:rFonts w:ascii="宋体" w:hAnsi="宋体" w:cs="宋体"/>
                <w:kern w:val="0"/>
                <w:szCs w:val="21"/>
              </w:rPr>
            </w:pPr>
            <w:r>
              <w:rPr>
                <w:rFonts w:hint="eastAsia" w:ascii="宋体" w:hAnsi="宋体" w:cs="宋体"/>
                <w:kern w:val="0"/>
                <w:szCs w:val="21"/>
              </w:rPr>
              <w:t>8</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0F341F97">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安全工程师</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6B6153E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rPr>
              <w:t>余成华</w:t>
            </w:r>
          </w:p>
        </w:tc>
        <w:tc>
          <w:tcPr>
            <w:tcW w:w="829" w:type="pct"/>
            <w:tcBorders>
              <w:top w:val="single" w:color="auto" w:sz="4" w:space="0"/>
              <w:left w:val="single" w:color="auto" w:sz="4" w:space="0"/>
              <w:bottom w:val="single" w:color="auto" w:sz="4" w:space="0"/>
              <w:right w:val="single" w:color="auto" w:sz="4" w:space="0"/>
            </w:tcBorders>
            <w:shd w:val="clear" w:color="auto" w:fill="auto"/>
            <w:vAlign w:val="center"/>
          </w:tcPr>
          <w:p w14:paraId="64FA354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正高级工程师</w:t>
            </w:r>
          </w:p>
        </w:tc>
        <w:tc>
          <w:tcPr>
            <w:tcW w:w="741" w:type="pct"/>
            <w:tcBorders>
              <w:top w:val="single" w:color="auto" w:sz="4" w:space="0"/>
              <w:left w:val="single" w:color="auto" w:sz="4" w:space="0"/>
              <w:bottom w:val="single" w:color="auto" w:sz="4" w:space="0"/>
              <w:right w:val="single" w:color="auto" w:sz="4" w:space="0"/>
            </w:tcBorders>
            <w:shd w:val="clear" w:color="auto" w:fill="auto"/>
            <w:vAlign w:val="center"/>
          </w:tcPr>
          <w:p w14:paraId="3F816D3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858" w:type="pct"/>
            <w:tcBorders>
              <w:top w:val="single" w:color="auto" w:sz="4" w:space="0"/>
              <w:left w:val="single" w:color="auto" w:sz="4" w:space="0"/>
              <w:bottom w:val="single" w:color="auto" w:sz="4" w:space="0"/>
              <w:right w:val="single" w:color="auto" w:sz="4" w:space="0"/>
            </w:tcBorders>
            <w:shd w:val="clear" w:color="auto" w:fill="auto"/>
            <w:vAlign w:val="center"/>
          </w:tcPr>
          <w:p w14:paraId="6406C22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198" w:type="pct"/>
            <w:tcBorders>
              <w:top w:val="single" w:color="auto" w:sz="4" w:space="0"/>
              <w:left w:val="single" w:color="auto" w:sz="4" w:space="0"/>
              <w:bottom w:val="single" w:color="auto" w:sz="4" w:space="0"/>
              <w:right w:val="single" w:color="auto" w:sz="4" w:space="0"/>
            </w:tcBorders>
            <w:shd w:val="clear" w:color="auto" w:fill="auto"/>
            <w:vAlign w:val="center"/>
          </w:tcPr>
          <w:p w14:paraId="385BD90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77EDC82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水工环地质</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3F167446">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博士研究生</w:t>
            </w:r>
          </w:p>
        </w:tc>
      </w:tr>
      <w:tr w14:paraId="3C81C528">
        <w:tblPrEx>
          <w:tblCellMar>
            <w:top w:w="0" w:type="dxa"/>
            <w:left w:w="108" w:type="dxa"/>
            <w:bottom w:w="0" w:type="dxa"/>
            <w:right w:w="108" w:type="dxa"/>
          </w:tblCellMar>
        </w:tblPrEx>
        <w:trPr>
          <w:trHeight w:val="649"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25D9F811">
            <w:pPr>
              <w:widowControl/>
              <w:spacing w:line="240" w:lineRule="auto"/>
              <w:jc w:val="center"/>
              <w:rPr>
                <w:rFonts w:ascii="宋体" w:hAnsi="宋体" w:cs="宋体"/>
                <w:kern w:val="0"/>
                <w:szCs w:val="21"/>
              </w:rPr>
            </w:pPr>
            <w:r>
              <w:rPr>
                <w:rFonts w:hint="eastAsia" w:ascii="宋体" w:hAnsi="宋体" w:cs="宋体"/>
                <w:kern w:val="0"/>
                <w:szCs w:val="21"/>
              </w:rPr>
              <w:t>9</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05757D03">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 w:val="0"/>
                <w:bCs w:val="0"/>
                <w:kern w:val="0"/>
                <w:sz w:val="21"/>
                <w:szCs w:val="21"/>
                <w:lang w:val="en-US" w:eastAsia="zh-CN"/>
              </w:rPr>
              <w:t>专职</w:t>
            </w:r>
            <w:r>
              <w:rPr>
                <w:rFonts w:hint="eastAsia" w:ascii="宋体" w:hAnsi="宋体" w:eastAsia="宋体" w:cs="宋体"/>
                <w:b w:val="0"/>
                <w:bCs w:val="0"/>
                <w:kern w:val="0"/>
                <w:sz w:val="21"/>
                <w:szCs w:val="21"/>
              </w:rPr>
              <w:t>安全员</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218E682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 w:val="0"/>
                <w:bCs w:val="0"/>
                <w:kern w:val="0"/>
                <w:sz w:val="21"/>
                <w:szCs w:val="21"/>
              </w:rPr>
              <w:t>冯麟</w:t>
            </w:r>
          </w:p>
        </w:tc>
        <w:tc>
          <w:tcPr>
            <w:tcW w:w="829" w:type="pct"/>
            <w:tcBorders>
              <w:top w:val="single" w:color="auto" w:sz="4" w:space="0"/>
              <w:left w:val="single" w:color="auto" w:sz="4" w:space="0"/>
              <w:bottom w:val="single" w:color="auto" w:sz="4" w:space="0"/>
              <w:right w:val="single" w:color="auto" w:sz="4" w:space="0"/>
            </w:tcBorders>
            <w:shd w:val="clear" w:color="auto" w:fill="auto"/>
            <w:vAlign w:val="center"/>
          </w:tcPr>
          <w:p w14:paraId="74B3D30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高级工程师</w:t>
            </w:r>
          </w:p>
        </w:tc>
        <w:tc>
          <w:tcPr>
            <w:tcW w:w="741" w:type="pct"/>
            <w:tcBorders>
              <w:top w:val="single" w:color="auto" w:sz="4" w:space="0"/>
              <w:left w:val="single" w:color="auto" w:sz="4" w:space="0"/>
              <w:bottom w:val="single" w:color="auto" w:sz="4" w:space="0"/>
              <w:right w:val="single" w:color="auto" w:sz="4" w:space="0"/>
            </w:tcBorders>
            <w:shd w:val="clear" w:color="auto" w:fill="auto"/>
            <w:vAlign w:val="center"/>
          </w:tcPr>
          <w:p w14:paraId="2A18A46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858" w:type="pct"/>
            <w:tcBorders>
              <w:top w:val="single" w:color="auto" w:sz="4" w:space="0"/>
              <w:left w:val="single" w:color="auto" w:sz="4" w:space="0"/>
              <w:bottom w:val="single" w:color="auto" w:sz="4" w:space="0"/>
              <w:right w:val="single" w:color="auto" w:sz="4" w:space="0"/>
            </w:tcBorders>
            <w:shd w:val="clear" w:color="auto" w:fill="auto"/>
            <w:vAlign w:val="center"/>
          </w:tcPr>
          <w:p w14:paraId="3092327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198" w:type="pct"/>
            <w:tcBorders>
              <w:top w:val="single" w:color="auto" w:sz="4" w:space="0"/>
              <w:left w:val="single" w:color="auto" w:sz="4" w:space="0"/>
              <w:bottom w:val="single" w:color="auto" w:sz="4" w:space="0"/>
              <w:right w:val="single" w:color="auto" w:sz="4" w:space="0"/>
            </w:tcBorders>
            <w:shd w:val="clear" w:color="auto" w:fill="auto"/>
            <w:vAlign w:val="center"/>
          </w:tcPr>
          <w:p w14:paraId="53361B2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24B9264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 w:val="0"/>
                <w:bCs w:val="0"/>
                <w:kern w:val="0"/>
                <w:sz w:val="21"/>
                <w:szCs w:val="21"/>
              </w:rPr>
              <w:t>岩土工程勘察</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7187EF21">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本科</w:t>
            </w:r>
          </w:p>
        </w:tc>
      </w:tr>
      <w:tr w14:paraId="4A3BB152">
        <w:tblPrEx>
          <w:tblCellMar>
            <w:top w:w="0" w:type="dxa"/>
            <w:left w:w="108" w:type="dxa"/>
            <w:bottom w:w="0" w:type="dxa"/>
            <w:right w:w="108" w:type="dxa"/>
          </w:tblCellMar>
        </w:tblPrEx>
        <w:trPr>
          <w:trHeight w:val="649"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54F35CB7">
            <w:pPr>
              <w:widowControl/>
              <w:spacing w:line="240" w:lineRule="auto"/>
              <w:jc w:val="center"/>
              <w:rPr>
                <w:rFonts w:ascii="宋体" w:hAnsi="宋体" w:cs="宋体"/>
                <w:kern w:val="0"/>
                <w:szCs w:val="21"/>
              </w:rPr>
            </w:pPr>
            <w:r>
              <w:rPr>
                <w:rFonts w:hint="eastAsia" w:ascii="宋体" w:hAnsi="宋体" w:cs="宋体"/>
                <w:kern w:val="0"/>
                <w:szCs w:val="21"/>
              </w:rPr>
              <w:t>10</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7C918702">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结构工程师</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1371739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 w:val="0"/>
                <w:bCs w:val="0"/>
                <w:kern w:val="0"/>
                <w:sz w:val="21"/>
                <w:szCs w:val="21"/>
                <w:lang w:val="en-US" w:eastAsia="zh-CN"/>
              </w:rPr>
              <w:t>陈旭</w:t>
            </w:r>
          </w:p>
        </w:tc>
        <w:tc>
          <w:tcPr>
            <w:tcW w:w="829" w:type="pct"/>
            <w:tcBorders>
              <w:top w:val="single" w:color="auto" w:sz="4" w:space="0"/>
              <w:left w:val="single" w:color="auto" w:sz="4" w:space="0"/>
              <w:bottom w:val="single" w:color="auto" w:sz="4" w:space="0"/>
              <w:right w:val="single" w:color="auto" w:sz="4" w:space="0"/>
            </w:tcBorders>
            <w:shd w:val="clear" w:color="auto" w:fill="auto"/>
            <w:vAlign w:val="center"/>
          </w:tcPr>
          <w:p w14:paraId="64A220F8">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高级工程师</w:t>
            </w:r>
          </w:p>
        </w:tc>
        <w:tc>
          <w:tcPr>
            <w:tcW w:w="741" w:type="pct"/>
            <w:tcBorders>
              <w:top w:val="single" w:color="auto" w:sz="4" w:space="0"/>
              <w:left w:val="single" w:color="auto" w:sz="4" w:space="0"/>
              <w:bottom w:val="single" w:color="auto" w:sz="4" w:space="0"/>
              <w:right w:val="single" w:color="auto" w:sz="4" w:space="0"/>
            </w:tcBorders>
            <w:shd w:val="clear" w:color="auto" w:fill="auto"/>
            <w:vAlign w:val="center"/>
          </w:tcPr>
          <w:p w14:paraId="10CE20E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858" w:type="pct"/>
            <w:tcBorders>
              <w:top w:val="single" w:color="auto" w:sz="4" w:space="0"/>
              <w:left w:val="single" w:color="auto" w:sz="4" w:space="0"/>
              <w:bottom w:val="single" w:color="auto" w:sz="4" w:space="0"/>
              <w:right w:val="single" w:color="auto" w:sz="4" w:space="0"/>
            </w:tcBorders>
            <w:shd w:val="clear" w:color="auto" w:fill="auto"/>
            <w:vAlign w:val="center"/>
          </w:tcPr>
          <w:p w14:paraId="05F2EAE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198" w:type="pct"/>
            <w:tcBorders>
              <w:top w:val="single" w:color="auto" w:sz="4" w:space="0"/>
              <w:left w:val="single" w:color="auto" w:sz="4" w:space="0"/>
              <w:bottom w:val="single" w:color="auto" w:sz="4" w:space="0"/>
              <w:right w:val="single" w:color="auto" w:sz="4" w:space="0"/>
            </w:tcBorders>
            <w:shd w:val="clear" w:color="auto" w:fill="auto"/>
            <w:vAlign w:val="center"/>
          </w:tcPr>
          <w:p w14:paraId="14BE106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7E2FB46C">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结构设计</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4B021735">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本科</w:t>
            </w:r>
          </w:p>
        </w:tc>
      </w:tr>
    </w:tbl>
    <w:p w14:paraId="1F70D842">
      <w:pPr>
        <w:widowControl/>
        <w:adjustRightInd w:val="0"/>
        <w:snapToGrid w:val="0"/>
        <w:spacing w:line="240" w:lineRule="auto"/>
        <w:ind w:firstLine="420" w:firstLineChars="200"/>
        <w:jc w:val="left"/>
        <w:rPr>
          <w:rFonts w:ascii="宋体" w:hAnsi="宋体" w:cs="楷体_GB2312"/>
          <w:kern w:val="0"/>
          <w:szCs w:val="21"/>
        </w:rPr>
      </w:pPr>
      <w:r>
        <w:rPr>
          <w:rFonts w:hint="eastAsia" w:ascii="宋体" w:hAnsi="宋体" w:cs="楷体_GB2312"/>
          <w:kern w:val="0"/>
          <w:szCs w:val="21"/>
        </w:rPr>
        <w:t>注：1.本表填报项目管理机构应与提交投标文件时投标填报一致。</w:t>
      </w:r>
    </w:p>
    <w:p w14:paraId="59220236">
      <w:pPr>
        <w:rPr>
          <w:rFonts w:ascii="宋体" w:hAnsi="宋体" w:cs="宋体"/>
          <w:b/>
          <w:bCs/>
        </w:rPr>
        <w:sectPr>
          <w:pgSz w:w="11906" w:h="16838"/>
          <w:pgMar w:top="1588" w:right="1588" w:bottom="1361" w:left="1588" w:header="851" w:footer="850" w:gutter="0"/>
          <w:pgNumType w:start="1"/>
          <w:cols w:space="720" w:num="1"/>
          <w:titlePg/>
          <w:docGrid w:linePitch="312" w:charSpace="0"/>
        </w:sectPr>
      </w:pPr>
    </w:p>
    <w:p w14:paraId="0F2E8416">
      <w:pPr>
        <w:adjustRightInd w:val="0"/>
        <w:snapToGrid w:val="0"/>
        <w:spacing w:after="200" w:line="360" w:lineRule="auto"/>
        <w:jc w:val="left"/>
        <w:textAlignment w:val="baseline"/>
        <w:outlineLvl w:val="2"/>
        <w:rPr>
          <w:rFonts w:ascii="宋体" w:hAnsi="宋体"/>
          <w:b/>
          <w:szCs w:val="21"/>
        </w:rPr>
      </w:pPr>
      <w:r>
        <w:rPr>
          <w:rFonts w:hint="eastAsia" w:ascii="宋体" w:hAnsi="宋体"/>
          <w:b/>
          <w:szCs w:val="21"/>
        </w:rPr>
        <w:t>附件8：维护农民工合法权益承诺书</w:t>
      </w:r>
    </w:p>
    <w:p w14:paraId="4DC16955">
      <w:pPr>
        <w:jc w:val="center"/>
        <w:rPr>
          <w:rFonts w:ascii="黑体" w:hAnsi="Calibri" w:eastAsia="黑体"/>
          <w:sz w:val="36"/>
          <w:szCs w:val="24"/>
        </w:rPr>
      </w:pPr>
      <w:r>
        <w:rPr>
          <w:rFonts w:hint="eastAsia" w:ascii="黑体" w:hAnsi="Calibri" w:eastAsia="黑体"/>
          <w:sz w:val="28"/>
          <w:szCs w:val="24"/>
        </w:rPr>
        <w:t>维护农民工合法权益承诺书</w:t>
      </w:r>
    </w:p>
    <w:p w14:paraId="2F11A9C4">
      <w:pPr>
        <w:keepNext w:val="0"/>
        <w:keepLines w:val="0"/>
        <w:pageBreakBefore w:val="0"/>
        <w:widowControl w:val="0"/>
        <w:kinsoku/>
        <w:wordWrap/>
        <w:overflowPunct/>
        <w:topLinePunct w:val="0"/>
        <w:autoSpaceDE/>
        <w:autoSpaceDN/>
        <w:bidi w:val="0"/>
        <w:adjustRightInd/>
        <w:snapToGrid/>
        <w:spacing w:line="500" w:lineRule="exact"/>
        <w:ind w:firstLine="411" w:firstLineChars="196"/>
        <w:textAlignment w:val="auto"/>
        <w:rPr>
          <w:rFonts w:hint="eastAsia" w:ascii="宋体" w:hAnsi="宋体" w:eastAsia="宋体" w:cs="宋体"/>
          <w:sz w:val="21"/>
          <w:szCs w:val="21"/>
          <w:u w:val="none"/>
        </w:rPr>
      </w:pPr>
      <w:r>
        <w:rPr>
          <w:rFonts w:hint="eastAsia" w:ascii="宋体" w:hAnsi="宋体" w:eastAsia="宋体" w:cs="宋体"/>
          <w:sz w:val="21"/>
          <w:szCs w:val="21"/>
          <w:u w:val="none"/>
        </w:rPr>
        <w:t>农民工合法权益，事关人民群众切身利益，事关社会公平正义，事关社会和谐稳定，事关经济和社会发展全局。为维护建设市场秩序，构建行业自律环境，提高社会公德力和企业诚信度，在本单位承建的工程建设中，我们承诺:</w:t>
      </w:r>
    </w:p>
    <w:p w14:paraId="2668EB4F">
      <w:pPr>
        <w:keepNext w:val="0"/>
        <w:keepLines w:val="0"/>
        <w:pageBreakBefore w:val="0"/>
        <w:widowControl w:val="0"/>
        <w:kinsoku/>
        <w:wordWrap/>
        <w:overflowPunct/>
        <w:topLinePunct w:val="0"/>
        <w:autoSpaceDE/>
        <w:autoSpaceDN/>
        <w:bidi w:val="0"/>
        <w:adjustRightInd/>
        <w:snapToGrid/>
        <w:spacing w:line="500" w:lineRule="exact"/>
        <w:ind w:firstLine="411" w:firstLineChars="196"/>
        <w:textAlignment w:val="auto"/>
        <w:rPr>
          <w:rFonts w:hint="eastAsia" w:ascii="宋体" w:hAnsi="宋体" w:eastAsia="宋体" w:cs="宋体"/>
          <w:sz w:val="21"/>
          <w:szCs w:val="21"/>
          <w:u w:val="none"/>
        </w:rPr>
      </w:pPr>
      <w:r>
        <w:rPr>
          <w:rFonts w:hint="eastAsia" w:ascii="宋体" w:hAnsi="宋体" w:eastAsia="宋体" w:cs="宋体"/>
          <w:sz w:val="21"/>
          <w:szCs w:val="21"/>
          <w:u w:val="none"/>
        </w:rPr>
        <w:t>一、严格按照《中华人民共和国劳动法》、《中华人民共和国劳动合同法》和有关规定，经平等协商一致，与所雇佣农民工签订劳动合同。合同条款应包括:劳动合同期限、工作内容和工作时间、劳动保护和劳动条件、劳动报酬、劳动纪律、违反劳动合同的责任等。</w:t>
      </w:r>
    </w:p>
    <w:p w14:paraId="4BF0EF14">
      <w:pPr>
        <w:keepNext w:val="0"/>
        <w:keepLines w:val="0"/>
        <w:pageBreakBefore w:val="0"/>
        <w:widowControl w:val="0"/>
        <w:kinsoku/>
        <w:wordWrap/>
        <w:overflowPunct/>
        <w:topLinePunct w:val="0"/>
        <w:autoSpaceDE/>
        <w:autoSpaceDN/>
        <w:bidi w:val="0"/>
        <w:adjustRightInd/>
        <w:snapToGrid/>
        <w:spacing w:line="500" w:lineRule="exact"/>
        <w:ind w:firstLine="411" w:firstLineChars="196"/>
        <w:textAlignment w:val="auto"/>
        <w:rPr>
          <w:rFonts w:hint="eastAsia" w:ascii="宋体" w:hAnsi="宋体" w:eastAsia="宋体" w:cs="宋体"/>
          <w:sz w:val="21"/>
          <w:szCs w:val="21"/>
          <w:u w:val="none"/>
        </w:rPr>
      </w:pPr>
      <w:r>
        <w:rPr>
          <w:rFonts w:hint="eastAsia" w:ascii="宋体" w:hAnsi="宋体" w:eastAsia="宋体" w:cs="宋体"/>
          <w:sz w:val="21"/>
          <w:szCs w:val="21"/>
          <w:u w:val="none"/>
        </w:rPr>
        <w:t>二、严格按照《中华人民共和国劳动法》、《中华人民共和国劳动合同法》、《建设领域农民工工资支付管理暂行办法》、《工资支付暂行规定》等有关规定雇用农民工，按时、足额向履约农民工支付工资报酬（包括加班、加点工资），支付给农民工的工资不得低于深圳市最低工资标准，不得无故拖欠或克扣农民工工资。拖欠农民工薪酬相关费用一经查实，发包方有权扣回工程款用于直接支付农民工工资。</w:t>
      </w:r>
    </w:p>
    <w:p w14:paraId="2DF972E4">
      <w:pPr>
        <w:keepNext w:val="0"/>
        <w:keepLines w:val="0"/>
        <w:pageBreakBefore w:val="0"/>
        <w:widowControl w:val="0"/>
        <w:kinsoku/>
        <w:wordWrap/>
        <w:overflowPunct/>
        <w:topLinePunct w:val="0"/>
        <w:autoSpaceDE/>
        <w:autoSpaceDN/>
        <w:bidi w:val="0"/>
        <w:adjustRightInd/>
        <w:snapToGrid/>
        <w:spacing w:line="500" w:lineRule="exact"/>
        <w:ind w:firstLine="411" w:firstLineChars="196"/>
        <w:textAlignment w:val="auto"/>
        <w:rPr>
          <w:rFonts w:hint="eastAsia" w:ascii="宋体" w:hAnsi="宋体" w:eastAsia="宋体" w:cs="宋体"/>
          <w:sz w:val="21"/>
          <w:szCs w:val="21"/>
          <w:u w:val="none"/>
        </w:rPr>
      </w:pPr>
      <w:r>
        <w:rPr>
          <w:rFonts w:hint="eastAsia" w:ascii="宋体" w:hAnsi="宋体" w:eastAsia="宋体" w:cs="宋体"/>
          <w:sz w:val="21"/>
          <w:szCs w:val="21"/>
          <w:u w:val="none"/>
        </w:rPr>
        <w:t>三、将工资直接发放给农民工本人，本人因故不能领取工资时，可由其亲属或委托他人代领，也可委托银行发放农民工工资。严禁发放给“包工头”或其他不具备用工主体资格的组织和个人。</w:t>
      </w:r>
    </w:p>
    <w:p w14:paraId="050F6667">
      <w:pPr>
        <w:keepNext w:val="0"/>
        <w:keepLines w:val="0"/>
        <w:pageBreakBefore w:val="0"/>
        <w:widowControl w:val="0"/>
        <w:kinsoku/>
        <w:wordWrap/>
        <w:overflowPunct/>
        <w:topLinePunct w:val="0"/>
        <w:autoSpaceDE/>
        <w:autoSpaceDN/>
        <w:bidi w:val="0"/>
        <w:adjustRightInd/>
        <w:snapToGrid/>
        <w:spacing w:line="500" w:lineRule="exact"/>
        <w:ind w:firstLine="411" w:firstLineChars="196"/>
        <w:textAlignment w:val="auto"/>
        <w:rPr>
          <w:rFonts w:hint="eastAsia" w:ascii="宋体" w:hAnsi="宋体" w:eastAsia="宋体" w:cs="宋体"/>
          <w:sz w:val="21"/>
          <w:szCs w:val="21"/>
          <w:u w:val="none"/>
        </w:rPr>
      </w:pPr>
      <w:r>
        <w:rPr>
          <w:rFonts w:hint="eastAsia" w:ascii="宋体" w:hAnsi="宋体" w:eastAsia="宋体" w:cs="宋体"/>
          <w:sz w:val="21"/>
          <w:szCs w:val="21"/>
          <w:u w:val="none"/>
        </w:rPr>
        <w:t>(一)支付农民工工资应编制工资支付表，如实记录支付单位、支付时间、支付对象、支付数额等工资支付情况，并保存备查。</w:t>
      </w:r>
    </w:p>
    <w:p w14:paraId="552E4413">
      <w:pPr>
        <w:keepNext w:val="0"/>
        <w:keepLines w:val="0"/>
        <w:pageBreakBefore w:val="0"/>
        <w:widowControl w:val="0"/>
        <w:kinsoku/>
        <w:wordWrap/>
        <w:overflowPunct/>
        <w:topLinePunct w:val="0"/>
        <w:autoSpaceDE/>
        <w:autoSpaceDN/>
        <w:bidi w:val="0"/>
        <w:adjustRightInd/>
        <w:snapToGrid/>
        <w:spacing w:line="500" w:lineRule="exact"/>
        <w:ind w:firstLine="411" w:firstLineChars="196"/>
        <w:textAlignment w:val="auto"/>
        <w:rPr>
          <w:rFonts w:hint="eastAsia" w:ascii="宋体" w:hAnsi="宋体" w:eastAsia="宋体" w:cs="宋体"/>
          <w:sz w:val="21"/>
          <w:szCs w:val="21"/>
          <w:u w:val="none"/>
        </w:rPr>
      </w:pPr>
      <w:r>
        <w:rPr>
          <w:rFonts w:hint="eastAsia" w:ascii="宋体" w:hAnsi="宋体" w:eastAsia="宋体" w:cs="宋体"/>
          <w:sz w:val="21"/>
          <w:szCs w:val="21"/>
          <w:u w:val="none"/>
        </w:rPr>
        <w:t>(二)按深圳市政府规定的标准为履约农民工缴纳社会保险（包括基本养老、医疗保险及工伤保险等），同时须为所雇用农民工办理建筑工程人身意外伤害保险。</w:t>
      </w:r>
    </w:p>
    <w:p w14:paraId="7614291D">
      <w:pPr>
        <w:keepNext w:val="0"/>
        <w:keepLines w:val="0"/>
        <w:pageBreakBefore w:val="0"/>
        <w:widowControl w:val="0"/>
        <w:kinsoku/>
        <w:wordWrap/>
        <w:overflowPunct/>
        <w:topLinePunct w:val="0"/>
        <w:autoSpaceDE/>
        <w:autoSpaceDN/>
        <w:bidi w:val="0"/>
        <w:adjustRightInd/>
        <w:snapToGrid/>
        <w:spacing w:line="500" w:lineRule="exact"/>
        <w:ind w:firstLine="411" w:firstLineChars="196"/>
        <w:textAlignment w:val="auto"/>
        <w:rPr>
          <w:rFonts w:hint="eastAsia" w:ascii="宋体" w:hAnsi="宋体" w:eastAsia="宋体" w:cs="宋体"/>
          <w:sz w:val="21"/>
          <w:szCs w:val="21"/>
          <w:u w:val="none"/>
        </w:rPr>
      </w:pPr>
      <w:r>
        <w:rPr>
          <w:rFonts w:hint="eastAsia" w:ascii="宋体" w:hAnsi="宋体" w:eastAsia="宋体" w:cs="宋体"/>
          <w:sz w:val="21"/>
          <w:szCs w:val="21"/>
          <w:u w:val="none"/>
        </w:rPr>
        <w:t>(三)按政策规定和行业要求向履约农民工发放劳动保护器具和费用（包括高温、高危津贴等）；</w:t>
      </w:r>
    </w:p>
    <w:p w14:paraId="276092A6">
      <w:pPr>
        <w:keepNext w:val="0"/>
        <w:keepLines w:val="0"/>
        <w:pageBreakBefore w:val="0"/>
        <w:widowControl w:val="0"/>
        <w:kinsoku/>
        <w:wordWrap/>
        <w:overflowPunct/>
        <w:topLinePunct w:val="0"/>
        <w:autoSpaceDE/>
        <w:autoSpaceDN/>
        <w:bidi w:val="0"/>
        <w:adjustRightInd/>
        <w:snapToGrid/>
        <w:spacing w:line="500" w:lineRule="exact"/>
        <w:ind w:firstLine="411" w:firstLineChars="196"/>
        <w:textAlignment w:val="auto"/>
        <w:rPr>
          <w:rFonts w:hint="eastAsia" w:ascii="宋体" w:hAnsi="宋体" w:eastAsia="宋体" w:cs="宋体"/>
          <w:sz w:val="21"/>
          <w:szCs w:val="21"/>
          <w:u w:val="none"/>
        </w:rPr>
      </w:pPr>
      <w:r>
        <w:rPr>
          <w:rFonts w:hint="eastAsia" w:ascii="宋体" w:hAnsi="宋体" w:eastAsia="宋体" w:cs="宋体"/>
          <w:sz w:val="21"/>
          <w:szCs w:val="21"/>
          <w:u w:val="none"/>
        </w:rPr>
        <w:t>(四)采取安全生产和保卫措施，确保履约农民工照章操作和人身安全。</w:t>
      </w:r>
    </w:p>
    <w:p w14:paraId="7AB0719B">
      <w:pPr>
        <w:keepNext w:val="0"/>
        <w:keepLines w:val="0"/>
        <w:pageBreakBefore w:val="0"/>
        <w:widowControl w:val="0"/>
        <w:kinsoku/>
        <w:wordWrap/>
        <w:overflowPunct/>
        <w:topLinePunct w:val="0"/>
        <w:autoSpaceDE/>
        <w:autoSpaceDN/>
        <w:bidi w:val="0"/>
        <w:adjustRightInd/>
        <w:snapToGrid/>
        <w:spacing w:line="500" w:lineRule="exact"/>
        <w:ind w:firstLine="411" w:firstLineChars="196"/>
        <w:textAlignment w:val="auto"/>
        <w:rPr>
          <w:rFonts w:hint="eastAsia" w:ascii="宋体" w:hAnsi="宋体" w:eastAsia="宋体" w:cs="宋体"/>
          <w:sz w:val="21"/>
          <w:szCs w:val="21"/>
          <w:u w:val="none"/>
        </w:rPr>
      </w:pPr>
      <w:r>
        <w:rPr>
          <w:rFonts w:hint="eastAsia" w:ascii="宋体" w:hAnsi="宋体" w:eastAsia="宋体" w:cs="宋体"/>
          <w:sz w:val="21"/>
          <w:szCs w:val="21"/>
          <w:u w:val="none"/>
        </w:rPr>
        <w:t>四、主动接受发包人及建设主管部门的全方位监督，若发生因我单位违反上述保证事项造成拖欠农民工工资的，我单位承担全部责任，并无条件同意发包人用我单位应得进度款先行垫付农民工工资，并自愿接受建设单位及建设主管部门的处罚。</w:t>
      </w:r>
    </w:p>
    <w:p w14:paraId="1545C9BA">
      <w:pPr>
        <w:keepNext w:val="0"/>
        <w:keepLines w:val="0"/>
        <w:pageBreakBefore w:val="0"/>
        <w:widowControl w:val="0"/>
        <w:kinsoku/>
        <w:wordWrap/>
        <w:overflowPunct/>
        <w:topLinePunct w:val="0"/>
        <w:autoSpaceDE/>
        <w:autoSpaceDN/>
        <w:bidi w:val="0"/>
        <w:adjustRightInd/>
        <w:snapToGrid/>
        <w:spacing w:line="500" w:lineRule="exact"/>
        <w:ind w:firstLine="411" w:firstLineChars="196"/>
        <w:textAlignment w:val="auto"/>
        <w:rPr>
          <w:rFonts w:hint="eastAsia" w:ascii="宋体" w:hAnsi="宋体" w:eastAsia="宋体" w:cs="宋体"/>
          <w:sz w:val="21"/>
          <w:szCs w:val="21"/>
          <w:u w:val="none"/>
        </w:rPr>
      </w:pPr>
    </w:p>
    <w:p w14:paraId="1F860B1E">
      <w:pPr>
        <w:keepNext w:val="0"/>
        <w:keepLines w:val="0"/>
        <w:pageBreakBefore w:val="0"/>
        <w:widowControl w:val="0"/>
        <w:kinsoku/>
        <w:wordWrap/>
        <w:overflowPunct/>
        <w:topLinePunct w:val="0"/>
        <w:autoSpaceDE/>
        <w:autoSpaceDN/>
        <w:bidi w:val="0"/>
        <w:adjustRightInd/>
        <w:snapToGrid/>
        <w:spacing w:line="500" w:lineRule="exact"/>
        <w:ind w:firstLine="411" w:firstLineChars="196"/>
        <w:textAlignment w:val="auto"/>
        <w:rPr>
          <w:rFonts w:hint="eastAsia" w:ascii="宋体" w:hAnsi="宋体" w:eastAsia="宋体" w:cs="宋体"/>
          <w:sz w:val="21"/>
          <w:szCs w:val="21"/>
          <w:u w:val="none"/>
          <w:lang w:eastAsia="zh-CN"/>
        </w:rPr>
      </w:pPr>
      <w:r>
        <w:rPr>
          <w:rFonts w:hint="eastAsia" w:ascii="宋体" w:hAnsi="宋体" w:eastAsia="宋体" w:cs="宋体"/>
          <w:sz w:val="21"/>
          <w:szCs w:val="21"/>
          <w:u w:val="none"/>
        </w:rPr>
        <w:t>承诺人:</w:t>
      </w:r>
      <w:r>
        <w:rPr>
          <w:rFonts w:hint="eastAsia" w:ascii="宋体" w:hAnsi="宋体" w:cs="宋体"/>
          <w:sz w:val="21"/>
          <w:szCs w:val="21"/>
          <w:u w:val="none"/>
          <w:lang w:eastAsia="zh-CN"/>
        </w:rPr>
        <w:t>xxxx</w:t>
      </w:r>
    </w:p>
    <w:p w14:paraId="70BA2FF7">
      <w:pPr>
        <w:keepNext w:val="0"/>
        <w:keepLines w:val="0"/>
        <w:pageBreakBefore w:val="0"/>
        <w:widowControl w:val="0"/>
        <w:kinsoku/>
        <w:wordWrap/>
        <w:overflowPunct/>
        <w:topLinePunct w:val="0"/>
        <w:autoSpaceDE/>
        <w:autoSpaceDN/>
        <w:bidi w:val="0"/>
        <w:adjustRightInd/>
        <w:snapToGrid/>
        <w:spacing w:line="500" w:lineRule="exact"/>
        <w:ind w:firstLine="411" w:firstLineChars="196"/>
        <w:textAlignment w:val="auto"/>
        <w:rPr>
          <w:rFonts w:hint="eastAsia" w:ascii="宋体" w:hAnsi="宋体" w:eastAsia="宋体" w:cs="宋体"/>
          <w:sz w:val="21"/>
          <w:szCs w:val="21"/>
          <w:u w:val="none"/>
        </w:rPr>
      </w:pPr>
      <w:r>
        <w:rPr>
          <w:rFonts w:hint="eastAsia" w:ascii="宋体" w:hAnsi="宋体" w:eastAsia="宋体" w:cs="宋体"/>
          <w:sz w:val="21"/>
          <w:szCs w:val="21"/>
          <w:u w:val="none"/>
        </w:rPr>
        <w:t>单位（章）:</w:t>
      </w:r>
    </w:p>
    <w:p w14:paraId="1F0433F0">
      <w:pPr>
        <w:keepNext w:val="0"/>
        <w:keepLines w:val="0"/>
        <w:pageBreakBefore w:val="0"/>
        <w:widowControl w:val="0"/>
        <w:kinsoku/>
        <w:wordWrap/>
        <w:overflowPunct/>
        <w:topLinePunct w:val="0"/>
        <w:autoSpaceDE/>
        <w:autoSpaceDN/>
        <w:bidi w:val="0"/>
        <w:adjustRightInd/>
        <w:snapToGrid/>
        <w:spacing w:line="500" w:lineRule="exact"/>
        <w:ind w:firstLine="411" w:firstLineChars="196"/>
        <w:textAlignment w:val="auto"/>
        <w:rPr>
          <w:rFonts w:hint="eastAsia" w:ascii="宋体" w:hAnsi="宋体" w:eastAsia="宋体" w:cs="宋体"/>
          <w:sz w:val="21"/>
          <w:szCs w:val="21"/>
          <w:u w:val="none"/>
        </w:rPr>
      </w:pPr>
      <w:r>
        <w:rPr>
          <w:rFonts w:hint="eastAsia" w:ascii="宋体" w:hAnsi="宋体" w:eastAsia="宋体" w:cs="宋体"/>
          <w:sz w:val="21"/>
          <w:szCs w:val="21"/>
          <w:u w:val="none"/>
        </w:rPr>
        <w:t>法定代表人（签字并盖章）:</w:t>
      </w:r>
    </w:p>
    <w:p w14:paraId="150C970E">
      <w:pPr>
        <w:keepNext w:val="0"/>
        <w:keepLines w:val="0"/>
        <w:pageBreakBefore w:val="0"/>
        <w:widowControl w:val="0"/>
        <w:kinsoku/>
        <w:wordWrap/>
        <w:overflowPunct/>
        <w:topLinePunct w:val="0"/>
        <w:autoSpaceDE/>
        <w:autoSpaceDN/>
        <w:bidi w:val="0"/>
        <w:adjustRightInd/>
        <w:snapToGrid/>
        <w:spacing w:line="500" w:lineRule="exact"/>
        <w:ind w:firstLine="411" w:firstLineChars="196"/>
        <w:textAlignment w:val="auto"/>
        <w:rPr>
          <w:rFonts w:hint="eastAsia" w:ascii="宋体" w:hAnsi="宋体" w:eastAsia="宋体" w:cs="宋体"/>
          <w:sz w:val="21"/>
          <w:szCs w:val="21"/>
          <w:u w:val="none"/>
        </w:rPr>
      </w:pPr>
      <w:r>
        <w:rPr>
          <w:rFonts w:hint="eastAsia" w:ascii="宋体" w:hAnsi="宋体" w:eastAsia="宋体" w:cs="宋体"/>
          <w:sz w:val="21"/>
          <w:szCs w:val="21"/>
          <w:u w:val="none"/>
        </w:rPr>
        <w:t>办公电话/手机/:</w:t>
      </w:r>
    </w:p>
    <w:p w14:paraId="78187136">
      <w:pPr>
        <w:keepNext w:val="0"/>
        <w:keepLines w:val="0"/>
        <w:pageBreakBefore w:val="0"/>
        <w:widowControl w:val="0"/>
        <w:kinsoku/>
        <w:wordWrap/>
        <w:overflowPunct/>
        <w:topLinePunct w:val="0"/>
        <w:autoSpaceDE/>
        <w:autoSpaceDN/>
        <w:bidi w:val="0"/>
        <w:adjustRightInd/>
        <w:snapToGrid/>
        <w:spacing w:line="500" w:lineRule="exact"/>
        <w:ind w:firstLine="411" w:firstLineChars="196"/>
        <w:textAlignment w:val="auto"/>
        <w:rPr>
          <w:rFonts w:hint="eastAsia" w:ascii="宋体" w:hAnsi="宋体" w:eastAsia="宋体" w:cs="宋体"/>
          <w:b/>
          <w:kern w:val="0"/>
          <w:sz w:val="21"/>
          <w:szCs w:val="21"/>
          <w:u w:val="none"/>
        </w:rPr>
      </w:pPr>
      <w:r>
        <w:rPr>
          <w:rFonts w:hint="eastAsia" w:ascii="宋体" w:hAnsi="宋体" w:eastAsia="宋体" w:cs="宋体"/>
          <w:sz w:val="21"/>
          <w:szCs w:val="21"/>
          <w:u w:val="none"/>
        </w:rPr>
        <w:t>日期:</w:t>
      </w:r>
      <w:r>
        <w:rPr>
          <w:rFonts w:hint="eastAsia" w:ascii="宋体" w:hAnsi="宋体" w:cs="宋体"/>
          <w:sz w:val="21"/>
          <w:szCs w:val="21"/>
          <w:u w:val="none"/>
          <w:lang w:val="en-US" w:eastAsia="zh-CN"/>
        </w:rPr>
        <w:t>2025</w:t>
      </w:r>
      <w:r>
        <w:rPr>
          <w:rFonts w:hint="eastAsia" w:ascii="宋体" w:hAnsi="宋体" w:eastAsia="宋体" w:cs="宋体"/>
          <w:sz w:val="21"/>
          <w:szCs w:val="21"/>
          <w:u w:val="none"/>
        </w:rPr>
        <w:t>年</w:t>
      </w:r>
      <w:r>
        <w:rPr>
          <w:rFonts w:hint="eastAsia" w:ascii="宋体" w:hAnsi="宋体" w:cs="宋体"/>
          <w:sz w:val="21"/>
          <w:szCs w:val="21"/>
          <w:u w:val="none"/>
          <w:lang w:val="en-US" w:eastAsia="zh-CN"/>
        </w:rPr>
        <w:t xml:space="preserve">   月   日</w:t>
      </w:r>
    </w:p>
    <w:p w14:paraId="54F7A1D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Wingdings 2">
    <w:panose1 w:val="05020102010507070707"/>
    <w:charset w:val="02"/>
    <w:family w:val="roman"/>
    <w:pitch w:val="default"/>
    <w:sig w:usb0="00000000" w:usb1="00000000" w:usb2="00000000" w:usb3="00000000" w:csb0="80000000" w:csb1="00000000"/>
  </w:font>
  <w:font w:name="新宋体-18030">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18030">
    <w:altName w:val="Times New Roman"/>
    <w:panose1 w:val="00000000000000000000"/>
    <w:charset w:val="00"/>
    <w:family w:val="auto"/>
    <w:pitch w:val="default"/>
    <w:sig w:usb0="00000000" w:usb1="00000000" w:usb2="00000000" w:usb3="00000000" w:csb0="00000001" w:csb1="00000000"/>
  </w:font>
  <w:font w:name="楷体_GB2312">
    <w:panose1 w:val="0201060903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032F0">
    <w:pPr>
      <w:pStyle w:val="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D7235">
    <w:pPr>
      <w:autoSpaceDE w:val="0"/>
      <w:autoSpaceDN w:val="0"/>
      <w:spacing w:line="14" w:lineRule="auto"/>
      <w:rPr>
        <w:sz w:val="20"/>
        <w:szCs w:val="21"/>
        <w:lang w:val="zh-CN" w:bidi="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0E8E2">
    <w:pPr>
      <w:autoSpaceDE w:val="0"/>
      <w:autoSpaceDN w:val="0"/>
      <w:spacing w:line="14" w:lineRule="auto"/>
      <w:rPr>
        <w:sz w:val="20"/>
        <w:szCs w:val="21"/>
        <w:lang w:val="zh-CN" w:bidi="zh-CN"/>
      </w:rPr>
    </w:pPr>
    <w:r>
      <w:rPr>
        <w:szCs w:val="21"/>
      </w:rPr>
      <mc:AlternateContent>
        <mc:Choice Requires="wps">
          <w:drawing>
            <wp:anchor distT="0" distB="0" distL="114300" distR="114300" simplePos="0" relativeHeight="251659264" behindDoc="1" locked="0" layoutInCell="1" allowOverlap="1">
              <wp:simplePos x="0" y="0"/>
              <wp:positionH relativeFrom="page">
                <wp:posOffset>1158240</wp:posOffset>
              </wp:positionH>
              <wp:positionV relativeFrom="page">
                <wp:posOffset>509270</wp:posOffset>
              </wp:positionV>
              <wp:extent cx="5261610" cy="168910"/>
              <wp:effectExtent l="0" t="0" r="0" b="0"/>
              <wp:wrapNone/>
              <wp:docPr id="1" name="文本框 1"/>
              <wp:cNvGraphicFramePr/>
              <a:graphic xmlns:a="http://schemas.openxmlformats.org/drawingml/2006/main">
                <a:graphicData uri="http://schemas.microsoft.com/office/word/2010/wordprocessingShape">
                  <wps:wsp>
                    <wps:cNvSpPr txBox="1"/>
                    <wps:spPr>
                      <a:xfrm>
                        <a:off x="0" y="0"/>
                        <a:ext cx="5261610" cy="168910"/>
                      </a:xfrm>
                      <a:prstGeom prst="rect">
                        <a:avLst/>
                      </a:prstGeom>
                      <a:noFill/>
                      <a:ln>
                        <a:noFill/>
                      </a:ln>
                      <a:effectLst/>
                    </wps:spPr>
                    <wps:txbx>
                      <w:txbxContent>
                        <w:p w14:paraId="0284D18E">
                          <w:pPr>
                            <w:tabs>
                              <w:tab w:val="left" w:pos="5827"/>
                              <w:tab w:val="left" w:pos="9765"/>
                            </w:tabs>
                            <w:autoSpaceDE w:val="0"/>
                            <w:autoSpaceDN w:val="0"/>
                            <w:rPr>
                              <w:sz w:val="18"/>
                              <w:lang w:val="zh-CN" w:bidi="zh-CN"/>
                            </w:rPr>
                          </w:pPr>
                        </w:p>
                      </w:txbxContent>
                    </wps:txbx>
                    <wps:bodyPr lIns="0" tIns="0" rIns="0" bIns="0" upright="1"/>
                  </wps:wsp>
                </a:graphicData>
              </a:graphic>
            </wp:anchor>
          </w:drawing>
        </mc:Choice>
        <mc:Fallback>
          <w:pict>
            <v:shape id="_x0000_s1026" o:spid="_x0000_s1026" o:spt="202" type="#_x0000_t202" style="position:absolute;left:0pt;margin-left:91.2pt;margin-top:40.1pt;height:13.3pt;width:414.3pt;mso-position-horizontal-relative:page;mso-position-vertical-relative:page;z-index:-251657216;mso-width-relative:page;mso-height-relative:page;" filled="f" stroked="f" coordsize="21600,21600" o:gfxdata="UEsDBAoAAAAAAIdO4kAAAAAAAAAAAAAAAAAEAAAAZHJzL1BLAwQUAAAACACHTuJArkl49NYAAAAL&#10;AQAADwAAAGRycy9kb3ducmV2LnhtbE2PTU+EMBCG7yb+h2ZMvLktxBBEysYYPZkYWTx4LHQWyNIp&#10;0u6H/97hpLd5M0/ej3J7cZM44RJGTxqSjQKB1Hk7Uq/hs3m9y0GEaMiayRNq+MEA2+r6qjSF9Weq&#10;8bSLvWATCoXRMMQ4F1KGbkBnwsbPSPzb+8WZyHLppV3Mmc3dJFOlMunMSJwwmBmfB+wOu6PT8PRF&#10;9cv4/d5+1Pt6bJoHRW/ZQevbm0Q9goh4iX8wrPW5OlTcqfVHskFMrPP0nlENuUpBrIBKEl7XrleW&#10;g6xK+X9D9QtQSwMEFAAAAAgAh07iQKMTxSu+AQAAgAMAAA4AAABkcnMvZTJvRG9jLnhtbK1TQW7b&#10;MBC8F8gfCN5jWgZqpILlAIWRIkDQFkj7AJqiLAIkl+DSlvyB9gc99dJ73+V3dCnJTppecuiFGu4u&#10;hzuz1Oq2d5YddEQDvuLFbM6Z9gpq43cV//rl7vqGM0zS19KC1xU/auS366s3qy6UegEt2FpHRiQe&#10;yy5UvE0plEKgarWTOIOgPSUbiE4m2sadqKPsiN1ZsZjPl6KDWIcISiNSdDMm+cQYX0MITWOU3oDa&#10;O+3TyBq1lYkkYWsC8vXQbdNolT41DerEbMVJaRpWuoTwNq9ivZLlLsrQGjW1IF/TwgtNThpPl16o&#10;NjJJto/mHypnVASEJs0UODEKGRwhFcX8hTePrQx60EJWY7iYjv+PVn08fI7M1PQSOPPS0cBPP76f&#10;fv4+/frGimxPF7CkqsdAdal/D30uneJIway6b6LLX9LDKE/mHi/m6j4xRcG3i2WxLCilKFcsb94R&#10;JhrxdDpETB80OJZBxSMNb/BUHh4wjaXnknyZhztjLcVlaf1fAeIcI3p4AdPpLGRsOKPUb/tJxRbq&#10;I4mz956MzY/kDOIZbM9gH6LZtdTcYIHIRDSYQcX0iPLkn+8JP/9x1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kl49NYAAAALAQAADwAAAAAAAAABACAAAAAiAAAAZHJzL2Rvd25yZXYueG1sUEsB&#10;AhQAFAAAAAgAh07iQKMTxSu+AQAAgAMAAA4AAAAAAAAAAQAgAAAAJQEAAGRycy9lMm9Eb2MueG1s&#10;UEsFBgAAAAAGAAYAWQEAAFUFAAAAAA==&#10;">
              <v:fill on="f" focussize="0,0"/>
              <v:stroke on="f"/>
              <v:imagedata o:title=""/>
              <o:lock v:ext="edit" aspectratio="f"/>
              <v:textbox inset="0mm,0mm,0mm,0mm">
                <w:txbxContent>
                  <w:p w14:paraId="0284D18E">
                    <w:pPr>
                      <w:tabs>
                        <w:tab w:val="left" w:pos="5827"/>
                        <w:tab w:val="left" w:pos="9765"/>
                      </w:tabs>
                      <w:autoSpaceDE w:val="0"/>
                      <w:autoSpaceDN w:val="0"/>
                      <w:rPr>
                        <w:sz w:val="18"/>
                        <w:lang w:val="zh-CN" w:bidi="zh-CN"/>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306296"/>
    <w:multiLevelType w:val="multilevel"/>
    <w:tmpl w:val="25306296"/>
    <w:lvl w:ilvl="0" w:tentative="0">
      <w:start w:val="1"/>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3F7C3711"/>
    <w:multiLevelType w:val="multilevel"/>
    <w:tmpl w:val="3F7C3711"/>
    <w:lvl w:ilvl="0" w:tentative="0">
      <w:start w:val="1"/>
      <w:numFmt w:val="bullet"/>
      <w:lvlText w:val="-"/>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2">
    <w:nsid w:val="60FF5118"/>
    <w:multiLevelType w:val="multilevel"/>
    <w:tmpl w:val="60FF5118"/>
    <w:lvl w:ilvl="0" w:tentative="0">
      <w:start w:val="1"/>
      <w:numFmt w:val="decimal"/>
      <w:lvlText w:val="（%1）"/>
      <w:lvlJc w:val="left"/>
      <w:pPr>
        <w:ind w:left="1320" w:hanging="420"/>
      </w:pPr>
      <w:rPr>
        <w:rFonts w:hint="default"/>
      </w:rPr>
    </w:lvl>
    <w:lvl w:ilvl="1" w:tentative="0">
      <w:start w:val="1"/>
      <w:numFmt w:val="bullet"/>
      <w:lvlText w:val=""/>
      <w:lvlJc w:val="left"/>
      <w:pPr>
        <w:ind w:left="1740" w:hanging="420"/>
      </w:pPr>
      <w:rPr>
        <w:rFonts w:hint="default" w:ascii="Wingdings" w:hAnsi="Wingdings"/>
      </w:rPr>
    </w:lvl>
    <w:lvl w:ilvl="2" w:tentative="0">
      <w:start w:val="1"/>
      <w:numFmt w:val="bullet"/>
      <w:lvlText w:val=""/>
      <w:lvlJc w:val="left"/>
      <w:pPr>
        <w:ind w:left="2160" w:hanging="420"/>
      </w:pPr>
      <w:rPr>
        <w:rFonts w:hint="default" w:ascii="Wingdings" w:hAnsi="Wingdings"/>
      </w:rPr>
    </w:lvl>
    <w:lvl w:ilvl="3" w:tentative="0">
      <w:start w:val="1"/>
      <w:numFmt w:val="bullet"/>
      <w:lvlText w:val=""/>
      <w:lvlJc w:val="left"/>
      <w:pPr>
        <w:ind w:left="2580" w:hanging="420"/>
      </w:pPr>
      <w:rPr>
        <w:rFonts w:hint="default" w:ascii="Wingdings" w:hAnsi="Wingdings"/>
      </w:rPr>
    </w:lvl>
    <w:lvl w:ilvl="4" w:tentative="0">
      <w:start w:val="1"/>
      <w:numFmt w:val="bullet"/>
      <w:lvlText w:val=""/>
      <w:lvlJc w:val="left"/>
      <w:pPr>
        <w:ind w:left="3000" w:hanging="420"/>
      </w:pPr>
      <w:rPr>
        <w:rFonts w:hint="default" w:ascii="Wingdings" w:hAnsi="Wingdings"/>
      </w:rPr>
    </w:lvl>
    <w:lvl w:ilvl="5" w:tentative="0">
      <w:start w:val="1"/>
      <w:numFmt w:val="bullet"/>
      <w:lvlText w:val=""/>
      <w:lvlJc w:val="left"/>
      <w:pPr>
        <w:ind w:left="3420" w:hanging="420"/>
      </w:pPr>
      <w:rPr>
        <w:rFonts w:hint="default" w:ascii="Wingdings" w:hAnsi="Wingdings"/>
      </w:rPr>
    </w:lvl>
    <w:lvl w:ilvl="6" w:tentative="0">
      <w:start w:val="1"/>
      <w:numFmt w:val="bullet"/>
      <w:lvlText w:val=""/>
      <w:lvlJc w:val="left"/>
      <w:pPr>
        <w:ind w:left="3840" w:hanging="420"/>
      </w:pPr>
      <w:rPr>
        <w:rFonts w:hint="default" w:ascii="Wingdings" w:hAnsi="Wingdings"/>
      </w:rPr>
    </w:lvl>
    <w:lvl w:ilvl="7" w:tentative="0">
      <w:start w:val="1"/>
      <w:numFmt w:val="bullet"/>
      <w:lvlText w:val=""/>
      <w:lvlJc w:val="left"/>
      <w:pPr>
        <w:ind w:left="4260" w:hanging="420"/>
      </w:pPr>
      <w:rPr>
        <w:rFonts w:hint="default" w:ascii="Wingdings" w:hAnsi="Wingdings"/>
      </w:rPr>
    </w:lvl>
    <w:lvl w:ilvl="8" w:tentative="0">
      <w:start w:val="1"/>
      <w:numFmt w:val="bullet"/>
      <w:lvlText w:val=""/>
      <w:lvlJc w:val="left"/>
      <w:pPr>
        <w:ind w:left="4680" w:hanging="420"/>
      </w:pPr>
      <w:rPr>
        <w:rFonts w:hint="default" w:ascii="Wingdings" w:hAnsi="Wingdings"/>
      </w:rPr>
    </w:lvl>
  </w:abstractNum>
  <w:abstractNum w:abstractNumId="3">
    <w:nsid w:val="79D94EB9"/>
    <w:multiLevelType w:val="multilevel"/>
    <w:tmpl w:val="79D94EB9"/>
    <w:lvl w:ilvl="0" w:tentative="0">
      <w:start w:val="1"/>
      <w:numFmt w:val="decimal"/>
      <w:lvlText w:val="%1"/>
      <w:lvlJc w:val="left"/>
      <w:pPr>
        <w:tabs>
          <w:tab w:val="left" w:pos="425"/>
        </w:tabs>
        <w:ind w:left="425" w:hanging="425"/>
      </w:pPr>
      <w:rPr>
        <w:rFonts w:hint="eastAsia" w:ascii="Times New Roman" w:hAnsi="Times New Roman" w:eastAsia="宋体" w:cs="Times New Roman"/>
        <w:b w:val="0"/>
        <w:color w:val="auto"/>
      </w:rPr>
    </w:lvl>
    <w:lvl w:ilvl="1" w:tentative="0">
      <w:start w:val="1"/>
      <w:numFmt w:val="decimal"/>
      <w:lvlText w:val="%1.%2"/>
      <w:lvlJc w:val="left"/>
      <w:pPr>
        <w:tabs>
          <w:tab w:val="left" w:pos="1512"/>
        </w:tabs>
        <w:ind w:left="1512" w:hanging="567"/>
      </w:pPr>
      <w:rPr>
        <w:rFonts w:hint="eastAsia" w:ascii="Times New Roman" w:hAnsi="Times New Roman" w:eastAsia="宋体" w:cs="Times New Roman"/>
        <w:b w:val="0"/>
        <w:color w:val="auto"/>
      </w:rPr>
    </w:lvl>
    <w:lvl w:ilvl="2" w:tentative="0">
      <w:start w:val="1"/>
      <w:numFmt w:val="decimal"/>
      <w:lvlText w:val="(%3)"/>
      <w:lvlJc w:val="left"/>
      <w:pPr>
        <w:tabs>
          <w:tab w:val="left" w:pos="1418"/>
        </w:tabs>
        <w:ind w:left="1418" w:hanging="567"/>
      </w:pPr>
      <w:rPr>
        <w:rFonts w:hint="default" w:cs="Times New Roman"/>
        <w:color w:val="auto"/>
      </w:rPr>
    </w:lvl>
    <w:lvl w:ilvl="3" w:tentative="0">
      <w:start w:val="1"/>
      <w:numFmt w:val="decimal"/>
      <w:lvlText w:val="9.1.%1.%2.%3.%4"/>
      <w:lvlJc w:val="left"/>
      <w:pPr>
        <w:tabs>
          <w:tab w:val="left" w:pos="2356"/>
        </w:tabs>
        <w:ind w:left="1984" w:hanging="708"/>
      </w:pPr>
      <w:rPr>
        <w:rFonts w:hint="eastAsia" w:cs="Times New Roman"/>
      </w:rPr>
    </w:lvl>
    <w:lvl w:ilvl="4" w:tentative="0">
      <w:start w:val="1"/>
      <w:numFmt w:val="decimal"/>
      <w:lvlText w:val="9.1.%1.%2.%3.%4.%5"/>
      <w:lvlJc w:val="left"/>
      <w:pPr>
        <w:tabs>
          <w:tab w:val="left" w:pos="2781"/>
        </w:tabs>
        <w:ind w:left="2551" w:hanging="850"/>
      </w:pPr>
      <w:rPr>
        <w:rFonts w:hint="eastAsia" w:cs="Times New Roman"/>
      </w:rPr>
    </w:lvl>
    <w:lvl w:ilvl="5" w:tentative="0">
      <w:start w:val="1"/>
      <w:numFmt w:val="none"/>
      <w:lvlText w:val=""/>
      <w:lvlJc w:val="left"/>
      <w:pPr>
        <w:tabs>
          <w:tab w:val="left" w:pos="3566"/>
        </w:tabs>
        <w:ind w:left="3260" w:hanging="1134"/>
      </w:pPr>
      <w:rPr>
        <w:rFonts w:hint="eastAsia" w:cs="Times New Roman"/>
      </w:rPr>
    </w:lvl>
    <w:lvl w:ilvl="6" w:tentative="0">
      <w:start w:val="1"/>
      <w:numFmt w:val="decimal"/>
      <w:lvlText w:val="%1.%2.%3.%4.%5.%6.%7"/>
      <w:lvlJc w:val="left"/>
      <w:pPr>
        <w:tabs>
          <w:tab w:val="left" w:pos="3991"/>
        </w:tabs>
        <w:ind w:left="3827" w:hanging="1276"/>
      </w:pPr>
      <w:rPr>
        <w:rFonts w:hint="eastAsia" w:cs="Times New Roman"/>
      </w:rPr>
    </w:lvl>
    <w:lvl w:ilvl="7" w:tentative="0">
      <w:start w:val="1"/>
      <w:numFmt w:val="decimal"/>
      <w:lvlText w:val="%1.%2.%3.%4.%5.%6.%7.%8"/>
      <w:lvlJc w:val="left"/>
      <w:pPr>
        <w:tabs>
          <w:tab w:val="left" w:pos="4776"/>
        </w:tabs>
        <w:ind w:left="4394" w:hanging="1418"/>
      </w:pPr>
      <w:rPr>
        <w:rFonts w:hint="eastAsia" w:cs="Times New Roman"/>
      </w:rPr>
    </w:lvl>
    <w:lvl w:ilvl="8" w:tentative="0">
      <w:start w:val="1"/>
      <w:numFmt w:val="decimal"/>
      <w:lvlText w:val="%1.%2.%3.%4.%5.%6.%7.%8.%9"/>
      <w:lvlJc w:val="left"/>
      <w:pPr>
        <w:tabs>
          <w:tab w:val="left" w:pos="5562"/>
        </w:tabs>
        <w:ind w:left="5102" w:hanging="1700"/>
      </w:pPr>
      <w:rPr>
        <w:rFonts w:hint="eastAsia" w:cs="Times New Roman"/>
      </w:rPr>
    </w:lvl>
  </w:abstractNum>
  <w:abstractNum w:abstractNumId="4">
    <w:nsid w:val="7F6D4BFC"/>
    <w:multiLevelType w:val="multilevel"/>
    <w:tmpl w:val="7F6D4BFC"/>
    <w:lvl w:ilvl="0" w:tentative="0">
      <w:start w:val="1"/>
      <w:numFmt w:val="decimal"/>
      <w:lvlText w:val="（%1）"/>
      <w:lvlJc w:val="left"/>
      <w:pPr>
        <w:ind w:left="1260" w:hanging="420"/>
      </w:pPr>
      <w:rPr>
        <w:rFonts w:hint="default"/>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0OTc3NmRmNGM3Mjg1MmI1ZGU1MWU0OTM3ZTRkZjYifQ=="/>
  </w:docVars>
  <w:rsids>
    <w:rsidRoot w:val="61F266AA"/>
    <w:rsid w:val="00065B3B"/>
    <w:rsid w:val="083E3AC5"/>
    <w:rsid w:val="08AA0BAA"/>
    <w:rsid w:val="0AAD3B12"/>
    <w:rsid w:val="0B5854DB"/>
    <w:rsid w:val="0D3E36C9"/>
    <w:rsid w:val="0FA87B04"/>
    <w:rsid w:val="10EF5A0B"/>
    <w:rsid w:val="113417E7"/>
    <w:rsid w:val="131C20B1"/>
    <w:rsid w:val="1340403C"/>
    <w:rsid w:val="17446E61"/>
    <w:rsid w:val="19586856"/>
    <w:rsid w:val="197C6DE2"/>
    <w:rsid w:val="21F5402B"/>
    <w:rsid w:val="2281745F"/>
    <w:rsid w:val="2B6D3581"/>
    <w:rsid w:val="2EF060AC"/>
    <w:rsid w:val="312A5868"/>
    <w:rsid w:val="33132668"/>
    <w:rsid w:val="33226E62"/>
    <w:rsid w:val="352E7C04"/>
    <w:rsid w:val="3C6839E7"/>
    <w:rsid w:val="428C5664"/>
    <w:rsid w:val="435E0959"/>
    <w:rsid w:val="4B4B3104"/>
    <w:rsid w:val="54C120D0"/>
    <w:rsid w:val="611679E4"/>
    <w:rsid w:val="61F266AA"/>
    <w:rsid w:val="63A6340B"/>
    <w:rsid w:val="692F7608"/>
    <w:rsid w:val="697A57B8"/>
    <w:rsid w:val="69D41BF1"/>
    <w:rsid w:val="7F795B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3"/>
    <w:next w:val="1"/>
    <w:qFormat/>
    <w:uiPriority w:val="0"/>
    <w:pPr>
      <w:jc w:val="center"/>
      <w:outlineLvl w:val="0"/>
    </w:pPr>
    <w:rPr>
      <w:b w:val="0"/>
      <w:sz w:val="32"/>
    </w:rPr>
  </w:style>
  <w:style w:type="paragraph" w:styleId="3">
    <w:name w:val="heading 3"/>
    <w:basedOn w:val="1"/>
    <w:next w:val="1"/>
    <w:qFormat/>
    <w:uiPriority w:val="0"/>
    <w:pPr>
      <w:spacing w:before="240" w:after="240"/>
      <w:ind w:left="720" w:hanging="432"/>
      <w:outlineLvl w:val="2"/>
    </w:pPr>
    <w:rPr>
      <w:b/>
      <w:kern w:val="0"/>
      <w:sz w:val="24"/>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Body Text"/>
    <w:basedOn w:val="1"/>
    <w:next w:val="1"/>
    <w:qFormat/>
    <w:uiPriority w:val="1"/>
    <w:pPr>
      <w:ind w:left="779" w:firstLine="641"/>
      <w:jc w:val="left"/>
    </w:pPr>
    <w:rPr>
      <w:rFonts w:ascii="宋体" w:hAnsi="宋体"/>
      <w:kern w:val="0"/>
      <w:sz w:val="32"/>
      <w:szCs w:val="32"/>
      <w:lang w:eastAsia="en-US"/>
    </w:rPr>
  </w:style>
  <w:style w:type="paragraph" w:styleId="5">
    <w:name w:val="Body Text Indent"/>
    <w:basedOn w:val="1"/>
    <w:qFormat/>
    <w:uiPriority w:val="0"/>
    <w:pPr>
      <w:ind w:firstLine="600" w:firstLineChars="200"/>
    </w:pPr>
    <w:rPr>
      <w:sz w:val="30"/>
    </w:rPr>
  </w:style>
  <w:style w:type="paragraph" w:styleId="6">
    <w:name w:val="Plain Text"/>
    <w:basedOn w:val="1"/>
    <w:qFormat/>
    <w:uiPriority w:val="0"/>
    <w:rPr>
      <w:rFonts w:hAnsi="Courier New" w:cs="Courier New"/>
      <w:szCs w:val="21"/>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Body Text First Indent 2"/>
    <w:basedOn w:val="5"/>
    <w:unhideWhenUsed/>
    <w:qFormat/>
    <w:uiPriority w:val="99"/>
    <w:pPr>
      <w:spacing w:after="120"/>
      <w:ind w:left="420" w:leftChars="200" w:firstLine="420"/>
    </w:pPr>
  </w:style>
  <w:style w:type="paragraph" w:customStyle="1" w:styleId="11">
    <w:name w:val="样式9"/>
    <w:basedOn w:val="1"/>
    <w:next w:val="1"/>
    <w:qFormat/>
    <w:uiPriority w:val="0"/>
    <w:pPr>
      <w:keepNext/>
      <w:keepLines/>
      <w:widowControl/>
      <w:spacing w:before="260" w:after="260" w:line="416" w:lineRule="auto"/>
      <w:jc w:val="left"/>
      <w:outlineLvl w:val="2"/>
    </w:pPr>
    <w:rPr>
      <w:rFonts w:hint="eastAsia" w:ascii="宋体" w:hAnsi="宋体" w:eastAsia="宋体" w:cs="宋体"/>
      <w:b/>
      <w:bCs/>
      <w:kern w:val="0"/>
      <w:sz w:val="30"/>
      <w:szCs w:val="32"/>
      <w:lang w:val="zh-CN"/>
    </w:rPr>
  </w:style>
  <w:style w:type="table" w:customStyle="1" w:styleId="12">
    <w:name w:val="Table Grid_11"/>
    <w:basedOn w:val="9"/>
    <w:qFormat/>
    <w:uiPriority w:val="0"/>
    <w:pPr>
      <w:widowControl w:val="0"/>
      <w:jc w:val="both"/>
    </w:pPr>
    <w:rPr>
      <w:rFonts w:ascii="Times New Roman" w:hAnsi="Times New Roman" w:eastAsia="宋体" w:cs="Times New Roman"/>
      <w:lang w:val="en-US" w:eastAsia="en-US"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
    <w:name w:val="Table Grid_2"/>
    <w:qFormat/>
    <w:uiPriority w:val="0"/>
    <w:pPr>
      <w:widowControl w:val="0"/>
      <w:jc w:val="both"/>
    </w:pPr>
    <w:rPr>
      <w:rFonts w:ascii="Times New Roman" w:hAnsi="Times New Roman" w:eastAsia="宋体" w:cs="Times New Roman"/>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paragraph" w:customStyle="1" w:styleId="14">
    <w:name w:val="章节正文"/>
    <w:basedOn w:val="1"/>
    <w:autoRedefine/>
    <w:qFormat/>
    <w:uiPriority w:val="0"/>
    <w:pPr>
      <w:spacing w:line="360" w:lineRule="auto"/>
      <w:ind w:firstLine="200" w:firstLineChars="200"/>
    </w:pPr>
    <w:rPr>
      <w:rFonts w:ascii="仿宋" w:hAnsi="仿宋" w:eastAsia="仿宋" w:cs="Times New Roman"/>
      <w:color w:val="000000"/>
      <w:sz w:val="28"/>
      <w:szCs w:val="2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34485</Words>
  <Characters>35793</Characters>
  <Lines>0</Lines>
  <Paragraphs>0</Paragraphs>
  <TotalTime>6</TotalTime>
  <ScaleCrop>false</ScaleCrop>
  <LinksUpToDate>false</LinksUpToDate>
  <CharactersWithSpaces>36006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2024-10-11T23:56:00Z</dcterms:created>
  <dc:creator>投资健康</dc:creator>
  <cp:lastModifiedBy>高于堡</cp:lastModifiedBy>
  <cp:lastPrinted>2024-12-25T04:15:00Z</cp:lastPrinted>
  <dcterms:modified xsi:type="dcterms:W3CDTF">2025-05-28T05:17:18Z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76F2B27BD15D4717BC92A4DF4CE0CB3E_13</vt:lpwstr>
  </property>
  <property fmtid="{D5CDD505-2E9C-101B-9397-08002B2CF9AE}" pid="4" name="KSOTemplateDocerSaveRecord">
    <vt:lpwstr>eyJoZGlkIjoiNzc0OTc3NmRmNGM3Mjg1MmI1ZGU1MWU0OTM3ZTRkZjYiLCJ1c2VySWQiOiIzMTAzMDg1NjcifQ==</vt:lpwstr>
  </property>
</Properties>
</file>