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1A2E0D3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项目负责人资质证书</w:t>
            </w:r>
          </w:p>
        </w:tc>
        <w:tc>
          <w:tcPr>
            <w:tcW w:w="5177" w:type="dxa"/>
            <w:shd w:val="clear" w:color="auto" w:fill="auto"/>
            <w:vAlign w:val="center"/>
          </w:tcPr>
          <w:p w14:paraId="59B4C074">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p w14:paraId="32B2C49C">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根据《住房城乡建设部办公厅关于启用注册监理工程师等专业技术人员电子注册证书的通知》（建办厅函〔2025〕13号）文件规定，本工程投标人应提供注册土木工程师（岩土）电子注册证书。注册土木工程师（岩土）下载并打印电子注册证书后，应在个人签名处手写签名，并确保电子证书在有效期内。</w:t>
            </w:r>
          </w:p>
        </w:tc>
      </w:tr>
      <w:tr w14:paraId="2C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3" w:type="dxa"/>
            <w:vMerge w:val="continue"/>
            <w:shd w:val="clear" w:color="auto" w:fill="auto"/>
            <w:vAlign w:val="center"/>
          </w:tcPr>
          <w:p w14:paraId="49E83162">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4FAE596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42AD814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21692189">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40236787">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企业同类工程业绩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提供近5年（从截标之日倒算，以合同签订时间为准）完成的自认为最具代表性的同类房建类勘察</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，且金额大于本项目投标上限价1/2为有效业绩</w:t>
            </w:r>
            <w:r>
              <w:rPr>
                <w:rFonts w:hint="eastAsia" w:ascii="仿宋" w:hAnsi="仿宋" w:eastAsia="仿宋" w:cs="仿宋"/>
                <w:color w:val="auto"/>
                <w:sz w:val="28"/>
                <w:szCs w:val="28"/>
                <w:highlight w:val="none"/>
              </w:rPr>
              <w:t>。业绩不超过</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项，超过</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项只取列表前</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合同关键页，需能体现项目名称、合同签订单位名称、合同金额、工程内容、签订时间等主要信息；</w:t>
            </w:r>
          </w:p>
          <w:p w14:paraId="4AB079D6">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如上述证明材料未能体现主要信息的，则可另行补充由项目建设单位出具的证明材料进行辅证，投标人自行出具的证明材料无效。</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本项目至少需配置项目负责人、技术负责人、结构工程师、岩土工程师、安全工程师等5名专业人员。</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727351C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①项目管理团队人员的任职资格材料（相关执业资格证、职称证书、学历证书复印件盖公章等）；</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②在本单位连续缴纳的投标截止日前3个月的社保证明文件。</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4DE05553">
            <w:pPr>
              <w:keepNext w:val="0"/>
              <w:keepLines w:val="0"/>
              <w:widowControl/>
              <w:suppressLineNumbers w:val="0"/>
              <w:spacing w:before="0" w:beforeAutospacing="0" w:after="0" w:afterAutospacing="0" w:line="500" w:lineRule="exact"/>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技术方案：需包含项目建设背景及勘察解读的认识、项目的重难点分析；勘察思路；勘察工期计划及保障工期措施。</w:t>
            </w:r>
          </w:p>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原件扫描件盖公章，格式自拟。</w:t>
            </w:r>
          </w:p>
        </w:tc>
      </w:tr>
    </w:tbl>
    <w:p w14:paraId="0207F68B">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6A947DA6">
      <w:pPr>
        <w:adjustRightInd w:val="0"/>
        <w:snapToGrid w:val="0"/>
        <w:spacing w:after="200" w:line="360" w:lineRule="auto"/>
        <w:outlineLvl w:val="2"/>
        <w:rPr>
          <w:rFonts w:hint="eastAsia" w:ascii="仿宋" w:hAnsi="仿宋" w:eastAsia="仿宋" w:cs="仿宋"/>
          <w:b/>
          <w:bCs/>
          <w:color w:val="auto"/>
          <w:highlight w:val="none"/>
        </w:rPr>
      </w:pPr>
      <w:r>
        <w:rPr>
          <w:rFonts w:hint="eastAsia" w:ascii="仿宋" w:hAnsi="仿宋" w:eastAsia="仿宋" w:cs="仿宋"/>
          <w:b/>
          <w:color w:val="auto"/>
          <w:sz w:val="72"/>
          <w:highlight w:val="none"/>
        </w:rPr>
        <w:br w:type="page"/>
      </w:r>
    </w:p>
    <w:p w14:paraId="16B1DAFB">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p>
    <w:p w14:paraId="130CBB92">
      <w:pPr>
        <w:adjustRightInd w:val="0"/>
        <w:snapToGrid w:val="0"/>
        <w:spacing w:line="360" w:lineRule="auto"/>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投标报价</w:t>
      </w:r>
      <w:r>
        <w:rPr>
          <w:rFonts w:hint="eastAsia" w:ascii="仿宋" w:hAnsi="仿宋" w:eastAsia="仿宋" w:cs="仿宋"/>
          <w:b/>
          <w:color w:val="auto"/>
          <w:sz w:val="30"/>
          <w:szCs w:val="30"/>
          <w:highlight w:val="none"/>
          <w:lang w:val="en-US" w:eastAsia="zh-CN"/>
        </w:rPr>
        <w:t>书</w:t>
      </w:r>
    </w:p>
    <w:p w14:paraId="2C29424C">
      <w:pPr>
        <w:pStyle w:val="19"/>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致招标人: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p>
    <w:p w14:paraId="3013DA57">
      <w:pPr>
        <w:adjustRightInd w:val="0"/>
        <w:snapToGrid w:val="0"/>
        <w:spacing w:beforeLines="50" w:line="360" w:lineRule="auto"/>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1.经分析研究招标人提供的本次公告内容，本投标人就 </w:t>
      </w:r>
      <w:r>
        <w:rPr>
          <w:rFonts w:hint="eastAsia" w:ascii="仿宋" w:hAnsi="仿宋" w:eastAsia="仿宋" w:cs="仿宋"/>
          <w:color w:val="auto"/>
          <w:highlight w:val="none"/>
          <w:u w:val="single"/>
          <w:lang w:eastAsia="zh-CN"/>
        </w:rPr>
        <w:t>国际医疗器械城工1地块项目（勘察）</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的报价见下表所列：</w:t>
      </w:r>
    </w:p>
    <w:tbl>
      <w:tblPr>
        <w:tblStyle w:val="39"/>
        <w:tblW w:w="11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32"/>
        <w:gridCol w:w="1463"/>
        <w:gridCol w:w="1431"/>
        <w:gridCol w:w="1385"/>
        <w:gridCol w:w="1592"/>
        <w:gridCol w:w="969"/>
        <w:gridCol w:w="1120"/>
        <w:gridCol w:w="1453"/>
      </w:tblGrid>
      <w:tr w14:paraId="053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042" w:type="dxa"/>
            <w:gridSpan w:val="9"/>
            <w:tcBorders>
              <w:tl2br w:val="nil"/>
              <w:tr2bl w:val="nil"/>
            </w:tcBorders>
            <w:shd w:val="clear" w:color="auto" w:fill="auto"/>
            <w:vAlign w:val="center"/>
          </w:tcPr>
          <w:p w14:paraId="6CD42A2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国际医疗器械城工1地块项目（勘察）</w:t>
            </w:r>
            <w:r>
              <w:rPr>
                <w:rFonts w:hint="eastAsia" w:ascii="仿宋" w:hAnsi="仿宋" w:eastAsia="仿宋" w:cs="仿宋"/>
                <w:b/>
                <w:bCs/>
                <w:color w:val="auto"/>
                <w:kern w:val="0"/>
                <w:sz w:val="24"/>
                <w:szCs w:val="24"/>
                <w:lang w:val="en-US" w:eastAsia="zh-CN"/>
              </w:rPr>
              <w:t xml:space="preserve"> </w:t>
            </w:r>
            <w:r>
              <w:rPr>
                <w:rFonts w:hint="eastAsia" w:ascii="仿宋" w:hAnsi="仿宋" w:eastAsia="仿宋" w:cs="仿宋"/>
                <w:b/>
                <w:bCs/>
                <w:color w:val="auto"/>
                <w:kern w:val="0"/>
                <w:sz w:val="24"/>
                <w:szCs w:val="24"/>
              </w:rPr>
              <w:t>投标报价明细</w:t>
            </w:r>
          </w:p>
        </w:tc>
      </w:tr>
      <w:tr w14:paraId="423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97" w:type="dxa"/>
            <w:vMerge w:val="restart"/>
            <w:tcBorders>
              <w:tl2br w:val="nil"/>
              <w:tr2bl w:val="nil"/>
            </w:tcBorders>
            <w:shd w:val="clear" w:color="auto" w:fill="auto"/>
            <w:vAlign w:val="center"/>
          </w:tcPr>
          <w:p w14:paraId="3DDD45C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1032" w:type="dxa"/>
            <w:vMerge w:val="restart"/>
            <w:tcBorders>
              <w:tl2br w:val="nil"/>
              <w:tr2bl w:val="nil"/>
            </w:tcBorders>
            <w:shd w:val="clear" w:color="auto" w:fill="auto"/>
            <w:vAlign w:val="center"/>
          </w:tcPr>
          <w:p w14:paraId="08A6935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宗地名称</w:t>
            </w:r>
          </w:p>
        </w:tc>
        <w:tc>
          <w:tcPr>
            <w:tcW w:w="1463" w:type="dxa"/>
            <w:vMerge w:val="restart"/>
            <w:tcBorders>
              <w:tl2br w:val="nil"/>
              <w:tr2bl w:val="nil"/>
            </w:tcBorders>
            <w:shd w:val="clear" w:color="auto" w:fill="auto"/>
            <w:vAlign w:val="center"/>
          </w:tcPr>
          <w:p w14:paraId="6F8D8ECA">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占地面积（㎡）</w:t>
            </w:r>
          </w:p>
        </w:tc>
        <w:tc>
          <w:tcPr>
            <w:tcW w:w="4408" w:type="dxa"/>
            <w:gridSpan w:val="3"/>
            <w:tcBorders>
              <w:tl2br w:val="nil"/>
              <w:tr2bl w:val="nil"/>
            </w:tcBorders>
            <w:shd w:val="clear" w:color="auto" w:fill="auto"/>
            <w:vAlign w:val="center"/>
          </w:tcPr>
          <w:p w14:paraId="712B31D2">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招标控制价含税</w:t>
            </w:r>
            <w:r>
              <w:rPr>
                <w:rFonts w:hint="eastAsia" w:ascii="仿宋" w:hAnsi="仿宋" w:eastAsia="仿宋" w:cs="仿宋"/>
                <w:color w:val="auto"/>
                <w:kern w:val="0"/>
                <w:sz w:val="24"/>
                <w:szCs w:val="24"/>
              </w:rPr>
              <w:t>（元）</w:t>
            </w:r>
          </w:p>
        </w:tc>
        <w:tc>
          <w:tcPr>
            <w:tcW w:w="969" w:type="dxa"/>
            <w:vMerge w:val="restart"/>
            <w:tcBorders>
              <w:tl2br w:val="nil"/>
              <w:tr2bl w:val="nil"/>
            </w:tcBorders>
            <w:shd w:val="clear" w:color="auto" w:fill="auto"/>
            <w:vAlign w:val="center"/>
          </w:tcPr>
          <w:p w14:paraId="14FD012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投标下浮率（%）</w:t>
            </w:r>
          </w:p>
        </w:tc>
        <w:tc>
          <w:tcPr>
            <w:tcW w:w="1120" w:type="dxa"/>
            <w:vMerge w:val="restart"/>
            <w:tcBorders>
              <w:tl2br w:val="nil"/>
              <w:tr2bl w:val="nil"/>
            </w:tcBorders>
            <w:shd w:val="clear" w:color="auto" w:fill="auto"/>
            <w:vAlign w:val="center"/>
          </w:tcPr>
          <w:p w14:paraId="218BF3F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投标报价（元）</w:t>
            </w:r>
          </w:p>
        </w:tc>
        <w:tc>
          <w:tcPr>
            <w:tcW w:w="1453" w:type="dxa"/>
            <w:vMerge w:val="restart"/>
            <w:tcBorders>
              <w:tl2br w:val="nil"/>
              <w:tr2bl w:val="nil"/>
            </w:tcBorders>
            <w:shd w:val="clear" w:color="auto" w:fill="auto"/>
            <w:vAlign w:val="center"/>
          </w:tcPr>
          <w:p w14:paraId="6FB9A20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备注</w:t>
            </w:r>
          </w:p>
        </w:tc>
      </w:tr>
      <w:tr w14:paraId="4B75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97" w:type="dxa"/>
            <w:vMerge w:val="continue"/>
            <w:tcBorders>
              <w:tl2br w:val="nil"/>
              <w:tr2bl w:val="nil"/>
            </w:tcBorders>
            <w:vAlign w:val="center"/>
          </w:tcPr>
          <w:p w14:paraId="0B26931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032" w:type="dxa"/>
            <w:vMerge w:val="continue"/>
            <w:tcBorders>
              <w:tl2br w:val="nil"/>
              <w:tr2bl w:val="nil"/>
            </w:tcBorders>
            <w:vAlign w:val="center"/>
          </w:tcPr>
          <w:p w14:paraId="0A0FB4A3">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463" w:type="dxa"/>
            <w:vMerge w:val="continue"/>
            <w:tcBorders>
              <w:tl2br w:val="nil"/>
              <w:tr2bl w:val="nil"/>
            </w:tcBorders>
            <w:shd w:val="clear" w:color="auto" w:fill="auto"/>
            <w:vAlign w:val="center"/>
          </w:tcPr>
          <w:p w14:paraId="246D27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431" w:type="dxa"/>
            <w:tcBorders>
              <w:tl2br w:val="nil"/>
              <w:tr2bl w:val="nil"/>
            </w:tcBorders>
            <w:shd w:val="clear" w:color="auto" w:fill="auto"/>
            <w:vAlign w:val="center"/>
          </w:tcPr>
          <w:p w14:paraId="550594E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勘察费</w:t>
            </w:r>
          </w:p>
        </w:tc>
        <w:tc>
          <w:tcPr>
            <w:tcW w:w="1385" w:type="dxa"/>
            <w:tcBorders>
              <w:tl2br w:val="nil"/>
              <w:tr2bl w:val="nil"/>
            </w:tcBorders>
            <w:shd w:val="clear" w:color="auto" w:fill="auto"/>
            <w:vAlign w:val="center"/>
          </w:tcPr>
          <w:p w14:paraId="52967D1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地质灾害评估费</w:t>
            </w:r>
          </w:p>
        </w:tc>
        <w:tc>
          <w:tcPr>
            <w:tcW w:w="1592" w:type="dxa"/>
            <w:tcBorders>
              <w:tl2br w:val="nil"/>
              <w:tr2bl w:val="nil"/>
            </w:tcBorders>
            <w:shd w:val="clear" w:color="auto" w:fill="auto"/>
            <w:vAlign w:val="center"/>
          </w:tcPr>
          <w:p w14:paraId="3C14754F">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969" w:type="dxa"/>
            <w:vMerge w:val="continue"/>
            <w:tcBorders>
              <w:tl2br w:val="nil"/>
              <w:tr2bl w:val="nil"/>
            </w:tcBorders>
            <w:vAlign w:val="center"/>
          </w:tcPr>
          <w:p w14:paraId="1F8B1CCD">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120" w:type="dxa"/>
            <w:vMerge w:val="continue"/>
            <w:tcBorders>
              <w:tl2br w:val="nil"/>
              <w:tr2bl w:val="nil"/>
            </w:tcBorders>
            <w:vAlign w:val="center"/>
          </w:tcPr>
          <w:p w14:paraId="59A2CE96">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c>
          <w:tcPr>
            <w:tcW w:w="1453" w:type="dxa"/>
            <w:vMerge w:val="continue"/>
            <w:tcBorders>
              <w:tl2br w:val="nil"/>
              <w:tr2bl w:val="nil"/>
            </w:tcBorders>
            <w:vAlign w:val="center"/>
          </w:tcPr>
          <w:p w14:paraId="11901FC4">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rPr>
            </w:pPr>
          </w:p>
        </w:tc>
      </w:tr>
      <w:tr w14:paraId="79DF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597" w:type="dxa"/>
            <w:tcBorders>
              <w:tl2br w:val="nil"/>
              <w:tr2bl w:val="nil"/>
            </w:tcBorders>
            <w:shd w:val="clear" w:color="auto" w:fill="auto"/>
            <w:vAlign w:val="center"/>
          </w:tcPr>
          <w:p w14:paraId="63766C5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w:t>
            </w:r>
          </w:p>
        </w:tc>
        <w:tc>
          <w:tcPr>
            <w:tcW w:w="1032" w:type="dxa"/>
            <w:tcBorders>
              <w:tl2br w:val="nil"/>
              <w:tr2bl w:val="nil"/>
            </w:tcBorders>
            <w:shd w:val="clear" w:color="auto" w:fill="auto"/>
            <w:vAlign w:val="center"/>
          </w:tcPr>
          <w:p w14:paraId="280DEEC0">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18-18</w:t>
            </w:r>
          </w:p>
        </w:tc>
        <w:tc>
          <w:tcPr>
            <w:tcW w:w="1463" w:type="dxa"/>
            <w:tcBorders>
              <w:tl2br w:val="nil"/>
              <w:tr2bl w:val="nil"/>
            </w:tcBorders>
            <w:shd w:val="clear" w:color="auto" w:fill="auto"/>
            <w:vAlign w:val="center"/>
          </w:tcPr>
          <w:p w14:paraId="3107240E">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21,906.30</w:t>
            </w:r>
          </w:p>
        </w:tc>
        <w:tc>
          <w:tcPr>
            <w:tcW w:w="1431" w:type="dxa"/>
            <w:tcBorders>
              <w:tl2br w:val="nil"/>
              <w:tr2bl w:val="nil"/>
            </w:tcBorders>
            <w:shd w:val="clear" w:color="auto" w:fill="auto"/>
            <w:vAlign w:val="center"/>
          </w:tcPr>
          <w:p w14:paraId="1C5BC5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 xml:space="preserve">649,740.86 </w:t>
            </w:r>
          </w:p>
        </w:tc>
        <w:tc>
          <w:tcPr>
            <w:tcW w:w="1385" w:type="dxa"/>
            <w:tcBorders>
              <w:tl2br w:val="nil"/>
              <w:tr2bl w:val="nil"/>
            </w:tcBorders>
            <w:shd w:val="clear" w:color="auto" w:fill="auto"/>
            <w:vAlign w:val="center"/>
          </w:tcPr>
          <w:p w14:paraId="16AA112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63,529.41</w:t>
            </w:r>
          </w:p>
        </w:tc>
        <w:tc>
          <w:tcPr>
            <w:tcW w:w="1592" w:type="dxa"/>
            <w:tcBorders>
              <w:tl2br w:val="nil"/>
              <w:tr2bl w:val="nil"/>
            </w:tcBorders>
            <w:shd w:val="clear" w:color="auto" w:fill="auto"/>
            <w:vAlign w:val="center"/>
          </w:tcPr>
          <w:p w14:paraId="56D780F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 xml:space="preserve">713,270.27 </w:t>
            </w:r>
          </w:p>
        </w:tc>
        <w:tc>
          <w:tcPr>
            <w:tcW w:w="969" w:type="dxa"/>
            <w:tcBorders>
              <w:tl2br w:val="nil"/>
              <w:tr2bl w:val="nil"/>
            </w:tcBorders>
            <w:shd w:val="clear" w:color="auto" w:fill="auto"/>
            <w:vAlign w:val="center"/>
          </w:tcPr>
          <w:p w14:paraId="1A3595C7">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p>
        </w:tc>
        <w:tc>
          <w:tcPr>
            <w:tcW w:w="1120" w:type="dxa"/>
            <w:tcBorders>
              <w:tl2br w:val="nil"/>
              <w:tr2bl w:val="nil"/>
            </w:tcBorders>
            <w:shd w:val="clear" w:color="auto" w:fill="auto"/>
            <w:vAlign w:val="center"/>
          </w:tcPr>
          <w:p w14:paraId="6792CF1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p>
        </w:tc>
        <w:tc>
          <w:tcPr>
            <w:tcW w:w="1453" w:type="dxa"/>
            <w:tcBorders>
              <w:tl2br w:val="nil"/>
              <w:tr2bl w:val="nil"/>
            </w:tcBorders>
            <w:shd w:val="clear" w:color="auto" w:fill="auto"/>
            <w:vAlign w:val="center"/>
          </w:tcPr>
          <w:p w14:paraId="6D452B43">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投标下浮率保留2位小数；</w:t>
            </w:r>
            <w:r>
              <w:rPr>
                <w:rFonts w:hint="eastAsia" w:ascii="仿宋" w:hAnsi="仿宋" w:eastAsia="仿宋" w:cs="仿宋"/>
                <w:color w:val="auto"/>
                <w:kern w:val="0"/>
                <w:sz w:val="24"/>
                <w:szCs w:val="24"/>
              </w:rPr>
              <w:br w:type="textWrapping"/>
            </w:r>
            <w:r>
              <w:rPr>
                <w:rFonts w:hint="eastAsia" w:ascii="仿宋" w:hAnsi="仿宋" w:eastAsia="仿宋" w:cs="仿宋"/>
                <w:color w:val="auto"/>
                <w:kern w:val="0"/>
                <w:sz w:val="24"/>
                <w:szCs w:val="24"/>
              </w:rPr>
              <w:t>投标报价保留2位小数。</w:t>
            </w:r>
          </w:p>
        </w:tc>
      </w:tr>
    </w:tbl>
    <w:p w14:paraId="79D1B51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2.投标下浮率=（1-投标报价/招标控制价）×100%，</w:t>
      </w:r>
      <w:r>
        <w:rPr>
          <w:rFonts w:hint="eastAsia" w:ascii="仿宋" w:hAnsi="仿宋" w:eastAsia="仿宋" w:cs="仿宋"/>
          <w:b/>
          <w:bCs w:val="0"/>
          <w:color w:val="auto"/>
          <w:highlight w:val="none"/>
          <w:lang w:val="en-US" w:eastAsia="zh-CN"/>
        </w:rPr>
        <w:t>投标下浮率≥15%</w:t>
      </w:r>
      <w:r>
        <w:rPr>
          <w:rFonts w:hint="eastAsia" w:ascii="仿宋" w:hAnsi="仿宋" w:eastAsia="仿宋" w:cs="仿宋"/>
          <w:bCs/>
          <w:color w:val="auto"/>
          <w:highlight w:val="none"/>
          <w:lang w:val="en-US" w:eastAsia="zh-CN"/>
        </w:rPr>
        <w:t>。</w:t>
      </w:r>
    </w:p>
    <w:p w14:paraId="7D0E86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3.地质灾害评估服项目结算时，未发生不予支付本项费用；如发生，按该项目服务价包干结算。</w:t>
      </w:r>
    </w:p>
    <w:p w14:paraId="601DDB87">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.以上报价为本投标人在</w:t>
      </w:r>
      <w:r>
        <w:rPr>
          <w:rFonts w:hint="eastAsia" w:ascii="仿宋" w:hAnsi="仿宋" w:eastAsia="仿宋" w:cs="仿宋"/>
          <w:bCs/>
          <w:color w:val="auto"/>
          <w:highlight w:val="none"/>
          <w:lang w:val="en-US" w:eastAsia="zh-CN"/>
        </w:rPr>
        <w:t>合同</w:t>
      </w:r>
      <w:r>
        <w:rPr>
          <w:rFonts w:hint="eastAsia" w:ascii="仿宋" w:hAnsi="仿宋" w:eastAsia="仿宋" w:cs="仿宋"/>
          <w:bCs/>
          <w:color w:val="auto"/>
          <w:highlight w:val="none"/>
        </w:rPr>
        <w:t>要求期限内完成约定的全部工作的总费用</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本项目采用</w:t>
      </w:r>
      <w:r>
        <w:rPr>
          <w:rFonts w:hint="eastAsia" w:ascii="仿宋" w:hAnsi="仿宋" w:eastAsia="仿宋" w:cs="仿宋"/>
          <w:b/>
          <w:bCs w:val="0"/>
          <w:color w:val="auto"/>
          <w:highlight w:val="none"/>
        </w:rPr>
        <w:t>总价包干</w:t>
      </w:r>
      <w:r>
        <w:rPr>
          <w:rFonts w:hint="eastAsia" w:ascii="仿宋" w:hAnsi="仿宋" w:eastAsia="仿宋" w:cs="仿宋"/>
          <w:bCs/>
          <w:color w:val="auto"/>
          <w:highlight w:val="none"/>
        </w:rPr>
        <w:t>。</w:t>
      </w:r>
    </w:p>
    <w:p w14:paraId="0A1D4F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.如招标人接受本投标人的投标，本投标人将保证遵循国家和省、市相关法律、法规的要求和公告要求完成相关的勘察工作。</w:t>
      </w:r>
    </w:p>
    <w:p w14:paraId="693194DC">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.在正式的合同协议制定和签署前，本报价连同招标人的中标通知书应为约束贵、我双方的合同文件。</w:t>
      </w:r>
    </w:p>
    <w:p w14:paraId="11BC7C0E">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Cs/>
          <w:color w:val="auto"/>
          <w:highlight w:val="none"/>
        </w:rPr>
      </w:pPr>
      <w:r>
        <w:rPr>
          <w:rFonts w:hint="eastAsia" w:ascii="仿宋" w:hAnsi="仿宋" w:eastAsia="仿宋" w:cs="仿宋"/>
          <w:b w:val="0"/>
          <w:bCs/>
          <w:color w:val="auto"/>
          <w:highlight w:val="none"/>
          <w:lang w:val="en-US" w:eastAsia="zh-CN"/>
        </w:rPr>
        <w:t>7</w:t>
      </w:r>
      <w:r>
        <w:rPr>
          <w:rFonts w:hint="eastAsia" w:ascii="仿宋" w:hAnsi="仿宋" w:eastAsia="仿宋" w:cs="仿宋"/>
          <w:b w:val="0"/>
          <w:bCs/>
          <w:color w:val="auto"/>
          <w:highlight w:val="none"/>
        </w:rPr>
        <w:t>.本投标人理解，招标人不一定接受最低标价的投标或招标人可能接受其他任何投标。</w:t>
      </w:r>
    </w:p>
    <w:p w14:paraId="4AB3A9D2">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 xml:space="preserve">投标人（公章）： </w:t>
      </w:r>
    </w:p>
    <w:p w14:paraId="0A160872">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法人代表人或其授权委托代理人（签章）：</w:t>
      </w:r>
    </w:p>
    <w:p w14:paraId="1C957839">
      <w:pPr>
        <w:keepNext w:val="0"/>
        <w:keepLines w:val="0"/>
        <w:pageBreakBefore w:val="0"/>
        <w:widowControl/>
        <w:kinsoku/>
        <w:wordWrap/>
        <w:overflowPunct/>
        <w:topLinePunct w:val="0"/>
        <w:autoSpaceDE/>
        <w:autoSpaceDN/>
        <w:bidi w:val="0"/>
        <w:adjustRightInd w:val="0"/>
        <w:snapToGrid w:val="0"/>
        <w:spacing w:line="440" w:lineRule="exact"/>
        <w:ind w:firstLine="2520" w:firstLineChars="1050"/>
        <w:textAlignment w:val="auto"/>
        <w:rPr>
          <w:rFonts w:hint="eastAsia" w:ascii="仿宋" w:hAnsi="仿宋" w:eastAsia="仿宋" w:cs="仿宋"/>
          <w:bCs/>
          <w:color w:val="auto"/>
          <w:highlight w:val="none"/>
        </w:rPr>
      </w:pPr>
      <w:r>
        <w:rPr>
          <w:rFonts w:hint="eastAsia" w:ascii="仿宋" w:hAnsi="仿宋" w:eastAsia="仿宋" w:cs="仿宋"/>
          <w:bCs/>
          <w:color w:val="auto"/>
          <w:highlight w:val="none"/>
        </w:rPr>
        <w:t>日期：    年    月    日</w:t>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深圳市新龙观投资发展有限公司</w:t>
      </w:r>
      <w:r>
        <w:rPr>
          <w:rFonts w:hint="eastAsia" w:ascii="仿宋" w:hAnsi="仿宋" w:eastAsia="仿宋" w:cs="仿宋"/>
          <w:bCs/>
          <w:color w:val="auto"/>
          <w:szCs w:val="24"/>
          <w:highlight w:val="none"/>
          <w:u w:val="single"/>
        </w:rPr>
        <w:t xml:space="preserve"> </w:t>
      </w:r>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为了确保本项目工作顺利进行，我方将严格执行建设工程招标投标管理的法律法规，并完全接受 </w:t>
      </w:r>
      <w:r>
        <w:rPr>
          <w:rFonts w:hint="eastAsia" w:ascii="仿宋" w:hAnsi="仿宋" w:eastAsia="仿宋" w:cs="仿宋"/>
          <w:color w:val="auto"/>
          <w:highlight w:val="none"/>
          <w:u w:val="single"/>
          <w:lang w:eastAsia="zh-CN"/>
        </w:rPr>
        <w:t>国</w:t>
      </w:r>
      <w:bookmarkStart w:id="2" w:name="_GoBack"/>
      <w:bookmarkEnd w:id="2"/>
      <w:r>
        <w:rPr>
          <w:rFonts w:hint="eastAsia" w:ascii="仿宋" w:hAnsi="仿宋" w:eastAsia="仿宋" w:cs="仿宋"/>
          <w:color w:val="auto"/>
          <w:highlight w:val="none"/>
          <w:u w:val="single"/>
          <w:lang w:eastAsia="zh-CN"/>
        </w:rPr>
        <w:t>际医疗器械城工1地块项目（勘察）</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w:t>
      </w:r>
      <w:r>
        <w:rPr>
          <w:rFonts w:hint="eastAsia" w:ascii="仿宋" w:hAnsi="仿宋" w:eastAsia="仿宋" w:cs="仿宋"/>
          <w:color w:val="auto"/>
          <w:szCs w:val="24"/>
          <w:highlight w:val="none"/>
        </w:rPr>
        <w:t>勘察</w:t>
      </w:r>
      <w:r>
        <w:rPr>
          <w:rFonts w:hint="eastAsia" w:ascii="仿宋" w:hAnsi="仿宋" w:eastAsia="仿宋" w:cs="仿宋"/>
          <w:bCs/>
          <w:color w:val="auto"/>
          <w:szCs w:val="24"/>
          <w:highlight w:val="none"/>
        </w:rPr>
        <w:t>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0E9573D5">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972" w:type="dxa"/>
            <w:vMerge w:val="restart"/>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上岗资格证明</w:t>
            </w:r>
          </w:p>
        </w:tc>
        <w:tc>
          <w:tcPr>
            <w:tcW w:w="852" w:type="dxa"/>
            <w:vMerge w:val="restart"/>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2" w:type="dxa"/>
            <w:vMerge w:val="continue"/>
            <w:tcBorders>
              <w:tl2br w:val="nil"/>
              <w:tr2bl w:val="nil"/>
            </w:tcBorders>
            <w:vAlign w:val="center"/>
          </w:tcPr>
          <w:p w14:paraId="5ADE91A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c>
          <w:tcPr>
            <w:tcW w:w="852" w:type="dxa"/>
            <w:vMerge w:val="continue"/>
            <w:tcBorders>
              <w:tl2br w:val="nil"/>
              <w:tr2bl w:val="nil"/>
            </w:tcBorders>
            <w:vAlign w:val="center"/>
          </w:tcPr>
          <w:p w14:paraId="7433D7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89F6B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813718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39D213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07057D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6</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D3BE7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5F1B6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7</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EDD82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F1AA3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8</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33C47A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A2BEE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9</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29C99C6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4CD374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10</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0C09411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8AA043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73C9914E">
      <w:pPr>
        <w:spacing w:after="160" w:line="259" w:lineRule="auto"/>
        <w:rPr>
          <w:rFonts w:hint="eastAsia" w:ascii="仿宋" w:hAnsi="仿宋" w:eastAsia="仿宋" w:cs="仿宋"/>
          <w:b/>
          <w:bCs/>
          <w:color w:val="auto"/>
          <w:sz w:val="20"/>
          <w:szCs w:val="21"/>
          <w:highlight w:val="none"/>
          <w:u w:val="single"/>
        </w:rPr>
      </w:pPr>
    </w:p>
    <w:p w14:paraId="1947BDB9">
      <w:pPr>
        <w:adjustRightInd w:val="0"/>
        <w:snapToGrid w:val="0"/>
        <w:spacing w:after="160" w:line="259" w:lineRule="auto"/>
        <w:rPr>
          <w:rFonts w:hint="eastAsia" w:ascii="仿宋" w:hAnsi="仿宋" w:eastAsia="仿宋" w:cs="仿宋"/>
          <w:color w:val="auto"/>
          <w:szCs w:val="21"/>
          <w:highlight w:val="none"/>
        </w:rPr>
      </w:pP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8781212"/>
    <w:rsid w:val="0BA54A32"/>
    <w:rsid w:val="0BE86D4E"/>
    <w:rsid w:val="0C310E3E"/>
    <w:rsid w:val="0C35153B"/>
    <w:rsid w:val="0DA561D2"/>
    <w:rsid w:val="0DC15D5B"/>
    <w:rsid w:val="0E3171A6"/>
    <w:rsid w:val="0E8C2983"/>
    <w:rsid w:val="0F6312AA"/>
    <w:rsid w:val="13045D3F"/>
    <w:rsid w:val="14E43FDD"/>
    <w:rsid w:val="158E77BD"/>
    <w:rsid w:val="162F1114"/>
    <w:rsid w:val="170E5125"/>
    <w:rsid w:val="1A9F12D3"/>
    <w:rsid w:val="1BE53701"/>
    <w:rsid w:val="1C2A7F54"/>
    <w:rsid w:val="1CCF4178"/>
    <w:rsid w:val="1D6844B4"/>
    <w:rsid w:val="1EBB75CE"/>
    <w:rsid w:val="1ED22314"/>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244531"/>
    <w:rsid w:val="43D0398D"/>
    <w:rsid w:val="45667135"/>
    <w:rsid w:val="46E32E9F"/>
    <w:rsid w:val="47641B2B"/>
    <w:rsid w:val="47CD7F1F"/>
    <w:rsid w:val="48F62585"/>
    <w:rsid w:val="4B0E0DC8"/>
    <w:rsid w:val="4DFC7C7F"/>
    <w:rsid w:val="4F413665"/>
    <w:rsid w:val="4F592071"/>
    <w:rsid w:val="4F9175E5"/>
    <w:rsid w:val="502554F0"/>
    <w:rsid w:val="506C24D8"/>
    <w:rsid w:val="546927A2"/>
    <w:rsid w:val="550F51D5"/>
    <w:rsid w:val="555B7E46"/>
    <w:rsid w:val="558B6E5B"/>
    <w:rsid w:val="566F7C0D"/>
    <w:rsid w:val="57B9118C"/>
    <w:rsid w:val="58BC2DE9"/>
    <w:rsid w:val="5C3564DB"/>
    <w:rsid w:val="60D31E48"/>
    <w:rsid w:val="651D6886"/>
    <w:rsid w:val="67094815"/>
    <w:rsid w:val="69566308"/>
    <w:rsid w:val="6A7A3105"/>
    <w:rsid w:val="6B3510E1"/>
    <w:rsid w:val="6B3746A2"/>
    <w:rsid w:val="6B580ED5"/>
    <w:rsid w:val="6BAB09F8"/>
    <w:rsid w:val="6BCA3550"/>
    <w:rsid w:val="6BCC6F77"/>
    <w:rsid w:val="6C221049"/>
    <w:rsid w:val="6D2F4FBD"/>
    <w:rsid w:val="6E76103F"/>
    <w:rsid w:val="6EF62979"/>
    <w:rsid w:val="6FD4146E"/>
    <w:rsid w:val="70CD1BFC"/>
    <w:rsid w:val="715C660A"/>
    <w:rsid w:val="72891F08"/>
    <w:rsid w:val="73B12054"/>
    <w:rsid w:val="740341CE"/>
    <w:rsid w:val="743D0DC0"/>
    <w:rsid w:val="74651459"/>
    <w:rsid w:val="748F0377"/>
    <w:rsid w:val="74EA7F3B"/>
    <w:rsid w:val="754C58E3"/>
    <w:rsid w:val="755C498D"/>
    <w:rsid w:val="770546E4"/>
    <w:rsid w:val="795B7EA5"/>
    <w:rsid w:val="7B934359"/>
    <w:rsid w:val="7C6D6C5F"/>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3">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4">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6">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8">
    <w:name w:val="heading 7"/>
    <w:basedOn w:val="1"/>
    <w:next w:val="1"/>
    <w:link w:val="53"/>
    <w:qFormat/>
    <w:uiPriority w:val="0"/>
    <w:pPr>
      <w:keepNext/>
      <w:keepLines/>
      <w:spacing w:before="240" w:after="64" w:line="320" w:lineRule="auto"/>
      <w:outlineLvl w:val="6"/>
    </w:pPr>
    <w:rPr>
      <w:b/>
      <w:bCs/>
      <w:lang w:val="zh-CN"/>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0">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440"/>
    </w:pPr>
    <w:rPr>
      <w:sz w:val="18"/>
      <w:szCs w:val="18"/>
    </w:rPr>
  </w:style>
  <w:style w:type="paragraph" w:styleId="12">
    <w:name w:val="Normal Indent"/>
    <w:basedOn w:val="1"/>
    <w:qFormat/>
    <w:uiPriority w:val="0"/>
    <w:pPr>
      <w:ind w:firstLine="420"/>
    </w:pPr>
    <w:rPr>
      <w:szCs w:val="20"/>
    </w:rPr>
  </w:style>
  <w:style w:type="paragraph" w:styleId="13">
    <w:name w:val="Document Map"/>
    <w:basedOn w:val="1"/>
    <w:link w:val="59"/>
    <w:qFormat/>
    <w:uiPriority w:val="0"/>
    <w:pPr>
      <w:shd w:val="clear" w:color="auto" w:fill="000080"/>
    </w:pPr>
    <w:rPr>
      <w:rFonts w:eastAsiaTheme="minorEastAsia" w:cstheme="minorBidi"/>
    </w:rPr>
  </w:style>
  <w:style w:type="paragraph" w:styleId="14">
    <w:name w:val="annotation text"/>
    <w:basedOn w:val="1"/>
    <w:link w:val="56"/>
    <w:qFormat/>
    <w:uiPriority w:val="0"/>
    <w:rPr>
      <w:rFonts w:eastAsiaTheme="minorEastAsia" w:cstheme="minorBidi"/>
    </w:rPr>
  </w:style>
  <w:style w:type="paragraph" w:styleId="15">
    <w:name w:val="Body Text"/>
    <w:basedOn w:val="1"/>
    <w:link w:val="68"/>
    <w:qFormat/>
    <w:uiPriority w:val="0"/>
    <w:pPr>
      <w:spacing w:line="320" w:lineRule="exact"/>
    </w:pPr>
    <w:rPr>
      <w:b/>
      <w:bCs/>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2"/>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3"/>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4"/>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5"/>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6"/>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7"/>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8"/>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9"/>
    <w:qFormat/>
    <w:uiPriority w:val="0"/>
    <w:rPr>
      <w:rFonts w:ascii="Arial" w:hAnsi="Arial" w:eastAsia="黑体" w:cs="Times New Roman"/>
      <w:kern w:val="0"/>
      <w:sz w:val="24"/>
      <w:szCs w:val="24"/>
      <w:lang w:val="zh-CN" w:eastAsia="zh-CN"/>
    </w:rPr>
  </w:style>
  <w:style w:type="character" w:customStyle="1" w:styleId="55">
    <w:name w:val="标题 9 Char"/>
    <w:basedOn w:val="41"/>
    <w:link w:val="10"/>
    <w:qFormat/>
    <w:uiPriority w:val="0"/>
    <w:rPr>
      <w:rFonts w:ascii="Arial" w:hAnsi="Arial" w:eastAsia="黑体" w:cs="Times New Roman"/>
      <w:kern w:val="0"/>
      <w:szCs w:val="21"/>
      <w:lang w:val="zh-CN" w:eastAsia="zh-CN"/>
    </w:rPr>
  </w:style>
  <w:style w:type="character" w:customStyle="1" w:styleId="56">
    <w:name w:val="批注文字 Char"/>
    <w:link w:val="14"/>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3"/>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15"/>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8</Pages>
  <Words>2164</Words>
  <Characters>2247</Characters>
  <Lines>25</Lines>
  <Paragraphs>7</Paragraphs>
  <TotalTime>0</TotalTime>
  <ScaleCrop>false</ScaleCrop>
  <LinksUpToDate>false</LinksUpToDate>
  <CharactersWithSpaces>2282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高于堡</cp:lastModifiedBy>
  <cp:lastPrinted>2021-10-22T01:12:00Z</cp:lastPrinted>
  <dcterms:modified xsi:type="dcterms:W3CDTF">2025-07-01T09:45:16Z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