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9C8BD">
      <w:pPr>
        <w:pStyle w:val="5"/>
        <w:keepLines w:val="0"/>
        <w:widowControl w:val="0"/>
        <w:rPr>
          <w:rFonts w:ascii="宋体" w:hAnsi="宋体" w:cs="宋体"/>
        </w:rPr>
      </w:pPr>
      <w:r>
        <w:rPr>
          <w:rFonts w:hint="eastAsia" w:ascii="方正小标宋简体" w:hAnsi="方正小标宋简体" w:eastAsia="方正小标宋简体" w:cs="方正小标宋简体"/>
          <w:b w:val="0"/>
          <w:color w:val="auto"/>
          <w:kern w:val="2"/>
          <w:sz w:val="44"/>
          <w:szCs w:val="44"/>
        </w:rPr>
        <w:t>深圳时尚小镇美憬阁精选酒店2025年月饼礼盒</w:t>
      </w:r>
      <w:r>
        <w:rPr>
          <w:rFonts w:hint="eastAsia" w:ascii="方正小标宋简体" w:hAnsi="方正小标宋简体" w:eastAsia="方正小标宋简体" w:cs="方正小标宋简体"/>
          <w:b w:val="0"/>
          <w:color w:val="auto"/>
          <w:kern w:val="2"/>
          <w:sz w:val="44"/>
          <w:szCs w:val="44"/>
          <w:lang w:val="en-US" w:eastAsia="zh-CN"/>
        </w:rPr>
        <w:t>采购</w:t>
      </w:r>
      <w:r>
        <w:rPr>
          <w:rFonts w:hint="eastAsia" w:ascii="方正小标宋简体" w:hAnsi="方正小标宋简体" w:eastAsia="方正小标宋简体" w:cs="方正小标宋简体"/>
          <w:b w:val="0"/>
          <w:color w:val="auto"/>
          <w:kern w:val="2"/>
          <w:sz w:val="44"/>
          <w:szCs w:val="44"/>
        </w:rPr>
        <w:t>合同</w:t>
      </w:r>
    </w:p>
    <w:p w14:paraId="36A69EAA">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71A261F1">
      <w:pPr>
        <w:widowControl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深圳市龙祺商业运营管理有限公司美憬阁酒店分公司</w:t>
      </w:r>
      <w:r>
        <w:rPr>
          <w:rFonts w:hint="eastAsia" w:ascii="仿宋_GB2312" w:hAnsi="仿宋_GB2312" w:cs="仿宋_GB2312"/>
          <w:sz w:val="32"/>
          <w:szCs w:val="32"/>
          <w:shd w:val="clear" w:color="auto" w:fill="FFFFFF"/>
        </w:rPr>
        <w:t xml:space="preserve"> </w:t>
      </w:r>
    </w:p>
    <w:p w14:paraId="00639219">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r>
        <w:rPr>
          <w:rFonts w:hint="eastAsia" w:ascii="仿宋_GB2312" w:hAnsi="仿宋_GB2312" w:eastAsia="仿宋_GB2312" w:cs="仿宋_GB2312"/>
          <w:sz w:val="32"/>
          <w:szCs w:val="32"/>
        </w:rPr>
        <w:t>91440300MADWUM898J</w:t>
      </w:r>
    </w:p>
    <w:p w14:paraId="59C9F061">
      <w:pPr>
        <w:widowControl w:val="0"/>
        <w:adjustRightInd w:val="0"/>
        <w:snapToGrid w:val="0"/>
        <w:ind w:firstLine="640"/>
        <w:jc w:val="both"/>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法定代表人：</w:t>
      </w:r>
      <w:r>
        <w:rPr>
          <w:rFonts w:hint="eastAsia" w:ascii="仿宋_GB2312" w:hAnsi="仿宋_GB2312" w:cs="仿宋_GB2312"/>
          <w:sz w:val="32"/>
          <w:szCs w:val="32"/>
          <w:lang w:val="en-US" w:eastAsia="zh-CN"/>
        </w:rPr>
        <w:t xml:space="preserve"> </w:t>
      </w:r>
    </w:p>
    <w:p w14:paraId="7277ED7C">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地址：</w:t>
      </w:r>
      <w:r>
        <w:rPr>
          <w:rFonts w:hint="eastAsia" w:ascii="仿宋_GB2312" w:hAnsi="仿宋_GB2312" w:eastAsia="仿宋_GB2312" w:cs="仿宋_GB2312"/>
          <w:sz w:val="32"/>
          <w:szCs w:val="32"/>
        </w:rPr>
        <w:t>深圳市龙华区大浪街道新石社区浪韵路8号负2层、负1层-15层</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rPr>
        <w:t xml:space="preserve"> </w:t>
      </w:r>
    </w:p>
    <w:p w14:paraId="7F2E490E">
      <w:pPr>
        <w:widowControl w:val="0"/>
        <w:adjustRightInd w:val="0"/>
        <w:snapToGrid w:val="0"/>
        <w:ind w:firstLine="640"/>
        <w:jc w:val="both"/>
        <w:rPr>
          <w:rFonts w:ascii="仿宋_GB2312" w:hAnsi="仿宋_GB2312" w:cs="仿宋_GB2312"/>
          <w:sz w:val="32"/>
          <w:szCs w:val="32"/>
        </w:rPr>
      </w:pPr>
    </w:p>
    <w:p w14:paraId="0EFDE27C">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17F04FF3">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4091C8A8">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174FB7D0">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1FBE0767">
      <w:pPr>
        <w:pStyle w:val="10"/>
        <w:widowControl w:val="0"/>
        <w:spacing w:before="0" w:beforeAutospacing="0" w:after="0" w:afterAutospacing="0"/>
        <w:ind w:firstLine="640"/>
        <w:jc w:val="both"/>
        <w:rPr>
          <w:rFonts w:ascii="仿宋_GB2312" w:hAnsi="仿宋_GB2312" w:cs="仿宋_GB2312"/>
          <w:color w:val="000000"/>
          <w:sz w:val="32"/>
          <w:szCs w:val="32"/>
          <w:u w:val="single"/>
        </w:rPr>
      </w:pPr>
    </w:p>
    <w:p w14:paraId="73ED62C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中秋月饼礼盒</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70775B1B">
      <w:pPr>
        <w:pStyle w:val="6"/>
        <w:keepLines w:val="0"/>
        <w:widowControl w:val="0"/>
        <w:ind w:firstLine="640"/>
        <w:jc w:val="both"/>
        <w:rPr>
          <w:rFonts w:ascii="黑体" w:hAnsi="黑体" w:cs="黑体"/>
          <w:szCs w:val="32"/>
        </w:rPr>
      </w:pPr>
      <w:r>
        <w:rPr>
          <w:rFonts w:hint="eastAsia" w:ascii="黑体" w:hAnsi="黑体" w:cs="黑体"/>
          <w:szCs w:val="32"/>
        </w:rPr>
        <w:t>第一条 货物与价款</w:t>
      </w:r>
    </w:p>
    <w:p w14:paraId="06AE343D">
      <w:pPr>
        <w:pStyle w:val="10"/>
        <w:widowControl w:val="0"/>
        <w:spacing w:before="0" w:beforeAutospacing="0" w:after="0" w:afterAutospacing="0"/>
        <w:ind w:left="480" w:leftChars="200" w:firstLine="0" w:firstLineChars="0"/>
        <w:jc w:val="both"/>
        <w:rPr>
          <w:rFonts w:ascii="仿宋_GB2312" w:hAnsi="仿宋_GB2312" w:cs="仿宋_GB2312"/>
          <w:color w:val="000000"/>
          <w:sz w:val="32"/>
          <w:szCs w:val="32"/>
        </w:rPr>
      </w:pPr>
      <w:r>
        <w:rPr>
          <w:rFonts w:hint="eastAsia" w:ascii="仿宋_GB2312" w:hAnsi="仿宋_GB2312" w:cs="仿宋_GB2312"/>
          <w:color w:val="000000"/>
          <w:sz w:val="32"/>
          <w:szCs w:val="32"/>
        </w:rPr>
        <w:t>1.货物信息与价款如下：</w:t>
      </w:r>
    </w:p>
    <w:tbl>
      <w:tblPr>
        <w:tblStyle w:val="1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723"/>
        <w:gridCol w:w="1841"/>
        <w:gridCol w:w="1805"/>
        <w:gridCol w:w="1012"/>
        <w:gridCol w:w="1232"/>
        <w:gridCol w:w="1305"/>
        <w:gridCol w:w="931"/>
      </w:tblGrid>
      <w:tr w14:paraId="53B68B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70B53A0">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序号</w:t>
            </w:r>
          </w:p>
        </w:tc>
        <w:tc>
          <w:tcPr>
            <w:tcW w:w="1841" w:type="dxa"/>
            <w:tcBorders>
              <w:top w:val="single" w:color="000000" w:sz="6" w:space="0"/>
              <w:left w:val="single" w:color="000000" w:sz="6" w:space="0"/>
              <w:bottom w:val="single" w:color="000000" w:sz="6" w:space="0"/>
              <w:right w:val="single" w:color="000000" w:sz="6" w:space="0"/>
            </w:tcBorders>
          </w:tcPr>
          <w:p w14:paraId="12B1C93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货物名称</w:t>
            </w:r>
          </w:p>
        </w:tc>
        <w:tc>
          <w:tcPr>
            <w:tcW w:w="1805" w:type="dxa"/>
            <w:tcBorders>
              <w:top w:val="single" w:color="000000" w:sz="6" w:space="0"/>
              <w:left w:val="single" w:color="000000" w:sz="6" w:space="0"/>
              <w:bottom w:val="single" w:color="000000" w:sz="6" w:space="0"/>
              <w:right w:val="single" w:color="000000" w:sz="6" w:space="0"/>
            </w:tcBorders>
          </w:tcPr>
          <w:p w14:paraId="227C50E6">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规格、产地等</w:t>
            </w:r>
          </w:p>
        </w:tc>
        <w:tc>
          <w:tcPr>
            <w:tcW w:w="1012" w:type="dxa"/>
            <w:tcBorders>
              <w:top w:val="single" w:color="000000" w:sz="6" w:space="0"/>
              <w:left w:val="single" w:color="000000" w:sz="6" w:space="0"/>
              <w:bottom w:val="single" w:color="000000" w:sz="6" w:space="0"/>
              <w:right w:val="single" w:color="000000" w:sz="6" w:space="0"/>
            </w:tcBorders>
          </w:tcPr>
          <w:p w14:paraId="7EF87EA6">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数量</w:t>
            </w:r>
          </w:p>
        </w:tc>
        <w:tc>
          <w:tcPr>
            <w:tcW w:w="1232" w:type="dxa"/>
            <w:tcBorders>
              <w:top w:val="single" w:color="000000" w:sz="6" w:space="0"/>
              <w:left w:val="single" w:color="000000" w:sz="6" w:space="0"/>
              <w:bottom w:val="single" w:color="000000" w:sz="6" w:space="0"/>
              <w:right w:val="single" w:color="000000" w:sz="6" w:space="0"/>
            </w:tcBorders>
          </w:tcPr>
          <w:p w14:paraId="5E9A2D1D">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单价（元）</w:t>
            </w:r>
          </w:p>
        </w:tc>
        <w:tc>
          <w:tcPr>
            <w:tcW w:w="1305" w:type="dxa"/>
            <w:tcBorders>
              <w:top w:val="single" w:color="000000" w:sz="6" w:space="0"/>
              <w:left w:val="single" w:color="000000" w:sz="6" w:space="0"/>
              <w:bottom w:val="single" w:color="000000" w:sz="6" w:space="0"/>
              <w:right w:val="single" w:color="000000" w:sz="6" w:space="0"/>
            </w:tcBorders>
          </w:tcPr>
          <w:p w14:paraId="696E001A">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小计（元）</w:t>
            </w:r>
          </w:p>
        </w:tc>
        <w:tc>
          <w:tcPr>
            <w:tcW w:w="931" w:type="dxa"/>
            <w:tcBorders>
              <w:top w:val="single" w:color="000000" w:sz="6" w:space="0"/>
              <w:left w:val="single" w:color="000000" w:sz="6" w:space="0"/>
              <w:bottom w:val="single" w:color="000000" w:sz="6" w:space="0"/>
              <w:right w:val="single" w:color="000000" w:sz="6" w:space="0"/>
            </w:tcBorders>
          </w:tcPr>
          <w:p w14:paraId="74A205D3">
            <w:pPr>
              <w:pStyle w:val="10"/>
              <w:widowControl w:val="0"/>
              <w:spacing w:before="0" w:beforeAutospacing="0" w:after="0" w:afterAutospacing="0"/>
              <w:ind w:firstLine="0" w:firstLineChars="0"/>
              <w:jc w:val="center"/>
              <w:rPr>
                <w:rFonts w:ascii="仿宋_GB2312" w:hAnsi="仿宋_GB2312" w:cs="仿宋_GB2312"/>
                <w:color w:val="000000"/>
                <w:sz w:val="28"/>
                <w:szCs w:val="28"/>
              </w:rPr>
            </w:pPr>
            <w:r>
              <w:rPr>
                <w:rFonts w:hint="eastAsia" w:ascii="仿宋_GB2312" w:hAnsi="仿宋_GB2312" w:cs="仿宋_GB2312"/>
                <w:color w:val="000000"/>
                <w:sz w:val="28"/>
                <w:szCs w:val="28"/>
              </w:rPr>
              <w:t>备注</w:t>
            </w:r>
          </w:p>
        </w:tc>
      </w:tr>
      <w:tr w14:paraId="34161A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5BB731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0BE46C0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6B2134E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4535EFB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17094A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CD9A2D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636B0550">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43C038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61D2D26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06DDB5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70FDDD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51184DDC">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6ABF84E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746212D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111E8E6D">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53DCE1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451EC9A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1134A446">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45209207">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0508A88B">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2E6B425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5BC023F8">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326E9AC1">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349BF8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50B6D68A">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41" w:type="dxa"/>
            <w:tcBorders>
              <w:top w:val="single" w:color="000000" w:sz="6" w:space="0"/>
              <w:left w:val="single" w:color="000000" w:sz="6" w:space="0"/>
              <w:bottom w:val="single" w:color="000000" w:sz="6" w:space="0"/>
              <w:right w:val="single" w:color="000000" w:sz="6" w:space="0"/>
            </w:tcBorders>
          </w:tcPr>
          <w:p w14:paraId="67AF68BE">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805" w:type="dxa"/>
            <w:tcBorders>
              <w:top w:val="single" w:color="000000" w:sz="6" w:space="0"/>
              <w:left w:val="single" w:color="000000" w:sz="6" w:space="0"/>
              <w:bottom w:val="single" w:color="000000" w:sz="6" w:space="0"/>
              <w:right w:val="single" w:color="000000" w:sz="6" w:space="0"/>
            </w:tcBorders>
          </w:tcPr>
          <w:p w14:paraId="10B609B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012" w:type="dxa"/>
            <w:tcBorders>
              <w:top w:val="single" w:color="000000" w:sz="6" w:space="0"/>
              <w:left w:val="single" w:color="000000" w:sz="6" w:space="0"/>
              <w:bottom w:val="single" w:color="000000" w:sz="6" w:space="0"/>
              <w:right w:val="single" w:color="000000" w:sz="6" w:space="0"/>
            </w:tcBorders>
          </w:tcPr>
          <w:p w14:paraId="249E3899">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232" w:type="dxa"/>
            <w:tcBorders>
              <w:top w:val="single" w:color="000000" w:sz="6" w:space="0"/>
              <w:left w:val="single" w:color="000000" w:sz="6" w:space="0"/>
              <w:bottom w:val="single" w:color="000000" w:sz="6" w:space="0"/>
              <w:right w:val="single" w:color="000000" w:sz="6" w:space="0"/>
            </w:tcBorders>
          </w:tcPr>
          <w:p w14:paraId="071654B5">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1305" w:type="dxa"/>
            <w:tcBorders>
              <w:top w:val="single" w:color="000000" w:sz="6" w:space="0"/>
              <w:left w:val="single" w:color="000000" w:sz="6" w:space="0"/>
              <w:bottom w:val="single" w:color="000000" w:sz="6" w:space="0"/>
              <w:right w:val="single" w:color="000000" w:sz="6" w:space="0"/>
            </w:tcBorders>
          </w:tcPr>
          <w:p w14:paraId="0164415F">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931" w:type="dxa"/>
            <w:tcBorders>
              <w:top w:val="single" w:color="000000" w:sz="6" w:space="0"/>
              <w:left w:val="single" w:color="000000" w:sz="6" w:space="0"/>
              <w:bottom w:val="single" w:color="000000" w:sz="6" w:space="0"/>
              <w:right w:val="single" w:color="000000" w:sz="6" w:space="0"/>
            </w:tcBorders>
          </w:tcPr>
          <w:p w14:paraId="775261D2">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r>
      <w:tr w14:paraId="01FBAA4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723" w:type="dxa"/>
            <w:tcBorders>
              <w:top w:val="single" w:color="000000" w:sz="6" w:space="0"/>
              <w:left w:val="single" w:color="000000" w:sz="6" w:space="0"/>
              <w:bottom w:val="single" w:color="000000" w:sz="6" w:space="0"/>
              <w:right w:val="single" w:color="000000" w:sz="6" w:space="0"/>
            </w:tcBorders>
          </w:tcPr>
          <w:p w14:paraId="25B08DE4">
            <w:pPr>
              <w:pStyle w:val="10"/>
              <w:widowControl w:val="0"/>
              <w:spacing w:before="0" w:beforeAutospacing="0" w:after="0" w:afterAutospacing="0"/>
              <w:ind w:firstLine="0" w:firstLineChars="0"/>
              <w:jc w:val="both"/>
              <w:rPr>
                <w:rFonts w:ascii="仿宋_GB2312" w:hAnsi="仿宋_GB2312" w:cs="仿宋_GB2312"/>
                <w:color w:val="000000"/>
                <w:sz w:val="28"/>
                <w:szCs w:val="28"/>
              </w:rPr>
            </w:pPr>
          </w:p>
        </w:tc>
        <w:tc>
          <w:tcPr>
            <w:tcW w:w="8126" w:type="dxa"/>
            <w:gridSpan w:val="6"/>
            <w:tcBorders>
              <w:top w:val="single" w:color="000000" w:sz="6" w:space="0"/>
              <w:left w:val="single" w:color="000000" w:sz="6" w:space="0"/>
              <w:bottom w:val="single" w:color="000000" w:sz="6" w:space="0"/>
              <w:right w:val="single" w:color="000000" w:sz="6" w:space="0"/>
            </w:tcBorders>
          </w:tcPr>
          <w:p w14:paraId="2633DA37">
            <w:pPr>
              <w:pStyle w:val="10"/>
              <w:widowControl w:val="0"/>
              <w:spacing w:before="0" w:beforeAutospacing="0" w:after="0" w:afterAutospacing="0"/>
              <w:ind w:firstLine="0" w:firstLineChars="0"/>
              <w:jc w:val="both"/>
              <w:rPr>
                <w:rFonts w:ascii="仿宋_GB2312" w:hAnsi="仿宋_GB2312" w:cs="仿宋_GB2312"/>
                <w:color w:val="000000"/>
                <w:sz w:val="28"/>
                <w:szCs w:val="28"/>
              </w:rPr>
            </w:pPr>
            <w:r>
              <w:rPr>
                <w:rFonts w:hint="eastAsia" w:ascii="仿宋_GB2312" w:hAnsi="仿宋_GB2312" w:cs="仿宋_GB2312"/>
                <w:color w:val="000000"/>
                <w:sz w:val="28"/>
                <w:szCs w:val="28"/>
              </w:rPr>
              <w:t>总计（合同总价款）：￥</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（大写：</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w:t>
            </w:r>
          </w:p>
        </w:tc>
      </w:tr>
    </w:tbl>
    <w:p w14:paraId="06CC574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595B165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1.1.1首付款：￥</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（大写：</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），于本合同签订后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个工作日内支付。</w:t>
      </w:r>
    </w:p>
    <w:p w14:paraId="165E8FF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1.1.2尾款：乙方交付货物并经甲方验收通过后的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个工作日内，甲方付清全部合同价款。</w:t>
      </w:r>
    </w:p>
    <w:p w14:paraId="23C5AD3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1202611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736E88D9">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5C72757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15F0123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08742B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4797045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2D5FFB0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68C34B2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3B4D83C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F59F42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4E072B6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777D4DA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4F9F61D7">
      <w:pPr>
        <w:pStyle w:val="6"/>
        <w:keepLines w:val="0"/>
        <w:widowControl w:val="0"/>
        <w:ind w:firstLine="640"/>
        <w:jc w:val="both"/>
        <w:rPr>
          <w:rFonts w:ascii="黑体" w:hAnsi="黑体" w:cs="黑体"/>
          <w:szCs w:val="32"/>
        </w:rPr>
      </w:pPr>
      <w:r>
        <w:rPr>
          <w:rFonts w:hint="eastAsia" w:ascii="黑体" w:hAnsi="黑体" w:cs="黑体"/>
          <w:szCs w:val="32"/>
        </w:rPr>
        <w:t>第二条 质量</w:t>
      </w:r>
    </w:p>
    <w:p w14:paraId="19251BB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p>
    <w:p w14:paraId="5A1D28E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04E51AB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56967A2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14A4D257">
      <w:pPr>
        <w:pStyle w:val="6"/>
        <w:keepLines w:val="0"/>
        <w:widowControl w:val="0"/>
        <w:ind w:firstLine="640"/>
        <w:jc w:val="both"/>
        <w:rPr>
          <w:rFonts w:ascii="黑体" w:hAnsi="黑体" w:cs="黑体"/>
          <w:szCs w:val="32"/>
        </w:rPr>
      </w:pPr>
      <w:r>
        <w:rPr>
          <w:rFonts w:hint="eastAsia" w:ascii="黑体" w:hAnsi="黑体" w:cs="黑体"/>
          <w:szCs w:val="32"/>
        </w:rPr>
        <w:t>第三条 交货</w:t>
      </w:r>
    </w:p>
    <w:p w14:paraId="1727D2E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年</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月</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日前。</w:t>
      </w:r>
    </w:p>
    <w:p w14:paraId="69D2B3D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w:t>
      </w:r>
    </w:p>
    <w:p w14:paraId="1679B03D">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3.验收：交货当时进行外观、数量验收；交货后</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日内进行质量验收。验收期内未提出异议的，视为质量无问题、验收通过。</w:t>
      </w:r>
    </w:p>
    <w:p w14:paraId="348612D5">
      <w:pPr>
        <w:pStyle w:val="10"/>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lang w:val="en-US" w:eastAsia="zh-CN"/>
        </w:rPr>
        <w:t>4.乙方应按甲方要求完成与月饼生产单位的衔接及配合工作。</w:t>
      </w:r>
      <w:bookmarkStart w:id="0" w:name="_GoBack"/>
      <w:bookmarkEnd w:id="0"/>
    </w:p>
    <w:p w14:paraId="26E217FA">
      <w:pPr>
        <w:pStyle w:val="6"/>
        <w:keepLines w:val="0"/>
        <w:widowControl w:val="0"/>
        <w:ind w:firstLine="640"/>
        <w:jc w:val="both"/>
        <w:rPr>
          <w:rFonts w:ascii="黑体" w:hAnsi="黑体" w:cs="黑体"/>
          <w:szCs w:val="32"/>
        </w:rPr>
      </w:pPr>
      <w:r>
        <w:rPr>
          <w:rFonts w:hint="eastAsia" w:ascii="黑体" w:hAnsi="黑体" w:cs="黑体"/>
          <w:szCs w:val="32"/>
        </w:rPr>
        <w:t>第四条 质保期</w:t>
      </w:r>
    </w:p>
    <w:p w14:paraId="72A0E8C5">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个月，自货物通过甲方验收之日起算。</w:t>
      </w:r>
    </w:p>
    <w:p w14:paraId="63C52971">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2552E08E">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66AB079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0275236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03683B44">
      <w:pPr>
        <w:pStyle w:val="6"/>
        <w:keepLines w:val="0"/>
        <w:widowControl w:val="0"/>
        <w:ind w:firstLine="640"/>
        <w:jc w:val="both"/>
        <w:rPr>
          <w:rFonts w:ascii="黑体" w:hAnsi="黑体" w:cs="黑体"/>
          <w:szCs w:val="32"/>
        </w:rPr>
      </w:pPr>
      <w:r>
        <w:rPr>
          <w:rFonts w:hint="eastAsia" w:ascii="黑体" w:hAnsi="黑体" w:cs="黑体"/>
          <w:szCs w:val="32"/>
        </w:rPr>
        <w:t>第五条 违约责任</w:t>
      </w:r>
    </w:p>
    <w:p w14:paraId="13D56D3A">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6398550A">
      <w:pPr>
        <w:pStyle w:val="10"/>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0B966852">
      <w:pPr>
        <w:pStyle w:val="10"/>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3AACC0BA">
      <w:pPr>
        <w:pStyle w:val="6"/>
        <w:keepLines w:val="0"/>
        <w:widowControl w:val="0"/>
        <w:ind w:firstLine="640"/>
        <w:jc w:val="both"/>
        <w:rPr>
          <w:rFonts w:ascii="黑体" w:hAnsi="黑体" w:cs="黑体"/>
          <w:szCs w:val="32"/>
        </w:rPr>
      </w:pPr>
      <w:r>
        <w:rPr>
          <w:rFonts w:hint="eastAsia" w:ascii="黑体" w:hAnsi="黑体" w:cs="黑体"/>
          <w:szCs w:val="32"/>
        </w:rPr>
        <w:t>第六条 合同联系方式</w:t>
      </w:r>
    </w:p>
    <w:p w14:paraId="023FD30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0C66FCF6">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3D349433">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24968F8C">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608D3451">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5E66DF3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6D7D54D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76EA07B9">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33029284">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61177FA7">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31DF57CA">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4534203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微信：</w:t>
      </w:r>
      <w:r>
        <w:rPr>
          <w:rFonts w:hint="eastAsia" w:ascii="仿宋_GB2312" w:hAnsi="仿宋_GB2312" w:cs="仿宋_GB2312"/>
          <w:color w:val="000000"/>
          <w:sz w:val="32"/>
          <w:szCs w:val="32"/>
          <w:u w:val="single"/>
        </w:rPr>
        <w:t xml:space="preserve">                      </w:t>
      </w:r>
    </w:p>
    <w:p w14:paraId="5AA78F54">
      <w:pPr>
        <w:pStyle w:val="10"/>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电子邮箱：</w:t>
      </w:r>
      <w:r>
        <w:rPr>
          <w:rFonts w:hint="eastAsia" w:ascii="仿宋_GB2312" w:hAnsi="仿宋_GB2312" w:cs="仿宋_GB2312"/>
          <w:color w:val="000000"/>
          <w:sz w:val="32"/>
          <w:szCs w:val="32"/>
          <w:u w:val="single"/>
        </w:rPr>
        <w:t xml:space="preserve">                  </w:t>
      </w:r>
    </w:p>
    <w:p w14:paraId="4509876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5C8100AB">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603EE78F">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2FF83DD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4D49FB12">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3E6501AE">
      <w:pPr>
        <w:pStyle w:val="6"/>
        <w:keepLines w:val="0"/>
        <w:widowControl w:val="0"/>
        <w:ind w:firstLine="640"/>
        <w:jc w:val="both"/>
        <w:rPr>
          <w:rFonts w:ascii="黑体" w:hAnsi="黑体" w:cs="黑体"/>
          <w:szCs w:val="32"/>
        </w:rPr>
      </w:pPr>
      <w:r>
        <w:rPr>
          <w:rFonts w:hint="eastAsia" w:ascii="黑体" w:hAnsi="黑体" w:cs="黑体"/>
          <w:szCs w:val="32"/>
        </w:rPr>
        <w:t>第七条 反商业贿赂</w:t>
      </w:r>
    </w:p>
    <w:p w14:paraId="012B5348">
      <w:pPr>
        <w:pStyle w:val="10"/>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539EB11E">
      <w:pPr>
        <w:pStyle w:val="2"/>
        <w:widowControl w:val="0"/>
        <w:ind w:firstLine="640"/>
        <w:jc w:val="both"/>
        <w:rPr>
          <w:rFonts w:ascii="黑体" w:hAnsi="黑体" w:eastAsia="黑体" w:cs="黑体"/>
          <w:bCs/>
          <w:sz w:val="32"/>
          <w:szCs w:val="32"/>
        </w:rPr>
      </w:pPr>
      <w:r>
        <w:rPr>
          <w:rFonts w:hint="eastAsia" w:ascii="黑体" w:hAnsi="黑体" w:eastAsia="黑体" w:cs="黑体"/>
          <w:bCs/>
          <w:sz w:val="32"/>
          <w:szCs w:val="32"/>
        </w:rPr>
        <w:t>第八条 争议解决</w:t>
      </w:r>
    </w:p>
    <w:p w14:paraId="43EAD835">
      <w:pPr>
        <w:pStyle w:val="2"/>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13BC976E">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第九条 附则</w:t>
      </w:r>
    </w:p>
    <w:p w14:paraId="09FECE31">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5CDFC335">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16A827A2">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7FBF2EC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A8391FB">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7C80F6FF">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1A7536DD">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3DD21E4A">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264935F9">
      <w:pPr>
        <w:pStyle w:val="10"/>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11"/>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4E2B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47012AB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503634B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5FFA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45B99083">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514AE09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4FC8C2A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2F5E858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75C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E5B33F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0F4371B0">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484B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C1C8C58">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9AD0CEF">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06F3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08EA44F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415695A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2C1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05274F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42007501">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3B9F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1536F08B">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4F7239F5">
      <w:pPr>
        <w:pStyle w:val="10"/>
        <w:widowControl w:val="0"/>
        <w:spacing w:before="0" w:beforeAutospacing="0" w:after="0" w:afterAutospacing="0"/>
        <w:ind w:firstLine="0" w:firstLineChars="0"/>
        <w:jc w:val="both"/>
        <w:rPr>
          <w:rFonts w:ascii="仿宋_GB2312" w:hAnsi="仿宋_GB2312" w:cs="仿宋_GB2312"/>
          <w:color w:val="000000"/>
          <w:sz w:val="32"/>
          <w:szCs w:val="32"/>
        </w:rPr>
      </w:pPr>
    </w:p>
    <w:p w14:paraId="558273A3">
      <w:pPr>
        <w:pStyle w:val="10"/>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3686">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0170">
                          <w:pPr>
                            <w:pStyle w:val="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A20170">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F3B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5E1FC">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949C">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549A">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A0D8">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0"/>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CB26C67"/>
    <w:rsid w:val="12EA706A"/>
    <w:rsid w:val="1578662C"/>
    <w:rsid w:val="168453DE"/>
    <w:rsid w:val="188E5814"/>
    <w:rsid w:val="1C18782E"/>
    <w:rsid w:val="1C50581A"/>
    <w:rsid w:val="20F36B91"/>
    <w:rsid w:val="22883B1E"/>
    <w:rsid w:val="2980149B"/>
    <w:rsid w:val="31C17D6A"/>
    <w:rsid w:val="32B114BB"/>
    <w:rsid w:val="386B3826"/>
    <w:rsid w:val="39EA610D"/>
    <w:rsid w:val="40BF6865"/>
    <w:rsid w:val="41AC2B16"/>
    <w:rsid w:val="41F02331"/>
    <w:rsid w:val="4274258B"/>
    <w:rsid w:val="47512DC0"/>
    <w:rsid w:val="476D68D3"/>
    <w:rsid w:val="48A72C1A"/>
    <w:rsid w:val="48D9656D"/>
    <w:rsid w:val="4D945ADE"/>
    <w:rsid w:val="54BC65C4"/>
    <w:rsid w:val="5C3E70EF"/>
    <w:rsid w:val="6545072F"/>
    <w:rsid w:val="65780A9F"/>
    <w:rsid w:val="6A9C4677"/>
    <w:rsid w:val="74154289"/>
    <w:rsid w:val="74B93933"/>
    <w:rsid w:val="74EE0E91"/>
    <w:rsid w:val="7823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5">
    <w:name w:val="heading 1"/>
    <w:basedOn w:val="1"/>
    <w:next w:val="1"/>
    <w:qFormat/>
    <w:uiPriority w:val="9"/>
    <w:pPr>
      <w:keepLines/>
      <w:ind w:firstLine="0" w:firstLineChars="0"/>
      <w:jc w:val="center"/>
      <w:outlineLvl w:val="0"/>
    </w:pPr>
    <w:rPr>
      <w:b/>
      <w:color w:val="000000"/>
      <w:sz w:val="36"/>
    </w:rPr>
  </w:style>
  <w:style w:type="paragraph" w:styleId="6">
    <w:name w:val="heading 3"/>
    <w:basedOn w:val="1"/>
    <w:next w:val="1"/>
    <w:qFormat/>
    <w:uiPriority w:val="9"/>
    <w:pPr>
      <w:keepLines/>
      <w:outlineLvl w:val="2"/>
    </w:pPr>
    <w:rPr>
      <w:rFonts w:eastAsia="黑体"/>
      <w:color w:val="000000"/>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7">
    <w:name w:val="Body Text"/>
    <w:basedOn w:val="1"/>
    <w:qFormat/>
    <w:uiPriority w:val="1"/>
    <w:pPr>
      <w:ind w:left="516"/>
    </w:pPr>
    <w:rPr>
      <w:rFonts w:ascii="宋体" w:hAnsi="宋体" w:eastAsia="宋体"/>
      <w:sz w:val="20"/>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99"/>
    <w:pPr>
      <w:spacing w:before="100" w:beforeAutospacing="1" w:after="100" w:afterAutospacing="1"/>
    </w:p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1966</Words>
  <Characters>2038</Characters>
  <Lines>19</Lines>
  <Paragraphs>5</Paragraphs>
  <TotalTime>0</TotalTime>
  <ScaleCrop>false</ScaleCrop>
  <LinksUpToDate>false</LinksUpToDate>
  <CharactersWithSpaces>2610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2025-07-24T03:50:24Z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FB6F2E51401E4B9B9A6709B4ADC71EFC</vt:lpwstr>
  </property>
  <property fmtid="{D5CDD505-2E9C-101B-9397-08002B2CF9AE}" pid="4" name="KSOTemplateDocerSaveRecord">
    <vt:lpwstr>eyJoZGlkIjoiMzk2NWRiYWViMWIxMGM4NDY4NzE2Y2VlODAzYzE3MjciLCJ1c2VySWQiOiIyMTI1MzEyMTMifQ==</vt:lpwstr>
  </property>
</Properties>
</file>