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CED0D">
      <w:pPr>
        <w:spacing w:line="560" w:lineRule="exact"/>
        <w:jc w:val="left"/>
        <w:rPr>
          <w:rFonts w:ascii="黑体" w:hAnsi="黑体" w:eastAsia="黑体" w:cs="黑体"/>
          <w:b/>
          <w:sz w:val="32"/>
          <w:szCs w:val="32"/>
        </w:rPr>
      </w:pPr>
      <w:r>
        <w:rPr>
          <w:rFonts w:hint="eastAsia" w:ascii="黑体" w:hAnsi="黑体" w:eastAsia="黑体" w:cs="黑体"/>
          <w:b/>
          <w:sz w:val="32"/>
          <w:szCs w:val="32"/>
        </w:rPr>
        <w:t>附件1：</w:t>
      </w:r>
    </w:p>
    <w:p w14:paraId="081293C3">
      <w:pPr>
        <w:pStyle w:val="8"/>
      </w:pPr>
    </w:p>
    <w:p w14:paraId="79D3C24C">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bCs/>
          <w:sz w:val="44"/>
          <w:szCs w:val="44"/>
        </w:rPr>
        <w:t>深圳市龙华环境有限公司</w:t>
      </w:r>
      <w:r>
        <w:rPr>
          <w:rFonts w:hint="eastAsia" w:ascii="方正小标宋简体" w:hAnsi="方正小标宋简体" w:eastAsia="方正小标宋简体" w:cs="方正小标宋简体"/>
          <w:bCs/>
          <w:sz w:val="44"/>
          <w:szCs w:val="44"/>
          <w:lang w:eastAsia="zh-CN"/>
        </w:rPr>
        <w:t>辅助作业车（柴油皮卡）</w:t>
      </w:r>
      <w:r>
        <w:rPr>
          <w:rFonts w:hint="eastAsia" w:ascii="方正小标宋简体" w:hAnsi="方正小标宋简体" w:eastAsia="方正小标宋简体" w:cs="方正小标宋简体"/>
          <w:bCs/>
          <w:sz w:val="44"/>
          <w:szCs w:val="44"/>
        </w:rPr>
        <w:t>采购</w:t>
      </w:r>
      <w:r>
        <w:rPr>
          <w:rFonts w:hint="eastAsia" w:ascii="方正小标宋简体" w:hAnsi="方正小标宋简体" w:eastAsia="方正小标宋简体" w:cs="方正小标宋简体"/>
          <w:bCs/>
          <w:sz w:val="44"/>
          <w:szCs w:val="44"/>
          <w:lang w:eastAsia="zh-CN"/>
        </w:rPr>
        <w:t>遴选</w:t>
      </w:r>
      <w:r>
        <w:rPr>
          <w:rFonts w:hint="eastAsia" w:ascii="方正小标宋简体" w:hAnsi="方正小标宋简体" w:eastAsia="方正小标宋简体" w:cs="方正小标宋简体"/>
          <w:bCs/>
          <w:sz w:val="44"/>
          <w:szCs w:val="44"/>
        </w:rPr>
        <w:t>方案</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091"/>
        <w:gridCol w:w="6784"/>
      </w:tblGrid>
      <w:tr w14:paraId="1155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41" w:type="dxa"/>
            <w:vAlign w:val="center"/>
          </w:tcPr>
          <w:p w14:paraId="1E88EB92">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2091" w:type="dxa"/>
            <w:vAlign w:val="center"/>
          </w:tcPr>
          <w:p w14:paraId="2DB14BAC">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b/>
                <w:bCs/>
                <w:sz w:val="24"/>
                <w:szCs w:val="24"/>
              </w:rPr>
            </w:pPr>
            <w:r>
              <w:rPr>
                <w:rFonts w:hint="eastAsia" w:ascii="仿宋_GB2312" w:hAnsi="仿宋_GB2312" w:eastAsia="仿宋_GB2312" w:cs="仿宋_GB2312"/>
                <w:b/>
                <w:bCs/>
                <w:sz w:val="24"/>
                <w:szCs w:val="24"/>
              </w:rPr>
              <w:t>项目</w:t>
            </w:r>
          </w:p>
        </w:tc>
        <w:tc>
          <w:tcPr>
            <w:tcW w:w="6784" w:type="dxa"/>
            <w:vAlign w:val="center"/>
          </w:tcPr>
          <w:p w14:paraId="2284E5C8">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b/>
                <w:bCs/>
                <w:sz w:val="24"/>
                <w:szCs w:val="24"/>
              </w:rPr>
            </w:pPr>
            <w:r>
              <w:rPr>
                <w:rFonts w:hint="eastAsia" w:ascii="仿宋_GB2312" w:hAnsi="仿宋_GB2312" w:eastAsia="仿宋_GB2312" w:cs="仿宋_GB2312"/>
                <w:b/>
                <w:bCs/>
                <w:sz w:val="24"/>
                <w:szCs w:val="24"/>
              </w:rPr>
              <w:t>内容摘要说明</w:t>
            </w:r>
          </w:p>
        </w:tc>
      </w:tr>
      <w:tr w14:paraId="3D6B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268C04E9">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91" w:type="dxa"/>
            <w:vAlign w:val="center"/>
          </w:tcPr>
          <w:p w14:paraId="6906C295">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b/>
                <w:bCs/>
                <w:sz w:val="24"/>
                <w:szCs w:val="24"/>
              </w:rPr>
            </w:pPr>
            <w:r>
              <w:rPr>
                <w:rFonts w:hint="eastAsia" w:ascii="仿宋_GB2312" w:hAnsi="仿宋_GB2312" w:eastAsia="仿宋_GB2312" w:cs="仿宋_GB2312"/>
                <w:b/>
                <w:bCs/>
                <w:sz w:val="24"/>
                <w:szCs w:val="24"/>
              </w:rPr>
              <w:t>项目名称</w:t>
            </w:r>
          </w:p>
        </w:tc>
        <w:tc>
          <w:tcPr>
            <w:tcW w:w="6784" w:type="dxa"/>
            <w:vAlign w:val="center"/>
          </w:tcPr>
          <w:p w14:paraId="6AD67E08">
            <w:pPr>
              <w:keepNext w:val="0"/>
              <w:keepLines w:val="0"/>
              <w:widowControl/>
              <w:suppressLineNumbers w:val="0"/>
              <w:overflowPunct w:val="0"/>
              <w:adjustRightInd w:val="0"/>
              <w:snapToGrid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深圳市龙华环境有限公司</w:t>
            </w:r>
            <w:r>
              <w:rPr>
                <w:rFonts w:hint="eastAsia" w:ascii="仿宋_GB2312" w:hAnsi="仿宋_GB2312" w:eastAsia="仿宋_GB2312" w:cs="仿宋_GB2312"/>
                <w:sz w:val="24"/>
                <w:szCs w:val="24"/>
                <w:lang w:eastAsia="zh-CN"/>
              </w:rPr>
              <w:t>辅助作业车（柴油皮卡）</w:t>
            </w:r>
            <w:r>
              <w:rPr>
                <w:rFonts w:hint="eastAsia" w:ascii="仿宋_GB2312" w:hAnsi="仿宋_GB2312" w:eastAsia="仿宋_GB2312" w:cs="仿宋_GB2312"/>
                <w:sz w:val="24"/>
                <w:szCs w:val="24"/>
              </w:rPr>
              <w:t>采购</w:t>
            </w:r>
          </w:p>
        </w:tc>
      </w:tr>
      <w:tr w14:paraId="1696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841" w:type="dxa"/>
            <w:tcBorders>
              <w:bottom w:val="single" w:color="000000" w:sz="4" w:space="0"/>
            </w:tcBorders>
            <w:vAlign w:val="center"/>
          </w:tcPr>
          <w:p w14:paraId="7980189D">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091" w:type="dxa"/>
            <w:tcBorders>
              <w:bottom w:val="single" w:color="000000" w:sz="4" w:space="0"/>
            </w:tcBorders>
            <w:vAlign w:val="center"/>
          </w:tcPr>
          <w:p w14:paraId="03261FDC">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b/>
                <w:bCs/>
                <w:sz w:val="24"/>
                <w:szCs w:val="24"/>
              </w:rPr>
            </w:pPr>
            <w:r>
              <w:rPr>
                <w:rFonts w:hint="eastAsia" w:ascii="仿宋_GB2312" w:hAnsi="仿宋_GB2312" w:eastAsia="仿宋_GB2312" w:cs="仿宋_GB2312"/>
                <w:b/>
                <w:bCs/>
                <w:sz w:val="24"/>
                <w:szCs w:val="24"/>
              </w:rPr>
              <w:t>项目概况</w:t>
            </w:r>
          </w:p>
        </w:tc>
        <w:tc>
          <w:tcPr>
            <w:tcW w:w="6784" w:type="dxa"/>
            <w:tcBorders>
              <w:bottom w:val="single" w:color="000000" w:sz="4" w:space="0"/>
            </w:tcBorders>
            <w:vAlign w:val="center"/>
          </w:tcPr>
          <w:p w14:paraId="2EED0F12">
            <w:pPr>
              <w:keepNext w:val="0"/>
              <w:keepLines w:val="0"/>
              <w:widowControl/>
              <w:suppressLineNumbers w:val="0"/>
              <w:overflowPunct w:val="0"/>
              <w:adjustRightInd w:val="0"/>
              <w:snapToGrid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为顺利承接</w:t>
            </w:r>
            <w:r>
              <w:rPr>
                <w:rFonts w:hint="eastAsia" w:ascii="仿宋_GB2312" w:hAnsi="仿宋_GB2312" w:eastAsia="仿宋_GB2312" w:cs="仿宋_GB2312"/>
                <w:sz w:val="24"/>
                <w:szCs w:val="24"/>
                <w:lang w:eastAsia="zh-CN"/>
              </w:rPr>
              <w:t>龙华区福龙和布龙路清扫保洁</w:t>
            </w:r>
            <w:r>
              <w:rPr>
                <w:rFonts w:hint="eastAsia" w:ascii="仿宋_GB2312" w:hAnsi="仿宋_GB2312" w:eastAsia="仿宋_GB2312" w:cs="仿宋_GB2312"/>
                <w:sz w:val="24"/>
                <w:szCs w:val="24"/>
              </w:rPr>
              <w:t>项目，拟采购</w:t>
            </w:r>
            <w:r>
              <w:rPr>
                <w:rFonts w:hint="eastAsia" w:ascii="仿宋_GB2312" w:hAnsi="仿宋_GB2312" w:eastAsia="仿宋_GB2312" w:cs="仿宋_GB2312"/>
                <w:sz w:val="24"/>
                <w:szCs w:val="24"/>
                <w:lang w:eastAsia="zh-CN"/>
              </w:rPr>
              <w:t>辅助作业车辆（柴油皮卡）</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辆。</w:t>
            </w:r>
          </w:p>
        </w:tc>
      </w:tr>
      <w:tr w14:paraId="210A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841" w:type="dxa"/>
            <w:tcBorders>
              <w:top w:val="single" w:color="000000" w:sz="4" w:space="0"/>
              <w:left w:val="single" w:color="000000" w:sz="4" w:space="0"/>
              <w:bottom w:val="single" w:color="000000" w:sz="4" w:space="0"/>
              <w:right w:val="single" w:color="000000" w:sz="4" w:space="0"/>
            </w:tcBorders>
            <w:vAlign w:val="center"/>
          </w:tcPr>
          <w:p w14:paraId="43D309C0">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091" w:type="dxa"/>
            <w:tcBorders>
              <w:top w:val="single" w:color="000000" w:sz="4" w:space="0"/>
              <w:left w:val="single" w:color="000000" w:sz="4" w:space="0"/>
              <w:bottom w:val="single" w:color="000000" w:sz="4" w:space="0"/>
              <w:right w:val="single" w:color="000000" w:sz="4" w:space="0"/>
            </w:tcBorders>
            <w:vAlign w:val="center"/>
          </w:tcPr>
          <w:p w14:paraId="4791D81E">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b/>
                <w:bCs/>
                <w:sz w:val="24"/>
                <w:szCs w:val="24"/>
              </w:rPr>
            </w:pPr>
            <w:r>
              <w:rPr>
                <w:rFonts w:hint="eastAsia" w:ascii="仿宋_GB2312" w:hAnsi="仿宋_GB2312" w:eastAsia="仿宋_GB2312" w:cs="仿宋_GB2312"/>
                <w:b/>
                <w:bCs/>
                <w:sz w:val="24"/>
                <w:szCs w:val="24"/>
              </w:rPr>
              <w:t>招标内容</w:t>
            </w:r>
          </w:p>
        </w:tc>
        <w:tc>
          <w:tcPr>
            <w:tcW w:w="6784" w:type="dxa"/>
            <w:tcBorders>
              <w:top w:val="single" w:color="000000" w:sz="4" w:space="0"/>
              <w:left w:val="single" w:color="000000" w:sz="4" w:space="0"/>
              <w:bottom w:val="single" w:color="000000" w:sz="4" w:space="0"/>
              <w:right w:val="single" w:color="000000" w:sz="4" w:space="0"/>
            </w:tcBorders>
            <w:vAlign w:val="center"/>
          </w:tcPr>
          <w:p w14:paraId="7EA0C0F2">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拟确定一家满足条件的供应商，共提供</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辆柴油自动档两驱皮卡；招标完成后，与中标单位签订采购合同，30天内供货完成，中标人按合同要求履约。</w:t>
            </w:r>
          </w:p>
        </w:tc>
      </w:tr>
      <w:tr w14:paraId="6652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000000" w:sz="4" w:space="0"/>
              <w:left w:val="single" w:color="000000" w:sz="4" w:space="0"/>
              <w:bottom w:val="single" w:color="000000" w:sz="4" w:space="0"/>
              <w:right w:val="single" w:color="000000" w:sz="4" w:space="0"/>
            </w:tcBorders>
            <w:vAlign w:val="center"/>
          </w:tcPr>
          <w:p w14:paraId="1F506EAB">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091" w:type="dxa"/>
            <w:tcBorders>
              <w:top w:val="single" w:color="000000" w:sz="4" w:space="0"/>
              <w:left w:val="single" w:color="000000" w:sz="4" w:space="0"/>
              <w:bottom w:val="single" w:color="000000" w:sz="4" w:space="0"/>
              <w:right w:val="single" w:color="000000" w:sz="4" w:space="0"/>
            </w:tcBorders>
            <w:vAlign w:val="center"/>
          </w:tcPr>
          <w:p w14:paraId="54ACD60A">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招标控制价</w:t>
            </w:r>
          </w:p>
        </w:tc>
        <w:tc>
          <w:tcPr>
            <w:tcW w:w="6784" w:type="dxa"/>
            <w:tcBorders>
              <w:top w:val="single" w:color="000000" w:sz="4" w:space="0"/>
              <w:left w:val="single" w:color="000000" w:sz="4" w:space="0"/>
              <w:bottom w:val="single" w:color="000000" w:sz="4" w:space="0"/>
              <w:right w:val="single" w:color="000000" w:sz="4" w:space="0"/>
            </w:tcBorders>
            <w:vAlign w:val="center"/>
          </w:tcPr>
          <w:p w14:paraId="0B6B9D16">
            <w:pPr>
              <w:keepNext w:val="0"/>
              <w:keepLines w:val="0"/>
              <w:widowControl/>
              <w:suppressLineNumbers w:val="0"/>
              <w:overflowPunct w:val="0"/>
              <w:adjustRightInd w:val="0"/>
              <w:snapToGrid w:val="0"/>
              <w:spacing w:before="0" w:beforeAutospacing="0" w:after="0" w:afterAutospacing="0"/>
              <w:ind w:left="0" w:right="0"/>
              <w:rPr>
                <w:rFonts w:hint="default"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招标控制价（投标上限价）：</w:t>
            </w:r>
            <w:r>
              <w:rPr>
                <w:rFonts w:hint="eastAsia" w:ascii="仿宋_GB2312" w:hAnsi="仿宋_GB2312" w:eastAsia="仿宋_GB2312" w:cs="仿宋_GB2312"/>
                <w:sz w:val="24"/>
                <w:szCs w:val="24"/>
                <w:highlight w:val="none"/>
                <w:lang w:val="en-US" w:eastAsia="zh-CN"/>
              </w:rPr>
              <w:t>27.2</w:t>
            </w:r>
            <w:r>
              <w:rPr>
                <w:rFonts w:hint="eastAsia" w:ascii="仿宋_GB2312" w:hAnsi="仿宋_GB2312" w:eastAsia="仿宋_GB2312" w:cs="仿宋_GB2312"/>
                <w:sz w:val="24"/>
                <w:szCs w:val="24"/>
                <w:highlight w:val="none"/>
              </w:rPr>
              <w:t>万元</w:t>
            </w:r>
          </w:p>
        </w:tc>
      </w:tr>
      <w:tr w14:paraId="7F89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000000" w:sz="4" w:space="0"/>
            </w:tcBorders>
            <w:vAlign w:val="center"/>
          </w:tcPr>
          <w:p w14:paraId="10B7907F">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091" w:type="dxa"/>
            <w:tcBorders>
              <w:top w:val="single" w:color="000000" w:sz="4" w:space="0"/>
            </w:tcBorders>
            <w:vAlign w:val="center"/>
          </w:tcPr>
          <w:p w14:paraId="6B6D4A80">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计价方式</w:t>
            </w:r>
          </w:p>
        </w:tc>
        <w:tc>
          <w:tcPr>
            <w:tcW w:w="6784" w:type="dxa"/>
            <w:tcBorders>
              <w:top w:val="single" w:color="000000" w:sz="4" w:space="0"/>
            </w:tcBorders>
            <w:vAlign w:val="center"/>
          </w:tcPr>
          <w:p w14:paraId="50982E14">
            <w:pPr>
              <w:keepNext w:val="0"/>
              <w:keepLines w:val="0"/>
              <w:widowControl/>
              <w:suppressLineNumbers w:val="0"/>
              <w:overflowPunct w:val="0"/>
              <w:adjustRightInd w:val="0"/>
              <w:snapToGrid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采用固定单价合同，结算时以甲方确认的实际</w:t>
            </w:r>
            <w:r>
              <w:rPr>
                <w:rFonts w:hint="eastAsia" w:ascii="仿宋_GB2312" w:hAnsi="仿宋_GB2312" w:eastAsia="仿宋_GB2312" w:cs="仿宋_GB2312"/>
                <w:sz w:val="24"/>
                <w:szCs w:val="24"/>
                <w:lang w:val="en-US" w:eastAsia="zh-CN"/>
              </w:rPr>
              <w:t>数量</w:t>
            </w:r>
            <w:r>
              <w:rPr>
                <w:rFonts w:hint="eastAsia" w:ascii="仿宋_GB2312" w:hAnsi="仿宋_GB2312" w:eastAsia="仿宋_GB2312" w:cs="仿宋_GB2312"/>
                <w:sz w:val="24"/>
                <w:szCs w:val="24"/>
              </w:rPr>
              <w:t>为准，结算价不超过投标上限价。</w:t>
            </w:r>
          </w:p>
        </w:tc>
      </w:tr>
      <w:tr w14:paraId="4579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49E64272">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091" w:type="dxa"/>
            <w:vAlign w:val="center"/>
          </w:tcPr>
          <w:p w14:paraId="61B20A60">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供货</w:t>
            </w:r>
            <w:r>
              <w:rPr>
                <w:rFonts w:hint="eastAsia" w:ascii="仿宋_GB2312" w:hAnsi="仿宋_GB2312" w:eastAsia="仿宋_GB2312" w:cs="仿宋_GB2312"/>
                <w:b/>
                <w:bCs/>
                <w:sz w:val="24"/>
                <w:szCs w:val="24"/>
              </w:rPr>
              <w:t>期</w:t>
            </w:r>
          </w:p>
        </w:tc>
        <w:tc>
          <w:tcPr>
            <w:tcW w:w="6784" w:type="dxa"/>
            <w:vAlign w:val="center"/>
          </w:tcPr>
          <w:p w14:paraId="41223296">
            <w:pPr>
              <w:keepNext w:val="0"/>
              <w:keepLines w:val="0"/>
              <w:widowControl/>
              <w:suppressLineNumbers w:val="0"/>
              <w:overflowPunct w:val="0"/>
              <w:adjustRightInd w:val="0"/>
              <w:snapToGrid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不超过30</w:t>
            </w:r>
            <w:r>
              <w:rPr>
                <w:rFonts w:hint="eastAsia" w:ascii="仿宋_GB2312" w:hAnsi="仿宋_GB2312" w:eastAsia="仿宋_GB2312" w:cs="仿宋_GB2312"/>
                <w:sz w:val="24"/>
                <w:szCs w:val="24"/>
              </w:rPr>
              <w:t>个日历天</w:t>
            </w:r>
          </w:p>
        </w:tc>
      </w:tr>
      <w:tr w14:paraId="7430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5AB8E0BD">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091" w:type="dxa"/>
            <w:vAlign w:val="center"/>
          </w:tcPr>
          <w:p w14:paraId="77CB5BAC">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b/>
                <w:bCs/>
                <w:sz w:val="24"/>
                <w:szCs w:val="24"/>
              </w:rPr>
              <w:t>招标方式</w:t>
            </w:r>
          </w:p>
        </w:tc>
        <w:tc>
          <w:tcPr>
            <w:tcW w:w="6784" w:type="dxa"/>
            <w:vAlign w:val="center"/>
          </w:tcPr>
          <w:p w14:paraId="75D05041">
            <w:pPr>
              <w:keepNext w:val="0"/>
              <w:keepLines w:val="0"/>
              <w:widowControl/>
              <w:suppressLineNumbers w:val="0"/>
              <w:overflowPunct w:val="0"/>
              <w:adjustRightInd w:val="0"/>
              <w:snapToGrid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公开遴选（深圳市龙华建设发展集团有限公司网站</w:t>
            </w:r>
            <w:r>
              <w:rPr>
                <w:rFonts w:hint="eastAsia" w:ascii="仿宋_GB2312" w:hAnsi="仿宋_GB2312" w:eastAsia="仿宋_GB2312" w:cs="仿宋_GB2312"/>
                <w:sz w:val="24"/>
                <w:szCs w:val="24"/>
                <w:lang w:eastAsia="zh-CN"/>
              </w:rPr>
              <w:t>和深圳阳光采购平台</w:t>
            </w:r>
            <w:r>
              <w:rPr>
                <w:rFonts w:hint="eastAsia" w:ascii="仿宋_GB2312" w:hAnsi="仿宋_GB2312" w:eastAsia="仿宋_GB2312" w:cs="仿宋_GB2312"/>
                <w:sz w:val="24"/>
                <w:szCs w:val="24"/>
              </w:rPr>
              <w:t>）</w:t>
            </w:r>
          </w:p>
        </w:tc>
      </w:tr>
      <w:tr w14:paraId="06DD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41" w:type="dxa"/>
            <w:vAlign w:val="center"/>
          </w:tcPr>
          <w:p w14:paraId="5E0D0175">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091" w:type="dxa"/>
            <w:vAlign w:val="center"/>
          </w:tcPr>
          <w:p w14:paraId="76BEEFB1">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资格审查</w:t>
            </w:r>
          </w:p>
          <w:p w14:paraId="2F5FFB16">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方式</w:t>
            </w:r>
          </w:p>
        </w:tc>
        <w:tc>
          <w:tcPr>
            <w:tcW w:w="6784" w:type="dxa"/>
            <w:vAlign w:val="center"/>
          </w:tcPr>
          <w:p w14:paraId="41373B11">
            <w:pPr>
              <w:keepNext w:val="0"/>
              <w:keepLines w:val="0"/>
              <w:widowControl/>
              <w:suppressLineNumbers w:val="0"/>
              <w:overflowPunct w:val="0"/>
              <w:adjustRightInd w:val="0"/>
              <w:snapToGrid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资格后审</w:t>
            </w:r>
          </w:p>
        </w:tc>
      </w:tr>
      <w:tr w14:paraId="490D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841" w:type="dxa"/>
            <w:vAlign w:val="center"/>
          </w:tcPr>
          <w:p w14:paraId="7C430F0C">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091" w:type="dxa"/>
            <w:vAlign w:val="center"/>
          </w:tcPr>
          <w:p w14:paraId="76270ABF">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b/>
                <w:bCs/>
                <w:sz w:val="24"/>
                <w:szCs w:val="24"/>
              </w:rPr>
            </w:pPr>
            <w:r>
              <w:rPr>
                <w:rFonts w:hint="eastAsia" w:ascii="仿宋_GB2312" w:hAnsi="仿宋_GB2312" w:eastAsia="仿宋_GB2312" w:cs="仿宋_GB2312"/>
                <w:b/>
                <w:bCs/>
                <w:sz w:val="24"/>
                <w:szCs w:val="24"/>
              </w:rPr>
              <w:t>投标人资格</w:t>
            </w:r>
          </w:p>
          <w:p w14:paraId="710F7E9C">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b/>
                <w:bCs/>
                <w:sz w:val="24"/>
                <w:szCs w:val="24"/>
              </w:rPr>
            </w:pPr>
            <w:r>
              <w:rPr>
                <w:rFonts w:hint="eastAsia" w:ascii="仿宋_GB2312" w:hAnsi="仿宋_GB2312" w:eastAsia="仿宋_GB2312" w:cs="仿宋_GB2312"/>
                <w:b/>
                <w:bCs/>
                <w:sz w:val="24"/>
                <w:szCs w:val="24"/>
              </w:rPr>
              <w:t>要求</w:t>
            </w:r>
          </w:p>
        </w:tc>
        <w:tc>
          <w:tcPr>
            <w:tcW w:w="6784" w:type="dxa"/>
            <w:vAlign w:val="center"/>
          </w:tcPr>
          <w:p w14:paraId="6B98C8C8">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投标人需同时满足下列条件：</w:t>
            </w:r>
          </w:p>
          <w:p w14:paraId="56C52F57">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1）投标人须是在中华人民共和国境内注册，具有独立法人资格或是具有独立承担民事责任的能力的其它组织；</w:t>
            </w:r>
          </w:p>
          <w:p w14:paraId="5F1E59DF">
            <w:pPr>
              <w:keepNext w:val="0"/>
              <w:keepLines w:val="0"/>
              <w:suppressLineNumbers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lang w:val="en-US" w:eastAsia="zh-CN"/>
              </w:rPr>
              <w:t>2）本项目不接受联合体投标。</w:t>
            </w:r>
          </w:p>
        </w:tc>
      </w:tr>
      <w:tr w14:paraId="4983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jc w:val="center"/>
        </w:trPr>
        <w:tc>
          <w:tcPr>
            <w:tcW w:w="841" w:type="dxa"/>
            <w:vAlign w:val="center"/>
          </w:tcPr>
          <w:p w14:paraId="4B5410EC">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091" w:type="dxa"/>
            <w:vAlign w:val="center"/>
          </w:tcPr>
          <w:p w14:paraId="13724970">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b/>
                <w:bCs/>
                <w:sz w:val="24"/>
                <w:szCs w:val="24"/>
              </w:rPr>
            </w:pPr>
            <w:r>
              <w:rPr>
                <w:rFonts w:hint="eastAsia" w:ascii="仿宋_GB2312" w:hAnsi="仿宋_GB2312" w:eastAsia="仿宋_GB2312" w:cs="仿宋_GB2312"/>
                <w:b/>
                <w:bCs/>
                <w:sz w:val="24"/>
                <w:szCs w:val="24"/>
              </w:rPr>
              <w:t>评定标方式</w:t>
            </w:r>
          </w:p>
        </w:tc>
        <w:tc>
          <w:tcPr>
            <w:tcW w:w="6784" w:type="dxa"/>
            <w:vAlign w:val="center"/>
          </w:tcPr>
          <w:p w14:paraId="341485B3">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采用两阶段评标法（双信封模式）：第一阶段不开启价格标，初步评审后，对</w:t>
            </w:r>
            <w:r>
              <w:rPr>
                <w:rFonts w:hint="eastAsia" w:ascii="仿宋_GB2312" w:hAnsi="仿宋_GB2312" w:eastAsia="仿宋_GB2312" w:cs="仿宋_GB2312"/>
                <w:color w:val="auto"/>
                <w:sz w:val="24"/>
                <w:szCs w:val="24"/>
                <w:highlight w:val="none"/>
                <w:lang w:val="en-US" w:eastAsia="zh-CN"/>
              </w:rPr>
              <w:t>资信</w:t>
            </w:r>
            <w:r>
              <w:rPr>
                <w:rFonts w:hint="eastAsia" w:ascii="仿宋_GB2312" w:hAnsi="仿宋_GB2312" w:eastAsia="仿宋_GB2312" w:cs="仿宋_GB2312"/>
                <w:color w:val="auto"/>
                <w:sz w:val="24"/>
                <w:szCs w:val="24"/>
                <w:highlight w:val="none"/>
              </w:rPr>
              <w:t>技术标进行综合评分，</w:t>
            </w:r>
            <w:r>
              <w:rPr>
                <w:rFonts w:hint="eastAsia" w:ascii="仿宋_GB2312" w:hAnsi="仿宋_GB2312" w:eastAsia="仿宋_GB2312" w:cs="仿宋_GB2312"/>
                <w:color w:val="auto"/>
                <w:sz w:val="24"/>
                <w:szCs w:val="24"/>
                <w:highlight w:val="none"/>
                <w:lang w:val="en-US" w:eastAsia="zh-CN"/>
              </w:rPr>
              <w:t>综合评分不低于60分且</w:t>
            </w:r>
            <w:r>
              <w:rPr>
                <w:rFonts w:hint="eastAsia" w:ascii="仿宋_GB2312" w:hAnsi="仿宋_GB2312" w:eastAsia="仿宋_GB2312" w:cs="仿宋_GB2312"/>
                <w:color w:val="auto"/>
                <w:sz w:val="24"/>
                <w:szCs w:val="24"/>
                <w:highlight w:val="none"/>
              </w:rPr>
              <w:t>排名前3的进入下一阶段（若因分数并列导致排名前三超过3家时，则并列单位一同进入第二阶段</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若符合要求的单位不足3家时，可继续进行第二阶段采购活动</w:t>
            </w:r>
            <w:r>
              <w:rPr>
                <w:rFonts w:hint="eastAsia" w:ascii="仿宋_GB2312" w:hAnsi="仿宋_GB2312" w:eastAsia="仿宋_GB2312" w:cs="仿宋_GB2312"/>
                <w:color w:val="auto"/>
                <w:sz w:val="24"/>
                <w:szCs w:val="24"/>
                <w:highlight w:val="none"/>
              </w:rPr>
              <w:t>）；</w:t>
            </w:r>
          </w:p>
          <w:p w14:paraId="755F8FFF">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第二阶段开启价格标，报价最低的为中标候选人，若最低价有并列的情况，优先选择第一阶段综合得分高者，若综合得分也相同，则抽签确定。</w:t>
            </w:r>
          </w:p>
        </w:tc>
      </w:tr>
      <w:tr w14:paraId="4269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41" w:type="dxa"/>
            <w:vAlign w:val="center"/>
          </w:tcPr>
          <w:p w14:paraId="64CB1091">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091" w:type="dxa"/>
            <w:vAlign w:val="center"/>
          </w:tcPr>
          <w:p w14:paraId="06635AFA">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定标小组</w:t>
            </w:r>
          </w:p>
          <w:p w14:paraId="7720C030">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组建方式</w:t>
            </w:r>
          </w:p>
        </w:tc>
        <w:tc>
          <w:tcPr>
            <w:tcW w:w="6784" w:type="dxa"/>
            <w:vAlign w:val="center"/>
          </w:tcPr>
          <w:p w14:paraId="29E03952">
            <w:pPr>
              <w:keepNext w:val="0"/>
              <w:keepLines w:val="0"/>
              <w:suppressLineNumbers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t>共5人，由</w:t>
            </w:r>
            <w:r>
              <w:rPr>
                <w:rFonts w:hint="eastAsia" w:ascii="仿宋_GB2312" w:hAnsi="仿宋_GB2312" w:eastAsia="仿宋_GB2312" w:cs="仿宋_GB2312"/>
                <w:color w:val="auto"/>
                <w:sz w:val="24"/>
                <w:szCs w:val="24"/>
                <w:highlight w:val="none"/>
                <w:lang w:val="en-US" w:eastAsia="zh-CN"/>
              </w:rPr>
              <w:t>招标小组</w:t>
            </w:r>
            <w:r>
              <w:rPr>
                <w:rFonts w:hint="eastAsia" w:ascii="仿宋_GB2312" w:hAnsi="仿宋_GB2312" w:eastAsia="仿宋_GB2312" w:cs="仿宋_GB2312"/>
                <w:color w:val="auto"/>
                <w:sz w:val="24"/>
                <w:szCs w:val="24"/>
                <w:highlight w:val="none"/>
              </w:rPr>
              <w:t>组建</w:t>
            </w:r>
            <w:r>
              <w:rPr>
                <w:rFonts w:hint="eastAsia" w:ascii="仿宋_GB2312" w:hAnsi="仿宋_GB2312" w:eastAsia="仿宋_GB2312" w:cs="仿宋_GB2312"/>
                <w:color w:val="auto"/>
                <w:sz w:val="24"/>
                <w:szCs w:val="24"/>
                <w:highlight w:val="none"/>
                <w:lang w:val="en-US" w:eastAsia="zh-CN"/>
              </w:rPr>
              <w:t>。</w:t>
            </w:r>
          </w:p>
        </w:tc>
      </w:tr>
      <w:tr w14:paraId="2156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3F0E4E4D">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091" w:type="dxa"/>
            <w:vAlign w:val="center"/>
          </w:tcPr>
          <w:p w14:paraId="43565F05">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履约保函</w:t>
            </w:r>
          </w:p>
        </w:tc>
        <w:tc>
          <w:tcPr>
            <w:tcW w:w="6784" w:type="dxa"/>
            <w:vAlign w:val="center"/>
          </w:tcPr>
          <w:p w14:paraId="0CACC3D3">
            <w:pPr>
              <w:keepNext w:val="0"/>
              <w:keepLines w:val="0"/>
              <w:suppressLineNumbers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r>
              <w:rPr>
                <w:rFonts w:hint="eastAsia" w:ascii="仿宋_GB2312" w:hAnsi="仿宋_GB2312" w:eastAsia="仿宋_GB2312" w:cs="仿宋_GB2312"/>
                <w:sz w:val="24"/>
                <w:szCs w:val="24"/>
              </w:rPr>
              <w:t>。</w:t>
            </w:r>
          </w:p>
        </w:tc>
      </w:tr>
      <w:tr w14:paraId="1E2A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841" w:type="dxa"/>
            <w:vAlign w:val="center"/>
          </w:tcPr>
          <w:p w14:paraId="376333F6">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091" w:type="dxa"/>
            <w:vAlign w:val="center"/>
          </w:tcPr>
          <w:p w14:paraId="257F18C7">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b/>
                <w:bCs/>
                <w:sz w:val="24"/>
                <w:szCs w:val="24"/>
              </w:rPr>
              <w:t>合同款支付</w:t>
            </w:r>
          </w:p>
        </w:tc>
        <w:tc>
          <w:tcPr>
            <w:tcW w:w="6784" w:type="dxa"/>
            <w:vAlign w:val="center"/>
          </w:tcPr>
          <w:p w14:paraId="6755955F">
            <w:pPr>
              <w:pStyle w:val="2"/>
              <w:keepNext w:val="0"/>
              <w:keepLines w:val="0"/>
              <w:suppressLineNumbers w:val="0"/>
              <w:spacing w:before="0" w:beforeAutospacing="0" w:after="0" w:afterAutospacing="0"/>
              <w:ind w:left="0" w:right="0" w:firstLine="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（1）车辆验收合格并提供增值税专用发票后,买方向卖方付款至已验收合格车辆总金额的9</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lang w:eastAsia="zh-CN"/>
              </w:rPr>
              <w:t>%；</w:t>
            </w:r>
          </w:p>
          <w:p w14:paraId="0956E1F8">
            <w:pPr>
              <w:pStyle w:val="2"/>
              <w:keepNext w:val="0"/>
              <w:keepLines w:val="0"/>
              <w:suppressLineNumbers w:val="0"/>
              <w:spacing w:before="0" w:beforeAutospacing="0" w:after="0" w:afterAutospacing="0"/>
              <w:ind w:left="0" w:right="0" w:firstLine="0"/>
              <w:rPr>
                <w:rFonts w:hint="default"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（2）余</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%为质保金，</w:t>
            </w:r>
            <w:r>
              <w:rPr>
                <w:rFonts w:hint="eastAsia" w:ascii="仿宋_GB2312" w:hAnsi="仿宋_GB2312" w:eastAsia="仿宋_GB2312" w:cs="仿宋_GB2312"/>
                <w:sz w:val="24"/>
                <w:szCs w:val="24"/>
                <w:lang w:val="en-US" w:eastAsia="zh-CN"/>
              </w:rPr>
              <w:t>验收满1</w:t>
            </w:r>
            <w:r>
              <w:rPr>
                <w:rFonts w:hint="eastAsia" w:ascii="仿宋_GB2312" w:hAnsi="仿宋_GB2312" w:eastAsia="仿宋_GB2312" w:cs="仿宋_GB2312"/>
                <w:sz w:val="24"/>
                <w:szCs w:val="24"/>
                <w:lang w:eastAsia="zh-CN"/>
              </w:rPr>
              <w:t>年后无质量问题，无息支付给卖方。</w:t>
            </w:r>
          </w:p>
        </w:tc>
      </w:tr>
      <w:tr w14:paraId="48EA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2BFE7211">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091" w:type="dxa"/>
            <w:vAlign w:val="center"/>
          </w:tcPr>
          <w:p w14:paraId="02900718">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评标细则</w:t>
            </w:r>
          </w:p>
        </w:tc>
        <w:tc>
          <w:tcPr>
            <w:tcW w:w="6784" w:type="dxa"/>
            <w:vAlign w:val="center"/>
          </w:tcPr>
          <w:p w14:paraId="49FB853A">
            <w:pPr>
              <w:keepNext w:val="0"/>
              <w:keepLines w:val="0"/>
              <w:widowControl/>
              <w:suppressLineNumbers w:val="0"/>
              <w:overflowPunct w:val="0"/>
              <w:adjustRightInd w:val="0"/>
              <w:snapToGrid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详见下表（评分细则）。</w:t>
            </w:r>
          </w:p>
        </w:tc>
      </w:tr>
      <w:tr w14:paraId="2F6B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2CDBDBC9">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091" w:type="dxa"/>
            <w:vAlign w:val="center"/>
          </w:tcPr>
          <w:p w14:paraId="68E3BBEC">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6784" w:type="dxa"/>
            <w:vAlign w:val="center"/>
          </w:tcPr>
          <w:p w14:paraId="3F9D9491">
            <w:pPr>
              <w:keepNext w:val="0"/>
              <w:keepLines w:val="0"/>
              <w:widowControl/>
              <w:suppressLineNumbers w:val="0"/>
              <w:overflowPunct w:val="0"/>
              <w:adjustRightInd w:val="0"/>
              <w:snapToGrid w:val="0"/>
              <w:spacing w:before="0" w:beforeAutospacing="0" w:after="0" w:afterAutospacing="0"/>
              <w:ind w:left="0" w:right="0"/>
              <w:jc w:val="left"/>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w:t>
            </w:r>
          </w:p>
        </w:tc>
      </w:tr>
    </w:tbl>
    <w:p w14:paraId="687159D5">
      <w:pPr>
        <w:overflowPunct w:val="0"/>
        <w:adjustRightInd w:val="0"/>
        <w:snapToGrid w:val="0"/>
        <w:jc w:val="center"/>
        <w:rPr>
          <w:rFonts w:ascii="仿宋_GB2312" w:hAnsi="仿宋_GB2312" w:eastAsia="仿宋_GB2312" w:cs="仿宋_GB2312"/>
          <w:b/>
          <w:bCs/>
          <w:sz w:val="40"/>
          <w:szCs w:val="40"/>
        </w:rPr>
      </w:pPr>
      <w:r>
        <w:rPr>
          <w:rFonts w:hint="eastAsia" w:ascii="仿宋_GB2312" w:hAnsi="仿宋_GB2312" w:eastAsia="仿宋_GB2312" w:cs="仿宋_GB2312"/>
          <w:b/>
          <w:bCs/>
          <w:sz w:val="40"/>
          <w:szCs w:val="40"/>
        </w:rPr>
        <w:br w:type="page"/>
      </w:r>
    </w:p>
    <w:tbl>
      <w:tblPr>
        <w:tblStyle w:val="17"/>
        <w:tblW w:w="0" w:type="auto"/>
        <w:tblInd w:w="-186" w:type="dxa"/>
        <w:tblLayout w:type="fixed"/>
        <w:tblCellMar>
          <w:top w:w="0" w:type="dxa"/>
          <w:left w:w="0" w:type="dxa"/>
          <w:bottom w:w="0" w:type="dxa"/>
          <w:right w:w="0" w:type="dxa"/>
        </w:tblCellMar>
      </w:tblPr>
      <w:tblGrid>
        <w:gridCol w:w="632"/>
        <w:gridCol w:w="1189"/>
        <w:gridCol w:w="963"/>
        <w:gridCol w:w="7352"/>
      </w:tblGrid>
      <w:tr w14:paraId="571C073C">
        <w:trPr>
          <w:tblHeader/>
        </w:trPr>
        <w:tc>
          <w:tcPr>
            <w:tcW w:w="10136" w:type="dxa"/>
            <w:gridSpan w:val="4"/>
            <w:tcBorders>
              <w:top w:val="nil"/>
              <w:left w:val="nil"/>
              <w:bottom w:val="single" w:color="000000" w:sz="4" w:space="0"/>
              <w:right w:val="nil"/>
            </w:tcBorders>
            <w:tcMar>
              <w:left w:w="108" w:type="dxa"/>
              <w:right w:w="108" w:type="dxa"/>
            </w:tcMar>
            <w:vAlign w:val="center"/>
          </w:tcPr>
          <w:p w14:paraId="325177B5">
            <w:pPr>
              <w:keepNext w:val="0"/>
              <w:keepLines w:val="0"/>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b/>
                <w:bCs/>
                <w:sz w:val="40"/>
                <w:szCs w:val="40"/>
                <w:lang w:val="en-US" w:eastAsia="zh-CN"/>
              </w:rPr>
              <w:t>资信技术标</w:t>
            </w:r>
            <w:r>
              <w:rPr>
                <w:rFonts w:hint="eastAsia" w:ascii="仿宋_GB2312" w:hAnsi="仿宋_GB2312" w:eastAsia="仿宋_GB2312" w:cs="仿宋_GB2312"/>
                <w:b/>
                <w:bCs/>
                <w:sz w:val="40"/>
                <w:szCs w:val="40"/>
              </w:rPr>
              <w:t>评标细则</w:t>
            </w:r>
          </w:p>
        </w:tc>
      </w:tr>
      <w:tr w14:paraId="5E4270C6">
        <w:tblPrEx>
          <w:tblCellMar>
            <w:top w:w="0" w:type="dxa"/>
            <w:left w:w="0" w:type="dxa"/>
            <w:bottom w:w="0" w:type="dxa"/>
            <w:right w:w="0" w:type="dxa"/>
          </w:tblCellMar>
        </w:tblPrEx>
        <w:trPr>
          <w:tblHeader/>
        </w:trPr>
        <w:tc>
          <w:tcPr>
            <w:tcW w:w="63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E2912C7">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18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311B17D">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评分内容</w:t>
            </w:r>
          </w:p>
        </w:tc>
        <w:tc>
          <w:tcPr>
            <w:tcW w:w="96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1B0D3DC">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分值/权重</w:t>
            </w:r>
          </w:p>
        </w:tc>
        <w:tc>
          <w:tcPr>
            <w:tcW w:w="735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AFAE67B">
            <w:pPr>
              <w:keepNext w:val="0"/>
              <w:keepLines w:val="0"/>
              <w:widowControl/>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评分细则</w:t>
            </w:r>
          </w:p>
        </w:tc>
      </w:tr>
      <w:tr w14:paraId="2A968853">
        <w:tblPrEx>
          <w:tblCellMar>
            <w:top w:w="0" w:type="dxa"/>
            <w:left w:w="0" w:type="dxa"/>
            <w:bottom w:w="0" w:type="dxa"/>
            <w:right w:w="0" w:type="dxa"/>
          </w:tblCellMar>
        </w:tblPrEx>
        <w:trPr>
          <w:trHeight w:val="512" w:hRule="atLeast"/>
          <w:tblHeader/>
        </w:trPr>
        <w:tc>
          <w:tcPr>
            <w:tcW w:w="63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9BA358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8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5E7365">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商务报价</w:t>
            </w:r>
          </w:p>
        </w:tc>
        <w:tc>
          <w:tcPr>
            <w:tcW w:w="96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BE57E58">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735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4B14ABB">
            <w:pPr>
              <w:keepNext w:val="0"/>
              <w:keepLines w:val="0"/>
              <w:suppressLineNumbers w:val="0"/>
              <w:spacing w:before="0" w:beforeAutospacing="0" w:after="0" w:afterAutospacing="0"/>
              <w:ind w:left="0" w:right="0"/>
              <w:jc w:val="left"/>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本项目商务报价不计算得分</w:t>
            </w:r>
            <w:r>
              <w:rPr>
                <w:rFonts w:hint="eastAsia" w:ascii="仿宋_GB2312" w:hAnsi="仿宋_GB2312" w:eastAsia="仿宋_GB2312" w:cs="仿宋_GB2312"/>
                <w:sz w:val="24"/>
                <w:szCs w:val="24"/>
              </w:rPr>
              <w:t>。</w:t>
            </w:r>
          </w:p>
        </w:tc>
      </w:tr>
      <w:tr w14:paraId="13E35299">
        <w:tblPrEx>
          <w:tblCellMar>
            <w:top w:w="0" w:type="dxa"/>
            <w:left w:w="0" w:type="dxa"/>
            <w:bottom w:w="0" w:type="dxa"/>
            <w:right w:w="0" w:type="dxa"/>
          </w:tblCellMar>
        </w:tblPrEx>
        <w:trPr>
          <w:trHeight w:val="4270" w:hRule="atLeast"/>
          <w:tblHeader/>
        </w:trPr>
        <w:tc>
          <w:tcPr>
            <w:tcW w:w="63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A9FCD12">
            <w:pPr>
              <w:keepNext w:val="0"/>
              <w:keepLines w:val="0"/>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118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F75A1CD">
            <w:pPr>
              <w:keepNext w:val="0"/>
              <w:keepLines w:val="0"/>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企业同类</w:t>
            </w:r>
            <w:r>
              <w:rPr>
                <w:rFonts w:hint="eastAsia" w:ascii="仿宋_GB2312" w:hAnsi="仿宋_GB2312" w:eastAsia="仿宋_GB2312" w:cs="仿宋_GB2312"/>
                <w:sz w:val="24"/>
                <w:szCs w:val="24"/>
                <w:lang w:val="en-US" w:eastAsia="zh-CN"/>
              </w:rPr>
              <w:t>销售</w:t>
            </w:r>
            <w:r>
              <w:rPr>
                <w:rFonts w:hint="eastAsia" w:ascii="仿宋_GB2312" w:hAnsi="仿宋_GB2312" w:eastAsia="仿宋_GB2312" w:cs="仿宋_GB2312"/>
                <w:sz w:val="24"/>
                <w:szCs w:val="24"/>
              </w:rPr>
              <w:t>业绩</w:t>
            </w:r>
          </w:p>
        </w:tc>
        <w:tc>
          <w:tcPr>
            <w:tcW w:w="96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4A49417">
            <w:pPr>
              <w:keepNext w:val="0"/>
              <w:keepLines w:val="0"/>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735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9ABD01A">
            <w:pPr>
              <w:keepNext w:val="0"/>
              <w:keepLines w:val="0"/>
              <w:suppressLineNumbers w:val="0"/>
              <w:overflowPunct w:val="0"/>
              <w:adjustRightInd w:val="0"/>
              <w:snapToGrid w:val="0"/>
              <w:spacing w:before="0" w:beforeAutospacing="0" w:after="0" w:afterAutospacing="0"/>
              <w:ind w:left="0" w:right="0"/>
              <w:rPr>
                <w:rFonts w:hint="default"/>
              </w:rPr>
            </w:pPr>
            <w:r>
              <w:rPr>
                <w:rFonts w:hint="eastAsia" w:ascii="仿宋_GB2312" w:hAnsi="仿宋_GB2312" w:eastAsia="仿宋_GB2312" w:cs="仿宋_GB2312"/>
                <w:sz w:val="24"/>
                <w:szCs w:val="24"/>
              </w:rPr>
              <w:t>根据投标人近</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年（自投标截止之日起倒推，以合同签订时间为准）承接的</w:t>
            </w:r>
            <w:r>
              <w:rPr>
                <w:rFonts w:hint="eastAsia" w:ascii="仿宋_GB2312" w:hAnsi="宋体" w:eastAsia="仿宋_GB2312" w:cs="Times New Roman"/>
                <w:snapToGrid w:val="0"/>
                <w:color w:val="auto"/>
                <w:kern w:val="0"/>
                <w:sz w:val="24"/>
                <w:szCs w:val="24"/>
                <w:shd w:val="clear" w:color="auto" w:fill="auto"/>
                <w:lang w:val="en-US" w:eastAsia="zh-CN"/>
              </w:rPr>
              <w:t>同类产品（柴油自动档皮卡）的销售业绩</w:t>
            </w:r>
            <w:r>
              <w:rPr>
                <w:rFonts w:hint="eastAsia" w:ascii="仿宋_GB2312" w:hAnsi="仿宋_GB2312" w:eastAsia="仿宋_GB2312" w:cs="仿宋_GB2312"/>
                <w:sz w:val="24"/>
                <w:szCs w:val="24"/>
              </w:rPr>
              <w:t>合同，进行评分（合计最高得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0分）：</w:t>
            </w:r>
          </w:p>
          <w:p w14:paraId="355EA7C1">
            <w:pPr>
              <w:keepNext w:val="0"/>
              <w:keepLines w:val="0"/>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单项合同金额大于本项目招标控制价1/2的有效</w:t>
            </w:r>
            <w:r>
              <w:rPr>
                <w:rFonts w:hint="eastAsia" w:ascii="仿宋_GB2312" w:hAnsi="仿宋_GB2312" w:eastAsia="仿宋_GB2312" w:cs="仿宋_GB2312"/>
                <w:sz w:val="24"/>
                <w:szCs w:val="24"/>
                <w:lang w:val="en-US" w:eastAsia="zh-CN"/>
              </w:rPr>
              <w:t>合同</w:t>
            </w:r>
            <w:r>
              <w:rPr>
                <w:rFonts w:hint="eastAsia" w:ascii="仿宋_GB2312" w:hAnsi="仿宋_GB2312" w:eastAsia="仿宋_GB2312" w:cs="仿宋_GB2312"/>
                <w:sz w:val="24"/>
                <w:szCs w:val="24"/>
                <w:lang w:eastAsia="zh-CN"/>
              </w:rPr>
              <w:t>业绩，业绩需提供4项，超过4项只取列表前4项。每提供一项满足要求的业绩得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分，合计最高得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0分。</w:t>
            </w:r>
          </w:p>
          <w:p w14:paraId="6158516A">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_GB2312" w:hAnsi="仿宋_GB2312" w:eastAsia="仿宋_GB2312" w:cs="仿宋_GB2312"/>
                <w:sz w:val="24"/>
                <w:szCs w:val="24"/>
                <w:highlight w:val="none"/>
              </w:rPr>
            </w:pPr>
          </w:p>
          <w:p w14:paraId="1E28C5E1">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注：</w:t>
            </w:r>
            <w:r>
              <w:rPr>
                <w:rFonts w:hint="eastAsia" w:ascii="仿宋_GB2312" w:hAnsi="仿宋_GB2312" w:eastAsia="仿宋_GB2312" w:cs="仿宋_GB2312"/>
                <w:sz w:val="24"/>
                <w:szCs w:val="24"/>
                <w:highlight w:val="none"/>
                <w:lang w:val="en-US" w:eastAsia="zh-CN"/>
              </w:rPr>
              <w:t>①</w:t>
            </w:r>
            <w:r>
              <w:rPr>
                <w:rFonts w:hint="eastAsia" w:ascii="仿宋_GB2312" w:hAnsi="仿宋_GB2312" w:eastAsia="仿宋_GB2312" w:cs="仿宋_GB2312"/>
                <w:sz w:val="24"/>
                <w:szCs w:val="24"/>
                <w:highlight w:val="none"/>
              </w:rPr>
              <w:t>提供合同扫描件，须体现合同主体、合同范围、合同金额、合同盖章等关键页</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同时需提供</w:t>
            </w:r>
            <w:r>
              <w:rPr>
                <w:rFonts w:hint="eastAsia" w:ascii="仿宋_GB2312" w:hAnsi="仿宋_GB2312" w:eastAsia="仿宋_GB2312" w:cs="仿宋_GB2312"/>
                <w:sz w:val="24"/>
                <w:szCs w:val="24"/>
                <w:highlight w:val="none"/>
                <w:lang w:val="en-US" w:eastAsia="zh-CN"/>
              </w:rPr>
              <w:t>甲方盖章出具的中标通知书或供货验收单</w:t>
            </w:r>
            <w:r>
              <w:rPr>
                <w:rFonts w:hint="eastAsia" w:ascii="仿宋_GB2312" w:hAnsi="仿宋_GB2312" w:eastAsia="仿宋_GB2312" w:cs="仿宋_GB2312"/>
                <w:sz w:val="24"/>
                <w:szCs w:val="24"/>
                <w:highlight w:val="none"/>
                <w:lang w:eastAsia="zh-CN"/>
              </w:rPr>
              <w:t>；</w:t>
            </w:r>
          </w:p>
          <w:p w14:paraId="238F905D">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480" w:firstLineChars="200"/>
              <w:jc w:val="left"/>
              <w:textAlignment w:val="auto"/>
              <w:rPr>
                <w:rFonts w:hint="default" w:ascii="仿宋_GB2312" w:hAnsi="仿宋_GB2312" w:eastAsia="仿宋_GB2312" w:cs="仿宋_GB2312"/>
                <w:sz w:val="24"/>
                <w:szCs w:val="24"/>
              </w:rPr>
            </w:pPr>
            <w:r>
              <w:rPr>
                <w:rFonts w:hint="eastAsia" w:ascii="仿宋_GB2312" w:hAnsi="仿宋_GB2312" w:eastAsia="仿宋_GB2312" w:cs="仿宋_GB2312"/>
                <w:sz w:val="24"/>
                <w:szCs w:val="24"/>
                <w:highlight w:val="none"/>
                <w:lang w:val="en-US" w:eastAsia="zh-CN"/>
              </w:rPr>
              <w:t>②</w:t>
            </w:r>
            <w:r>
              <w:rPr>
                <w:rFonts w:hint="eastAsia" w:ascii="仿宋_GB2312" w:hAnsi="仿宋_GB2312" w:eastAsia="仿宋_GB2312" w:cs="仿宋_GB2312"/>
                <w:sz w:val="24"/>
                <w:szCs w:val="24"/>
                <w:highlight w:val="none"/>
              </w:rPr>
              <w:t>每份合同只计算一次，未提供、显示模糊或资料不符合要求的不得分。评标委员会有权对投标人提供的资料真实性进行核查</w:t>
            </w:r>
            <w:r>
              <w:rPr>
                <w:rFonts w:hint="default" w:ascii="仿宋_GB2312" w:hAnsi="仿宋_GB2312" w:eastAsia="仿宋_GB2312" w:cs="仿宋_GB2312"/>
                <w:sz w:val="24"/>
                <w:szCs w:val="24"/>
              </w:rPr>
              <w:t>。</w:t>
            </w:r>
          </w:p>
        </w:tc>
      </w:tr>
      <w:tr w14:paraId="4392FE56">
        <w:tblPrEx>
          <w:tblCellMar>
            <w:top w:w="0" w:type="dxa"/>
            <w:left w:w="0" w:type="dxa"/>
            <w:bottom w:w="0" w:type="dxa"/>
            <w:right w:w="0" w:type="dxa"/>
          </w:tblCellMar>
        </w:tblPrEx>
        <w:trPr>
          <w:trHeight w:val="2618" w:hRule="atLeast"/>
          <w:tblHeader/>
        </w:trPr>
        <w:tc>
          <w:tcPr>
            <w:tcW w:w="63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6A8ACF">
            <w:pPr>
              <w:keepNext w:val="0"/>
              <w:keepLines w:val="0"/>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18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31914DF">
            <w:pPr>
              <w:keepNext w:val="0"/>
              <w:keepLines w:val="0"/>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default" w:ascii="仿宋_GB2312" w:hAnsi="仿宋_GB2312" w:eastAsia="仿宋_GB2312" w:cs="仿宋_GB2312"/>
                <w:sz w:val="24"/>
                <w:szCs w:val="24"/>
              </w:rPr>
              <w:t>技术规格偏离情况</w:t>
            </w:r>
          </w:p>
        </w:tc>
        <w:tc>
          <w:tcPr>
            <w:tcW w:w="96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49C0210">
            <w:pPr>
              <w:keepNext w:val="0"/>
              <w:keepLines w:val="0"/>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w:t>
            </w:r>
          </w:p>
        </w:tc>
        <w:tc>
          <w:tcPr>
            <w:tcW w:w="735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DB8596A">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ind w:left="0" w:right="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评审委员会根据投标人提供产品得技术规格响应情况进行打分，在满足实质性条款的前提下，全部满足的得满分，一般参数每负偏离一项（小项）扣5分。重点技术参数▲项若有负偏离，扣40分。</w:t>
            </w:r>
          </w:p>
          <w:p w14:paraId="00AF5580">
            <w:pPr>
              <w:pStyle w:val="13"/>
              <w:keepNext w:val="0"/>
              <w:keepLines w:val="0"/>
              <w:suppressLineNumbers w:val="0"/>
              <w:spacing w:before="0" w:beforeAutospacing="0" w:after="0" w:afterAutospacing="0"/>
              <w:ind w:left="0" w:right="0"/>
              <w:rPr>
                <w:rFonts w:hint="eastAsia"/>
                <w:lang w:val="en-US" w:eastAsia="zh-CN"/>
              </w:rPr>
            </w:pPr>
          </w:p>
          <w:p w14:paraId="004693EC">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（1）总质量(kg):&lt;3000</w:t>
            </w:r>
          </w:p>
          <w:p w14:paraId="6509B8F9">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highlight w:val="none"/>
                <w:lang w:val="en-US" w:eastAsia="zh-CN"/>
              </w:rPr>
              <w:t>（2）变速箱类型：自动</w:t>
            </w:r>
          </w:p>
          <w:p w14:paraId="50DD9901">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（3）发动机功率（kW）：&gt;120</w:t>
            </w:r>
          </w:p>
          <w:p w14:paraId="3DFE8188">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（4）排量（T）：&lt;2.5</w:t>
            </w:r>
          </w:p>
          <w:p w14:paraId="0D887B93">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（5）排放标准：国6</w:t>
            </w:r>
          </w:p>
          <w:p w14:paraId="0620BA69">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（6）能源类型：柴油</w:t>
            </w:r>
          </w:p>
          <w:p w14:paraId="4F4B37B5">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（7）外形尺寸（mm)：长度&lt;6000，宽度&lt;1900，高度&lt;2400</w:t>
            </w:r>
          </w:p>
          <w:p w14:paraId="26DB5806">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w:t>
            </w:r>
            <w:r>
              <w:rPr>
                <w:rFonts w:hint="eastAsia" w:ascii="仿宋_GB2312" w:hAnsi="仿宋_GB2312" w:eastAsia="仿宋_GB2312" w:cs="仿宋_GB2312"/>
                <w:sz w:val="24"/>
                <w:szCs w:val="24"/>
                <w:lang w:val="en-US" w:eastAsia="zh-CN"/>
              </w:rPr>
              <w:t>安全系统（个）：安全气囊≥2</w:t>
            </w:r>
          </w:p>
          <w:p w14:paraId="38D9DA26">
            <w:pPr>
              <w:pStyle w:val="13"/>
              <w:keepNext w:val="0"/>
              <w:keepLines w:val="0"/>
              <w:pageBreakBefore w:val="0"/>
              <w:widowControl w:val="0"/>
              <w:suppressLineNumbers w:val="0"/>
              <w:kinsoku/>
              <w:wordWrap/>
              <w:topLinePunct w:val="0"/>
              <w:autoSpaceDE/>
              <w:autoSpaceDN/>
              <w:bidi w:val="0"/>
              <w:spacing w:before="0" w:beforeAutospacing="0" w:after="0" w:afterAutospacing="0"/>
              <w:ind w:left="0" w:right="0"/>
              <w:textAlignment w:val="auto"/>
              <w:rPr>
                <w:rFonts w:hint="eastAsia"/>
                <w:lang w:val="en-US" w:eastAsia="zh-CN"/>
              </w:rPr>
            </w:pPr>
          </w:p>
          <w:p w14:paraId="718AB0C6">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ind w:left="0" w:right="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注：根据投标车辆的技术参数指标，投标人应提供工信部公告证明材料或合格证证明材料，否则评委视为不满足。</w:t>
            </w:r>
          </w:p>
        </w:tc>
      </w:tr>
      <w:tr w14:paraId="77A48B5A">
        <w:tblPrEx>
          <w:tblCellMar>
            <w:top w:w="0" w:type="dxa"/>
            <w:left w:w="0" w:type="dxa"/>
            <w:bottom w:w="0" w:type="dxa"/>
            <w:right w:w="0" w:type="dxa"/>
          </w:tblCellMar>
        </w:tblPrEx>
        <w:trPr>
          <w:trHeight w:val="2618" w:hRule="atLeast"/>
          <w:tblHeader/>
        </w:trPr>
        <w:tc>
          <w:tcPr>
            <w:tcW w:w="63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B11BEA9">
            <w:pPr>
              <w:keepNext w:val="0"/>
              <w:keepLines w:val="0"/>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118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78F3675">
            <w:pPr>
              <w:keepNext w:val="0"/>
              <w:keepLines w:val="0"/>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供货方案</w:t>
            </w:r>
          </w:p>
        </w:tc>
        <w:tc>
          <w:tcPr>
            <w:tcW w:w="96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21E13CE">
            <w:pPr>
              <w:keepNext w:val="0"/>
              <w:keepLines w:val="0"/>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735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FF5F867">
            <w:pPr>
              <w:keepNext w:val="0"/>
              <w:keepLines w:val="0"/>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评标委员会根据投标人提供的生产供应保障、进度控制、质量保证等方面进行横向比较，自行判断评分。方案最佳为优，以此类推。评分标准如下：</w:t>
            </w:r>
          </w:p>
          <w:p w14:paraId="2115E497">
            <w:pPr>
              <w:keepNext w:val="0"/>
              <w:keepLines w:val="0"/>
              <w:suppressLineNumbers w:val="0"/>
              <w:overflowPunct w:val="0"/>
              <w:adjustRightInd w:val="0"/>
              <w:snapToGrid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优：</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分；良：</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分；中：</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分；差：0-1分</w:t>
            </w:r>
            <w:r>
              <w:rPr>
                <w:rFonts w:hint="default" w:ascii="仿宋_GB2312" w:hAnsi="仿宋_GB2312" w:eastAsia="仿宋_GB2312" w:cs="仿宋_GB2312"/>
                <w:sz w:val="24"/>
                <w:szCs w:val="24"/>
              </w:rPr>
              <w:t>。</w:t>
            </w:r>
          </w:p>
          <w:p w14:paraId="5B7BBE93">
            <w:pPr>
              <w:keepNext w:val="0"/>
              <w:keepLines w:val="0"/>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sz w:val="24"/>
                <w:szCs w:val="24"/>
                <w:lang w:val="en-US" w:eastAsia="zh-CN"/>
              </w:rPr>
            </w:pPr>
          </w:p>
          <w:p w14:paraId="071069CB">
            <w:pPr>
              <w:keepNext w:val="0"/>
              <w:keepLines w:val="0"/>
              <w:suppressLineNumbers w:val="0"/>
              <w:overflowPunct w:val="0"/>
              <w:adjustRightInd w:val="0"/>
              <w:snapToGrid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w:t>
            </w:r>
            <w:r>
              <w:rPr>
                <w:rFonts w:hint="default"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投标人</w:t>
            </w:r>
            <w:r>
              <w:rPr>
                <w:rFonts w:hint="default" w:ascii="仿宋_GB2312" w:hAnsi="仿宋_GB2312" w:eastAsia="仿宋_GB2312" w:cs="仿宋_GB2312"/>
                <w:sz w:val="24"/>
                <w:szCs w:val="24"/>
              </w:rPr>
              <w:t>提供《</w:t>
            </w:r>
            <w:r>
              <w:rPr>
                <w:rFonts w:hint="eastAsia" w:ascii="仿宋_GB2312" w:hAnsi="宋体" w:eastAsia="仿宋_GB2312" w:cs="Times New Roman"/>
                <w:snapToGrid w:val="0"/>
                <w:color w:val="auto"/>
                <w:kern w:val="0"/>
                <w:sz w:val="24"/>
                <w:szCs w:val="24"/>
                <w:shd w:val="clear" w:color="auto" w:fill="auto"/>
                <w:lang w:val="en-US" w:eastAsia="zh-CN"/>
              </w:rPr>
              <w:t>车辆到货期承诺函</w:t>
            </w:r>
            <w:r>
              <w:rPr>
                <w:rFonts w:hint="default" w:ascii="仿宋_GB2312" w:hAnsi="仿宋_GB2312" w:eastAsia="仿宋_GB2312" w:cs="仿宋_GB2312"/>
                <w:sz w:val="24"/>
                <w:szCs w:val="24"/>
              </w:rPr>
              <w:t>》和《</w:t>
            </w:r>
            <w:r>
              <w:rPr>
                <w:rFonts w:hint="eastAsia" w:ascii="仿宋_GB2312" w:hAnsi="仿宋_GB2312" w:eastAsia="仿宋_GB2312" w:cs="仿宋_GB2312"/>
                <w:sz w:val="24"/>
                <w:szCs w:val="24"/>
              </w:rPr>
              <w:t>车辆的生产供应保障方案</w:t>
            </w:r>
            <w:r>
              <w:rPr>
                <w:rFonts w:hint="default"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并</w:t>
            </w:r>
            <w:r>
              <w:rPr>
                <w:rFonts w:hint="eastAsia" w:ascii="仿宋_GB2312" w:hAnsi="宋体" w:eastAsia="仿宋_GB2312" w:cs="Times New Roman"/>
                <w:snapToGrid w:val="0"/>
                <w:color w:val="auto"/>
                <w:kern w:val="0"/>
                <w:sz w:val="24"/>
                <w:szCs w:val="24"/>
                <w:shd w:val="clear" w:color="auto" w:fill="auto"/>
                <w:lang w:val="en-US" w:eastAsia="zh-CN"/>
              </w:rPr>
              <w:t>加盖投标人公章</w:t>
            </w:r>
            <w:r>
              <w:rPr>
                <w:rFonts w:hint="default" w:ascii="仿宋_GB2312" w:hAnsi="仿宋_GB2312" w:eastAsia="仿宋_GB2312" w:cs="仿宋_GB2312"/>
                <w:sz w:val="24"/>
                <w:szCs w:val="24"/>
              </w:rPr>
              <w:t>。</w:t>
            </w:r>
          </w:p>
        </w:tc>
      </w:tr>
      <w:tr w14:paraId="048B6D2B">
        <w:tblPrEx>
          <w:tblCellMar>
            <w:top w:w="0" w:type="dxa"/>
            <w:left w:w="0" w:type="dxa"/>
            <w:bottom w:w="0" w:type="dxa"/>
            <w:right w:w="0" w:type="dxa"/>
          </w:tblCellMar>
        </w:tblPrEx>
        <w:trPr>
          <w:trHeight w:val="90" w:hRule="atLeast"/>
          <w:tblHeader/>
        </w:trPr>
        <w:tc>
          <w:tcPr>
            <w:tcW w:w="632" w:type="dxa"/>
            <w:tcBorders>
              <w:top w:val="single" w:color="auto" w:sz="4" w:space="0"/>
              <w:left w:val="single" w:color="000000" w:sz="4" w:space="0"/>
              <w:bottom w:val="single" w:color="000000" w:sz="4" w:space="0"/>
              <w:right w:val="single" w:color="000000" w:sz="4" w:space="0"/>
            </w:tcBorders>
            <w:tcMar>
              <w:left w:w="108" w:type="dxa"/>
              <w:right w:w="108" w:type="dxa"/>
            </w:tcMar>
            <w:vAlign w:val="center"/>
          </w:tcPr>
          <w:p w14:paraId="33D164A6">
            <w:pPr>
              <w:keepNext w:val="0"/>
              <w:keepLines w:val="0"/>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1189" w:type="dxa"/>
            <w:tcBorders>
              <w:top w:val="single" w:color="auto" w:sz="4" w:space="0"/>
              <w:left w:val="single" w:color="000000" w:sz="4" w:space="0"/>
              <w:bottom w:val="single" w:color="000000" w:sz="4" w:space="0"/>
              <w:right w:val="single" w:color="000000" w:sz="4" w:space="0"/>
            </w:tcBorders>
            <w:tcMar>
              <w:left w:w="108" w:type="dxa"/>
              <w:right w:w="108" w:type="dxa"/>
            </w:tcMar>
            <w:vAlign w:val="center"/>
          </w:tcPr>
          <w:p w14:paraId="2260E772">
            <w:pPr>
              <w:keepNext w:val="0"/>
              <w:keepLines w:val="0"/>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售后服务方案</w:t>
            </w:r>
          </w:p>
        </w:tc>
        <w:tc>
          <w:tcPr>
            <w:tcW w:w="96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CF957B">
            <w:pPr>
              <w:keepNext w:val="0"/>
              <w:keepLines w:val="0"/>
              <w:suppressLineNumbers w:val="0"/>
              <w:overflowPunct w:val="0"/>
              <w:adjustRightInd w:val="0"/>
              <w:snapToGrid w:val="0"/>
              <w:spacing w:before="0" w:beforeAutospacing="0" w:after="0" w:afterAutospacing="0"/>
              <w:ind w:left="0" w:right="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735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6D026D8">
            <w:pPr>
              <w:keepNext w:val="0"/>
              <w:keepLines w:val="0"/>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售后内容：评标委员会根据投标人</w:t>
            </w:r>
            <w:r>
              <w:rPr>
                <w:rFonts w:hint="eastAsia" w:ascii="仿宋_GB2312" w:hAnsi="仿宋_GB2312" w:eastAsia="仿宋_GB2312" w:cs="仿宋_GB2312"/>
                <w:sz w:val="24"/>
                <w:szCs w:val="24"/>
                <w:lang w:val="en-US" w:eastAsia="zh-CN"/>
              </w:rPr>
              <w:t>提供</w:t>
            </w:r>
            <w:r>
              <w:rPr>
                <w:rFonts w:hint="eastAsia" w:ascii="仿宋_GB2312" w:hAnsi="仿宋_GB2312" w:eastAsia="仿宋_GB2312" w:cs="仿宋_GB2312"/>
                <w:sz w:val="24"/>
                <w:szCs w:val="24"/>
              </w:rPr>
              <w:t>的售后服务方案优劣性、售后服务网点分布便利性、故障响应方案、备品备件库配备情况进行横向比较，自行判断评分。方案最佳为优，以此类推。评分标准如下：</w:t>
            </w:r>
          </w:p>
          <w:p w14:paraId="0692473C">
            <w:pPr>
              <w:keepNext w:val="0"/>
              <w:keepLines w:val="0"/>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分；良：</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分；中：</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分；差：0-1分。</w:t>
            </w:r>
          </w:p>
          <w:p w14:paraId="42CAA318">
            <w:pPr>
              <w:pStyle w:val="13"/>
              <w:keepNext w:val="0"/>
              <w:keepLines w:val="0"/>
              <w:numPr>
                <w:ilvl w:val="0"/>
                <w:numId w:val="0"/>
              </w:numPr>
              <w:suppressLineNumbers w:val="0"/>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sz w:val="24"/>
                <w:szCs w:val="24"/>
                <w:lang w:eastAsia="zh-CN"/>
              </w:rPr>
              <w:t>培训和技术支持方案：</w:t>
            </w:r>
            <w:r>
              <w:rPr>
                <w:rFonts w:hint="eastAsia" w:ascii="仿宋_GB2312" w:hAnsi="仿宋_GB2312" w:eastAsia="仿宋_GB2312" w:cs="仿宋_GB2312"/>
                <w:sz w:val="24"/>
                <w:szCs w:val="24"/>
              </w:rPr>
              <w:t>评标委员会根据投标人</w:t>
            </w:r>
            <w:r>
              <w:rPr>
                <w:rFonts w:hint="eastAsia" w:ascii="仿宋_GB2312" w:hAnsi="仿宋_GB2312" w:eastAsia="仿宋_GB2312" w:cs="仿宋_GB2312"/>
                <w:sz w:val="24"/>
                <w:szCs w:val="24"/>
                <w:lang w:val="en-US" w:eastAsia="zh-CN"/>
              </w:rPr>
              <w:t>提供</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eastAsia="zh-CN"/>
              </w:rPr>
              <w:t>针对本项目培训计划、培训方式、技术支持方案等</w:t>
            </w:r>
            <w:r>
              <w:rPr>
                <w:rFonts w:hint="eastAsia" w:ascii="仿宋_GB2312" w:hAnsi="仿宋_GB2312" w:eastAsia="仿宋_GB2312" w:cs="仿宋_GB2312"/>
                <w:sz w:val="24"/>
                <w:szCs w:val="24"/>
              </w:rPr>
              <w:t>进行横向比较，自行判断评分。方案最佳为优，以此类推。评分标准如下：</w:t>
            </w:r>
          </w:p>
          <w:p w14:paraId="4812559B">
            <w:pPr>
              <w:keepNext w:val="0"/>
              <w:keepLines w:val="0"/>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优：</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分；良：</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分；中：</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分；差：0-1分。</w:t>
            </w:r>
          </w:p>
          <w:p w14:paraId="7D6C5C50">
            <w:pPr>
              <w:keepNext w:val="0"/>
              <w:keepLines w:val="0"/>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质保期：</w:t>
            </w:r>
            <w:r>
              <w:rPr>
                <w:rFonts w:hint="eastAsia" w:ascii="仿宋_GB2312" w:hAnsi="仿宋_GB2312" w:eastAsia="仿宋_GB2312" w:cs="仿宋_GB2312"/>
                <w:sz w:val="24"/>
                <w:szCs w:val="24"/>
                <w:lang w:eastAsia="zh-CN"/>
              </w:rPr>
              <w:t>整车</w:t>
            </w:r>
            <w:r>
              <w:rPr>
                <w:rFonts w:hint="eastAsia" w:ascii="仿宋_GB2312" w:hAnsi="仿宋_GB2312" w:eastAsia="仿宋_GB2312" w:cs="仿宋_GB2312"/>
                <w:sz w:val="24"/>
                <w:szCs w:val="24"/>
              </w:rPr>
              <w:t>质保期，在</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年的基础上，每增加一年得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p w14:paraId="0B74E358">
            <w:pPr>
              <w:keepNext w:val="0"/>
              <w:keepLines w:val="0"/>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sz w:val="24"/>
                <w:szCs w:val="24"/>
                <w:lang w:val="en-US" w:eastAsia="zh-CN"/>
              </w:rPr>
            </w:pPr>
          </w:p>
          <w:p w14:paraId="76162DB5">
            <w:pPr>
              <w:keepNext w:val="0"/>
              <w:keepLines w:val="0"/>
              <w:suppressLineNumbers w:val="0"/>
              <w:overflowPunct w:val="0"/>
              <w:adjustRightInd w:val="0"/>
              <w:snapToGrid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w:t>
            </w:r>
            <w:r>
              <w:rPr>
                <w:rFonts w:hint="eastAsia" w:ascii="仿宋_GB2312" w:hAnsi="仿宋_GB2312" w:eastAsia="仿宋_GB2312" w:cs="仿宋_GB2312"/>
                <w:sz w:val="24"/>
                <w:szCs w:val="24"/>
              </w:rPr>
              <w:t>：提供《售后服务承诺函》，方案内容需涵盖评审内容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质保期承诺函需加盖投标人公章</w:t>
            </w:r>
            <w:r>
              <w:rPr>
                <w:rFonts w:hint="default" w:ascii="仿宋_GB2312" w:hAnsi="仿宋_GB2312" w:eastAsia="仿宋_GB2312" w:cs="仿宋_GB2312"/>
                <w:sz w:val="24"/>
                <w:szCs w:val="24"/>
              </w:rPr>
              <w:t>。</w:t>
            </w:r>
          </w:p>
        </w:tc>
      </w:tr>
    </w:tbl>
    <w:p w14:paraId="4C27088B">
      <w:pPr>
        <w:rPr>
          <w:rFonts w:hint="eastAsia"/>
          <w:lang w:val="en-US" w:eastAsia="zh-CN"/>
        </w:rPr>
      </w:pPr>
      <w:r>
        <w:rPr>
          <w:rFonts w:hint="eastAsia"/>
          <w:lang w:val="en-US" w:eastAsia="zh-CN"/>
        </w:rPr>
        <w:br w:type="page"/>
      </w:r>
    </w:p>
    <w:p w14:paraId="19CD62CD">
      <w:pPr>
        <w:pStyle w:val="13"/>
        <w:rPr>
          <w:rFonts w:hint="default"/>
          <w:sz w:val="28"/>
          <w:szCs w:val="28"/>
          <w:lang w:val="en-US" w:eastAsia="zh-CN"/>
        </w:rPr>
      </w:pPr>
      <w:r>
        <w:rPr>
          <w:rFonts w:hint="eastAsia"/>
          <w:sz w:val="28"/>
          <w:szCs w:val="28"/>
          <w:lang w:val="en-US" w:eastAsia="zh-CN"/>
        </w:rPr>
        <w:t>其他要求</w:t>
      </w:r>
    </w:p>
    <w:tbl>
      <w:tblPr>
        <w:tblStyle w:val="17"/>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709"/>
        <w:gridCol w:w="6927"/>
      </w:tblGrid>
      <w:tr w14:paraId="1FF2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5" w:type="dxa"/>
            <w:noWrap w:val="0"/>
            <w:vAlign w:val="center"/>
          </w:tcPr>
          <w:p w14:paraId="1C498904">
            <w:pPr>
              <w:keepNext w:val="0"/>
              <w:keepLines w:val="0"/>
              <w:suppressLineNumbers w:val="0"/>
              <w:spacing w:before="0" w:beforeAutospacing="0" w:after="0" w:afterAutospacing="0"/>
              <w:ind w:left="0" w:right="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709" w:type="dxa"/>
            <w:noWrap w:val="0"/>
            <w:vAlign w:val="center"/>
          </w:tcPr>
          <w:p w14:paraId="73D364B6">
            <w:pPr>
              <w:keepNext w:val="0"/>
              <w:keepLines w:val="0"/>
              <w:suppressLineNumbers w:val="0"/>
              <w:spacing w:before="0" w:beforeAutospacing="0" w:after="0" w:afterAutospacing="0"/>
              <w:ind w:left="0" w:right="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目录</w:t>
            </w:r>
          </w:p>
        </w:tc>
        <w:tc>
          <w:tcPr>
            <w:tcW w:w="6927" w:type="dxa"/>
            <w:noWrap w:val="0"/>
            <w:vAlign w:val="center"/>
          </w:tcPr>
          <w:p w14:paraId="0FEACCEA">
            <w:pPr>
              <w:keepNext w:val="0"/>
              <w:keepLines w:val="0"/>
              <w:suppressLineNumbers w:val="0"/>
              <w:spacing w:before="0" w:beforeAutospacing="0" w:after="0" w:afterAutospacing="0"/>
              <w:ind w:left="0" w:right="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招标需求</w:t>
            </w:r>
          </w:p>
        </w:tc>
      </w:tr>
      <w:tr w14:paraId="41F9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1" w:type="dxa"/>
            <w:gridSpan w:val="3"/>
            <w:noWrap w:val="0"/>
            <w:vAlign w:val="center"/>
          </w:tcPr>
          <w:p w14:paraId="638E691F">
            <w:pPr>
              <w:keepNext w:val="0"/>
              <w:keepLines w:val="0"/>
              <w:suppressLineNumbers w:val="0"/>
              <w:spacing w:before="0" w:beforeAutospacing="0" w:after="0" w:afterAutospacing="0"/>
              <w:ind w:left="0" w:right="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（一）免费保修期内售后服务要求</w:t>
            </w:r>
          </w:p>
        </w:tc>
      </w:tr>
      <w:tr w14:paraId="4C48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895" w:type="dxa"/>
            <w:noWrap w:val="0"/>
            <w:vAlign w:val="center"/>
          </w:tcPr>
          <w:p w14:paraId="07E2C108">
            <w:pPr>
              <w:keepNext w:val="0"/>
              <w:keepLines w:val="0"/>
              <w:numPr>
                <w:ilvl w:val="0"/>
                <w:numId w:val="0"/>
              </w:numPr>
              <w:suppressLineNumbers w:val="0"/>
              <w:spacing w:before="0" w:beforeAutospacing="0" w:after="0" w:afterAutospacing="0"/>
              <w:ind w:left="0" w:leftChars="0" w:right="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w:t>
            </w:r>
          </w:p>
        </w:tc>
        <w:tc>
          <w:tcPr>
            <w:tcW w:w="1709" w:type="dxa"/>
            <w:noWrap w:val="0"/>
            <w:vAlign w:val="center"/>
          </w:tcPr>
          <w:p w14:paraId="1E7816ED">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免费保修期</w:t>
            </w:r>
          </w:p>
        </w:tc>
        <w:tc>
          <w:tcPr>
            <w:tcW w:w="6927" w:type="dxa"/>
            <w:noWrap w:val="0"/>
            <w:vAlign w:val="center"/>
          </w:tcPr>
          <w:p w14:paraId="03C25140">
            <w:pPr>
              <w:keepNext w:val="0"/>
              <w:keepLines w:val="0"/>
              <w:suppressLineNumbers w:val="0"/>
              <w:spacing w:before="0" w:beforeAutospacing="0" w:after="0" w:afterAutospacing="0"/>
              <w:ind w:left="0" w:right="0"/>
              <w:jc w:val="both"/>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bCs/>
                <w:sz w:val="24"/>
                <w:szCs w:val="24"/>
                <w:lang w:val="en-US" w:eastAsia="zh-CN"/>
              </w:rPr>
              <w:t>整车</w:t>
            </w:r>
            <w:r>
              <w:rPr>
                <w:rFonts w:hint="eastAsia" w:ascii="仿宋_GB2312" w:hAnsi="仿宋_GB2312" w:eastAsia="仿宋_GB2312" w:cs="仿宋_GB2312"/>
                <w:bCs/>
                <w:sz w:val="24"/>
                <w:szCs w:val="24"/>
                <w:lang w:eastAsia="zh-CN"/>
              </w:rPr>
              <w:t>质保</w:t>
            </w:r>
            <w:r>
              <w:rPr>
                <w:rFonts w:hint="eastAsia" w:ascii="仿宋_GB2312" w:hAnsi="仿宋_GB2312" w:eastAsia="仿宋_GB2312" w:cs="仿宋_GB2312"/>
                <w:bCs/>
                <w:sz w:val="24"/>
                <w:szCs w:val="24"/>
              </w:rPr>
              <w:t>期</w:t>
            </w:r>
            <w:r>
              <w:rPr>
                <w:rFonts w:hint="eastAsia" w:ascii="仿宋_GB2312" w:hAnsi="仿宋_GB2312" w:eastAsia="仿宋_GB2312" w:cs="仿宋_GB2312"/>
                <w:bCs/>
                <w:sz w:val="24"/>
                <w:szCs w:val="24"/>
                <w:lang w:eastAsia="zh-CN"/>
              </w:rPr>
              <w:t>不少于</w:t>
            </w:r>
            <w:r>
              <w:rPr>
                <w:rFonts w:hint="eastAsia" w:ascii="仿宋_GB2312" w:hAnsi="仿宋_GB2312" w:eastAsia="仿宋_GB2312" w:cs="仿宋_GB2312"/>
                <w:bCs/>
                <w:sz w:val="24"/>
                <w:szCs w:val="24"/>
                <w:lang w:val="en-US" w:eastAsia="zh-CN"/>
              </w:rPr>
              <w:t>1</w:t>
            </w:r>
            <w:r>
              <w:rPr>
                <w:rFonts w:hint="eastAsia" w:ascii="仿宋_GB2312" w:hAnsi="仿宋_GB2312" w:eastAsia="仿宋_GB2312" w:cs="仿宋_GB2312"/>
                <w:bCs/>
                <w:sz w:val="24"/>
                <w:szCs w:val="24"/>
              </w:rPr>
              <w:t>年</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如投标人有增加质保期的以投标人承诺为准</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。时间自最终验收合格并交付使用之日起计算。在质保期内免费解决非人为造成的质量问题，并按照国家相关法律承担三包责任。</w:t>
            </w:r>
            <w:r>
              <w:rPr>
                <w:rFonts w:hint="eastAsia" w:ascii="仿宋_GB2312" w:hAnsi="仿宋_GB2312" w:eastAsia="仿宋_GB2312" w:cs="仿宋_GB2312"/>
                <w:bCs/>
                <w:sz w:val="24"/>
                <w:szCs w:val="24"/>
                <w:lang w:eastAsia="zh-CN"/>
              </w:rPr>
              <w:t>整车</w:t>
            </w:r>
            <w:r>
              <w:rPr>
                <w:rFonts w:hint="eastAsia" w:ascii="仿宋_GB2312" w:hAnsi="仿宋_GB2312" w:eastAsia="仿宋_GB2312" w:cs="仿宋_GB2312"/>
                <w:bCs/>
                <w:sz w:val="24"/>
                <w:szCs w:val="24"/>
              </w:rPr>
              <w:t>免费首保。</w:t>
            </w:r>
          </w:p>
        </w:tc>
      </w:tr>
      <w:tr w14:paraId="7D3C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noWrap w:val="0"/>
            <w:vAlign w:val="center"/>
          </w:tcPr>
          <w:p w14:paraId="351C8FED">
            <w:pPr>
              <w:keepNext w:val="0"/>
              <w:keepLines w:val="0"/>
              <w:numPr>
                <w:ilvl w:val="0"/>
                <w:numId w:val="0"/>
              </w:numPr>
              <w:suppressLineNumbers w:val="0"/>
              <w:spacing w:before="0" w:beforeAutospacing="0" w:after="0" w:afterAutospacing="0"/>
              <w:ind w:left="0" w:leftChars="0" w:right="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w:t>
            </w:r>
          </w:p>
        </w:tc>
        <w:tc>
          <w:tcPr>
            <w:tcW w:w="1709" w:type="dxa"/>
            <w:noWrap w:val="0"/>
            <w:vAlign w:val="center"/>
          </w:tcPr>
          <w:p w14:paraId="3904F5CF">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维修响应及故障解决时间</w:t>
            </w:r>
          </w:p>
        </w:tc>
        <w:tc>
          <w:tcPr>
            <w:tcW w:w="6927" w:type="dxa"/>
            <w:noWrap w:val="0"/>
            <w:vAlign w:val="center"/>
          </w:tcPr>
          <w:p w14:paraId="4E422CE8">
            <w:pPr>
              <w:keepNext w:val="0"/>
              <w:keepLines w:val="0"/>
              <w:suppressLineNumbers w:val="0"/>
              <w:spacing w:before="0" w:beforeAutospacing="0" w:after="0" w:afterAutospacing="0"/>
              <w:ind w:left="0" w:right="0"/>
              <w:jc w:val="both"/>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在保修期内，车辆提供一对一的贴心服务，对车辆使用质量问题或技术咨询，2小时响应，4小时到达现场，投标人保证在接到通知24小时内进行修理或更换</w:t>
            </w:r>
            <w:r>
              <w:rPr>
                <w:rFonts w:hint="eastAsia" w:ascii="仿宋_GB2312" w:hAnsi="仿宋_GB2312" w:eastAsia="仿宋_GB2312" w:cs="仿宋_GB2312"/>
                <w:bCs/>
                <w:sz w:val="24"/>
                <w:szCs w:val="24"/>
                <w:lang w:val="en-US" w:eastAsia="zh-CN"/>
              </w:rPr>
              <w:t>。</w:t>
            </w:r>
          </w:p>
        </w:tc>
      </w:tr>
      <w:tr w14:paraId="5E0F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95" w:type="dxa"/>
            <w:vMerge w:val="restart"/>
            <w:noWrap w:val="0"/>
            <w:vAlign w:val="center"/>
          </w:tcPr>
          <w:p w14:paraId="337C557C">
            <w:pPr>
              <w:keepNext w:val="0"/>
              <w:keepLines w:val="0"/>
              <w:numPr>
                <w:ilvl w:val="0"/>
                <w:numId w:val="0"/>
              </w:numPr>
              <w:suppressLineNumbers w:val="0"/>
              <w:spacing w:before="0" w:beforeAutospacing="0" w:after="0" w:afterAutospacing="0"/>
              <w:ind w:left="0" w:leftChars="0" w:right="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w:t>
            </w:r>
          </w:p>
        </w:tc>
        <w:tc>
          <w:tcPr>
            <w:tcW w:w="1709" w:type="dxa"/>
            <w:vMerge w:val="restart"/>
            <w:noWrap w:val="0"/>
            <w:vAlign w:val="center"/>
          </w:tcPr>
          <w:p w14:paraId="4D52977F">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6927" w:type="dxa"/>
            <w:noWrap w:val="0"/>
            <w:vAlign w:val="center"/>
          </w:tcPr>
          <w:p w14:paraId="2D041411">
            <w:pPr>
              <w:keepNext w:val="0"/>
              <w:keepLines w:val="0"/>
              <w:suppressLineNumbers w:val="0"/>
              <w:spacing w:before="0" w:beforeAutospacing="0" w:after="0" w:afterAutospacing="0"/>
              <w:ind w:left="0" w:right="0"/>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免费委派有经验的技术人员到指定地点为车辆驾驶人员及维修人员进行发动机、制动系统、传动系统、电气系统等汽车相关注意事项的理论及现场培训。</w:t>
            </w:r>
          </w:p>
        </w:tc>
      </w:tr>
      <w:tr w14:paraId="5B17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95" w:type="dxa"/>
            <w:vMerge w:val="continue"/>
            <w:noWrap w:val="0"/>
            <w:vAlign w:val="center"/>
          </w:tcPr>
          <w:p w14:paraId="62326EC2">
            <w:pPr>
              <w:keepNext w:val="0"/>
              <w:keepLines w:val="0"/>
              <w:suppressLineNumbers w:val="0"/>
              <w:spacing w:before="0" w:beforeAutospacing="0" w:after="0" w:afterAutospacing="0"/>
              <w:ind w:left="420" w:right="0"/>
              <w:rPr>
                <w:rFonts w:hint="eastAsia" w:ascii="仿宋_GB2312" w:hAnsi="仿宋_GB2312" w:eastAsia="仿宋_GB2312" w:cs="仿宋_GB2312"/>
                <w:b w:val="0"/>
                <w:bCs/>
                <w:sz w:val="24"/>
                <w:szCs w:val="24"/>
              </w:rPr>
            </w:pPr>
          </w:p>
        </w:tc>
        <w:tc>
          <w:tcPr>
            <w:tcW w:w="1709" w:type="dxa"/>
            <w:vMerge w:val="continue"/>
            <w:noWrap w:val="0"/>
            <w:vAlign w:val="center"/>
          </w:tcPr>
          <w:p w14:paraId="1048B243">
            <w:pPr>
              <w:keepNext w:val="0"/>
              <w:keepLines w:val="0"/>
              <w:suppressLineNumbers w:val="0"/>
              <w:spacing w:before="0" w:beforeAutospacing="0" w:after="0" w:afterAutospacing="0"/>
              <w:ind w:left="0" w:right="0"/>
              <w:rPr>
                <w:rFonts w:hint="eastAsia" w:ascii="仿宋_GB2312" w:hAnsi="仿宋_GB2312" w:eastAsia="仿宋_GB2312" w:cs="仿宋_GB2312"/>
                <w:sz w:val="24"/>
                <w:szCs w:val="24"/>
              </w:rPr>
            </w:pPr>
          </w:p>
        </w:tc>
        <w:tc>
          <w:tcPr>
            <w:tcW w:w="6927" w:type="dxa"/>
            <w:noWrap w:val="0"/>
            <w:vAlign w:val="center"/>
          </w:tcPr>
          <w:p w14:paraId="333B2202">
            <w:pPr>
              <w:keepNext w:val="0"/>
              <w:keepLines w:val="0"/>
              <w:suppressLineNumbers w:val="0"/>
              <w:spacing w:before="0" w:beforeAutospacing="0" w:after="0" w:afterAutospacing="0"/>
              <w:ind w:left="0" w:right="0"/>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在质保期内由于</w:t>
            </w:r>
            <w:r>
              <w:rPr>
                <w:rFonts w:hint="eastAsia" w:ascii="仿宋_GB2312" w:hAnsi="仿宋_GB2312" w:eastAsia="仿宋_GB2312" w:cs="仿宋_GB2312"/>
                <w:bCs/>
                <w:sz w:val="24"/>
                <w:szCs w:val="24"/>
                <w:lang w:val="en-US" w:eastAsia="zh-CN"/>
              </w:rPr>
              <w:t>卖方</w:t>
            </w:r>
            <w:r>
              <w:rPr>
                <w:rFonts w:hint="eastAsia" w:ascii="仿宋_GB2312" w:hAnsi="仿宋_GB2312" w:eastAsia="仿宋_GB2312" w:cs="仿宋_GB2312"/>
                <w:bCs/>
                <w:sz w:val="24"/>
                <w:szCs w:val="24"/>
              </w:rPr>
              <w:t>提供的车辆存在质量问题导致买方损失的，除进行上述的售后服务外，</w:t>
            </w:r>
            <w:r>
              <w:rPr>
                <w:rFonts w:hint="eastAsia" w:ascii="仿宋_GB2312" w:hAnsi="仿宋_GB2312" w:eastAsia="仿宋_GB2312" w:cs="仿宋_GB2312"/>
                <w:bCs/>
                <w:sz w:val="24"/>
                <w:szCs w:val="24"/>
                <w:lang w:val="en-US" w:eastAsia="zh-CN"/>
              </w:rPr>
              <w:t>卖方</w:t>
            </w:r>
            <w:r>
              <w:rPr>
                <w:rFonts w:hint="eastAsia" w:ascii="仿宋_GB2312" w:hAnsi="仿宋_GB2312" w:eastAsia="仿宋_GB2312" w:cs="仿宋_GB2312"/>
                <w:bCs/>
                <w:sz w:val="24"/>
                <w:szCs w:val="24"/>
              </w:rPr>
              <w:t>应负责全额赔偿买方的损失。</w:t>
            </w:r>
          </w:p>
        </w:tc>
      </w:tr>
      <w:tr w14:paraId="1838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95" w:type="dxa"/>
            <w:vMerge w:val="continue"/>
            <w:noWrap w:val="0"/>
            <w:vAlign w:val="center"/>
          </w:tcPr>
          <w:p w14:paraId="61AC8C39">
            <w:pPr>
              <w:keepNext w:val="0"/>
              <w:keepLines w:val="0"/>
              <w:suppressLineNumbers w:val="0"/>
              <w:spacing w:before="0" w:beforeAutospacing="0" w:after="0" w:afterAutospacing="0"/>
              <w:ind w:left="420" w:right="0"/>
              <w:rPr>
                <w:rFonts w:hint="eastAsia" w:ascii="仿宋_GB2312" w:hAnsi="仿宋_GB2312" w:eastAsia="仿宋_GB2312" w:cs="仿宋_GB2312"/>
                <w:b w:val="0"/>
                <w:bCs/>
                <w:sz w:val="24"/>
                <w:szCs w:val="24"/>
              </w:rPr>
            </w:pPr>
          </w:p>
        </w:tc>
        <w:tc>
          <w:tcPr>
            <w:tcW w:w="1709" w:type="dxa"/>
            <w:vMerge w:val="continue"/>
            <w:noWrap w:val="0"/>
            <w:vAlign w:val="center"/>
          </w:tcPr>
          <w:p w14:paraId="69823CB2">
            <w:pPr>
              <w:keepNext w:val="0"/>
              <w:keepLines w:val="0"/>
              <w:suppressLineNumbers w:val="0"/>
              <w:spacing w:before="0" w:beforeAutospacing="0" w:after="0" w:afterAutospacing="0"/>
              <w:ind w:left="0" w:right="0"/>
              <w:rPr>
                <w:rFonts w:hint="eastAsia" w:ascii="仿宋_GB2312" w:hAnsi="仿宋_GB2312" w:eastAsia="仿宋_GB2312" w:cs="仿宋_GB2312"/>
                <w:sz w:val="24"/>
                <w:szCs w:val="24"/>
              </w:rPr>
            </w:pPr>
          </w:p>
        </w:tc>
        <w:tc>
          <w:tcPr>
            <w:tcW w:w="6927" w:type="dxa"/>
            <w:noWrap w:val="0"/>
            <w:vAlign w:val="center"/>
          </w:tcPr>
          <w:p w14:paraId="29AE740F">
            <w:pPr>
              <w:keepNext w:val="0"/>
              <w:keepLines w:val="0"/>
              <w:suppressLineNumbers w:val="0"/>
              <w:spacing w:before="0" w:beforeAutospacing="0" w:after="0" w:afterAutospacing="0"/>
              <w:ind w:left="0" w:right="0"/>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投标人应按其投标文件中的承诺，进行其他售后服务工作。</w:t>
            </w:r>
          </w:p>
        </w:tc>
      </w:tr>
      <w:tr w14:paraId="5C88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95" w:type="dxa"/>
            <w:noWrap w:val="0"/>
            <w:vAlign w:val="center"/>
          </w:tcPr>
          <w:p w14:paraId="34A68BF1">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w:t>
            </w:r>
          </w:p>
        </w:tc>
        <w:tc>
          <w:tcPr>
            <w:tcW w:w="1709" w:type="dxa"/>
            <w:noWrap w:val="0"/>
            <w:vAlign w:val="center"/>
          </w:tcPr>
          <w:p w14:paraId="5900DFC6">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其他优惠</w:t>
            </w:r>
          </w:p>
        </w:tc>
        <w:tc>
          <w:tcPr>
            <w:tcW w:w="6927" w:type="dxa"/>
            <w:noWrap w:val="0"/>
            <w:vAlign w:val="center"/>
          </w:tcPr>
          <w:p w14:paraId="60334B1A">
            <w:pPr>
              <w:keepNext w:val="0"/>
              <w:keepLines w:val="0"/>
              <w:suppressLineNumbers w:val="0"/>
              <w:spacing w:before="0" w:beforeAutospacing="0" w:after="0" w:afterAutospacing="0"/>
              <w:ind w:left="0" w:right="0"/>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提供常用易损件报价表，并承诺在质保期外以不超过列表内价格为招标人提供易损件。</w:t>
            </w:r>
          </w:p>
        </w:tc>
      </w:tr>
      <w:tr w14:paraId="536D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1" w:type="dxa"/>
            <w:gridSpan w:val="3"/>
            <w:noWrap w:val="0"/>
            <w:vAlign w:val="center"/>
          </w:tcPr>
          <w:p w14:paraId="306C43AC">
            <w:pPr>
              <w:keepNext w:val="0"/>
              <w:keepLines w:val="0"/>
              <w:suppressLineNumbers w:val="0"/>
              <w:spacing w:before="0" w:beforeAutospacing="0" w:after="0" w:afterAutospacing="0"/>
              <w:ind w:left="0" w:right="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（二）其他要求</w:t>
            </w:r>
          </w:p>
        </w:tc>
      </w:tr>
      <w:tr w14:paraId="395E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95" w:type="dxa"/>
            <w:vMerge w:val="restart"/>
            <w:noWrap w:val="0"/>
            <w:vAlign w:val="center"/>
          </w:tcPr>
          <w:p w14:paraId="6386EACF">
            <w:pPr>
              <w:keepNext w:val="0"/>
              <w:keepLines w:val="0"/>
              <w:suppressLineNumbers w:val="0"/>
              <w:spacing w:before="0" w:beforeAutospacing="0" w:after="0" w:afterAutospacing="0"/>
              <w:ind w:left="0" w:right="0" w:firstLine="480" w:firstLineChars="20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1</w:t>
            </w:r>
          </w:p>
        </w:tc>
        <w:tc>
          <w:tcPr>
            <w:tcW w:w="1709" w:type="dxa"/>
            <w:vMerge w:val="restart"/>
            <w:noWrap w:val="0"/>
            <w:vAlign w:val="center"/>
          </w:tcPr>
          <w:p w14:paraId="06CC5B18">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关于交货</w:t>
            </w:r>
          </w:p>
        </w:tc>
        <w:tc>
          <w:tcPr>
            <w:tcW w:w="6927" w:type="dxa"/>
            <w:noWrap w:val="0"/>
            <w:vAlign w:val="center"/>
          </w:tcPr>
          <w:p w14:paraId="4B90B027">
            <w:pPr>
              <w:keepNext w:val="0"/>
              <w:keepLines w:val="0"/>
              <w:suppressLineNumbers w:val="0"/>
              <w:spacing w:before="0" w:beforeAutospacing="0" w:after="0" w:afterAutospacing="0"/>
              <w:ind w:left="0" w:right="0"/>
              <w:jc w:val="left"/>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1.1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bCs/>
                <w:sz w:val="24"/>
                <w:szCs w:val="24"/>
              </w:rPr>
              <w:t>签订合同后</w:t>
            </w:r>
            <w:r>
              <w:rPr>
                <w:rFonts w:hint="eastAsia" w:ascii="仿宋_GB2312" w:hAnsi="仿宋_GB2312" w:eastAsia="仿宋_GB2312" w:cs="仿宋_GB2312"/>
                <w:bCs/>
                <w:sz w:val="24"/>
                <w:szCs w:val="24"/>
                <w:lang w:val="en-US" w:eastAsia="zh-CN"/>
              </w:rPr>
              <w:t>30</w:t>
            </w:r>
            <w:r>
              <w:rPr>
                <w:rFonts w:hint="eastAsia" w:ascii="仿宋_GB2312" w:hAnsi="仿宋_GB2312" w:eastAsia="仿宋_GB2312" w:cs="仿宋_GB2312"/>
                <w:bCs/>
                <w:sz w:val="24"/>
                <w:szCs w:val="24"/>
              </w:rPr>
              <w:t>天（日历日）内</w:t>
            </w:r>
            <w:r>
              <w:rPr>
                <w:rFonts w:hint="eastAsia" w:ascii="仿宋_GB2312" w:hAnsi="仿宋_GB2312" w:eastAsia="仿宋_GB2312" w:cs="仿宋_GB2312"/>
                <w:bCs/>
                <w:sz w:val="24"/>
                <w:szCs w:val="24"/>
                <w:lang w:val="en-US" w:eastAsia="zh-CN"/>
              </w:rPr>
              <w:t>完成交货</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交付的车辆均为交付前</w:t>
            </w:r>
            <w:r>
              <w:rPr>
                <w:rFonts w:hint="eastAsia" w:ascii="仿宋_GB2312" w:hAnsi="仿宋_GB2312" w:eastAsia="仿宋_GB2312" w:cs="仿宋_GB2312"/>
                <w:bCs/>
                <w:sz w:val="24"/>
                <w:szCs w:val="24"/>
                <w:lang w:val="en-US" w:eastAsia="zh-CN"/>
              </w:rPr>
              <w:t>6个月内生产。</w:t>
            </w:r>
          </w:p>
        </w:tc>
      </w:tr>
      <w:tr w14:paraId="182F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95" w:type="dxa"/>
            <w:vMerge w:val="continue"/>
            <w:noWrap w:val="0"/>
            <w:vAlign w:val="center"/>
          </w:tcPr>
          <w:p w14:paraId="5E3EE1B3">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sz w:val="24"/>
                <w:szCs w:val="24"/>
              </w:rPr>
            </w:pPr>
          </w:p>
        </w:tc>
        <w:tc>
          <w:tcPr>
            <w:tcW w:w="1709" w:type="dxa"/>
            <w:vMerge w:val="continue"/>
            <w:noWrap w:val="0"/>
            <w:vAlign w:val="center"/>
          </w:tcPr>
          <w:p w14:paraId="7D3CC0ED">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6927" w:type="dxa"/>
            <w:noWrap w:val="0"/>
            <w:vAlign w:val="center"/>
          </w:tcPr>
          <w:p w14:paraId="0FE57E0B">
            <w:pPr>
              <w:keepNext w:val="0"/>
              <w:keepLines w:val="0"/>
              <w:suppressLineNumbers w:val="0"/>
              <w:spacing w:before="0" w:beforeAutospacing="0" w:after="0" w:afterAutospacing="0"/>
              <w:ind w:left="0" w:right="0"/>
              <w:jc w:val="both"/>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1.2投标人必须承担的设备运输、安装调试、验收检测和提供设备操作说明书、图纸等其他类似的义务。</w:t>
            </w:r>
            <w:r>
              <w:rPr>
                <w:rFonts w:hint="eastAsia" w:ascii="仿宋_GB2312" w:hAnsi="仿宋_GB2312" w:eastAsia="仿宋_GB2312" w:cs="仿宋_GB2312"/>
                <w:b/>
                <w:bCs w:val="0"/>
                <w:color w:val="2E75B6" w:themeColor="accent1" w:themeShade="BF"/>
                <w:sz w:val="24"/>
                <w:szCs w:val="24"/>
                <w:lang w:eastAsia="zh-CN"/>
              </w:rPr>
              <w:t>车身颜色要求喷绘为工程黄。</w:t>
            </w:r>
          </w:p>
        </w:tc>
      </w:tr>
      <w:tr w14:paraId="3F8D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95" w:type="dxa"/>
            <w:vMerge w:val="restart"/>
            <w:noWrap w:val="0"/>
            <w:vAlign w:val="center"/>
          </w:tcPr>
          <w:p w14:paraId="1980B4FC">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2</w:t>
            </w:r>
          </w:p>
        </w:tc>
        <w:tc>
          <w:tcPr>
            <w:tcW w:w="1709" w:type="dxa"/>
            <w:vMerge w:val="restart"/>
            <w:noWrap w:val="0"/>
            <w:vAlign w:val="center"/>
          </w:tcPr>
          <w:p w14:paraId="7BB198A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关于验收</w:t>
            </w:r>
          </w:p>
        </w:tc>
        <w:tc>
          <w:tcPr>
            <w:tcW w:w="6927" w:type="dxa"/>
            <w:noWrap w:val="0"/>
            <w:vAlign w:val="center"/>
          </w:tcPr>
          <w:p w14:paraId="7D9E0ADF">
            <w:pPr>
              <w:keepNext w:val="0"/>
              <w:keepLines w:val="0"/>
              <w:suppressLineNumbers w:val="0"/>
              <w:spacing w:before="0" w:beforeAutospacing="0" w:after="0" w:afterAutospacing="0" w:line="340" w:lineRule="exact"/>
              <w:ind w:left="0" w:right="0"/>
              <w:jc w:val="both"/>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2.1投标人货物经过双方检验认可后，签署验收报告，产品保修期自验收合格之日起算，由投标人提供产品保修文件。</w:t>
            </w:r>
            <w:r>
              <w:rPr>
                <w:rFonts w:hint="eastAsia" w:ascii="仿宋_GB2312" w:hAnsi="仿宋_GB2312" w:eastAsia="仿宋_GB2312" w:cs="仿宋_GB2312"/>
                <w:bCs/>
                <w:sz w:val="24"/>
                <w:szCs w:val="24"/>
                <w:lang w:val="en-US" w:eastAsia="zh-CN"/>
              </w:rPr>
              <w:t>验收地点：接车验收在采购方交货地点，最终验收完成。</w:t>
            </w:r>
          </w:p>
        </w:tc>
      </w:tr>
      <w:tr w14:paraId="7D0D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895" w:type="dxa"/>
            <w:vMerge w:val="continue"/>
            <w:noWrap w:val="0"/>
            <w:vAlign w:val="center"/>
          </w:tcPr>
          <w:p w14:paraId="73DA864B">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sz w:val="24"/>
                <w:szCs w:val="24"/>
              </w:rPr>
            </w:pPr>
          </w:p>
        </w:tc>
        <w:tc>
          <w:tcPr>
            <w:tcW w:w="1709" w:type="dxa"/>
            <w:vMerge w:val="continue"/>
            <w:noWrap w:val="0"/>
            <w:vAlign w:val="top"/>
          </w:tcPr>
          <w:p w14:paraId="13F90AE6">
            <w:pPr>
              <w:keepNext w:val="0"/>
              <w:keepLines w:val="0"/>
              <w:suppressLineNumbers w:val="0"/>
              <w:spacing w:before="0" w:beforeAutospacing="0" w:after="0" w:afterAutospacing="0"/>
              <w:ind w:left="0" w:right="0"/>
              <w:jc w:val="center"/>
              <w:rPr>
                <w:rFonts w:hint="eastAsia" w:ascii="仿宋_GB2312" w:hAnsi="仿宋_GB2312" w:eastAsia="仿宋_GB2312" w:cs="仿宋_GB2312"/>
                <w:b/>
                <w:sz w:val="24"/>
                <w:szCs w:val="24"/>
              </w:rPr>
            </w:pPr>
          </w:p>
        </w:tc>
        <w:tc>
          <w:tcPr>
            <w:tcW w:w="6927" w:type="dxa"/>
            <w:noWrap w:val="0"/>
            <w:vAlign w:val="center"/>
          </w:tcPr>
          <w:p w14:paraId="41AB3A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2.2当满足以下条件时，采购人才向中标人签发货物验收报告：</w:t>
            </w:r>
          </w:p>
          <w:p w14:paraId="7D2B5961">
            <w:pPr>
              <w:keepNext w:val="0"/>
              <w:keepLines w:val="0"/>
              <w:pageBreakBefore w:val="0"/>
              <w:widowControl w:val="0"/>
              <w:suppressLineNumbers w:val="0"/>
              <w:tabs>
                <w:tab w:val="left" w:pos="1260"/>
              </w:tabs>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a、中标人已按照合同规定提供了全部产品及完整的技术资料。</w:t>
            </w:r>
          </w:p>
          <w:p w14:paraId="0AE7370C">
            <w:pPr>
              <w:keepNext w:val="0"/>
              <w:keepLines w:val="0"/>
              <w:pageBreakBefore w:val="0"/>
              <w:widowControl w:val="0"/>
              <w:suppressLineNumbers w:val="0"/>
              <w:tabs>
                <w:tab w:val="left" w:pos="1260"/>
              </w:tabs>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b、货物符合招标文件技术规格书的要求，性能满足要求。</w:t>
            </w:r>
          </w:p>
          <w:p w14:paraId="7CA0507B">
            <w:pPr>
              <w:keepNext w:val="0"/>
              <w:keepLines w:val="0"/>
              <w:pageBreakBefore w:val="0"/>
              <w:widowControl w:val="0"/>
              <w:suppressLineNumbers w:val="0"/>
              <w:tabs>
                <w:tab w:val="left" w:pos="1260"/>
              </w:tabs>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c、货物具备产品合格证。</w:t>
            </w:r>
          </w:p>
          <w:p w14:paraId="13D96B1D">
            <w:pPr>
              <w:keepNext w:val="0"/>
              <w:keepLines w:val="0"/>
              <w:pageBreakBefore w:val="0"/>
              <w:widowControl w:val="0"/>
              <w:suppressLineNumbers w:val="0"/>
              <w:tabs>
                <w:tab w:val="left" w:pos="1260"/>
              </w:tabs>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kern w:val="2"/>
                <w:sz w:val="24"/>
                <w:szCs w:val="24"/>
                <w:lang w:val="en-US" w:eastAsia="zh-CN" w:bidi="ar-SA"/>
              </w:rPr>
              <w:t>d、完成保险购买和深圳车牌办理。</w:t>
            </w:r>
          </w:p>
        </w:tc>
      </w:tr>
      <w:tr w14:paraId="1514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895" w:type="dxa"/>
            <w:vMerge w:val="restart"/>
            <w:noWrap w:val="0"/>
            <w:vAlign w:val="center"/>
          </w:tcPr>
          <w:p w14:paraId="68E146F6">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w:t>
            </w:r>
          </w:p>
        </w:tc>
        <w:tc>
          <w:tcPr>
            <w:tcW w:w="1709" w:type="dxa"/>
            <w:vMerge w:val="restart"/>
            <w:noWrap w:val="0"/>
            <w:vAlign w:val="center"/>
          </w:tcPr>
          <w:p w14:paraId="03AFB5E7">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违约责任</w:t>
            </w:r>
          </w:p>
        </w:tc>
        <w:tc>
          <w:tcPr>
            <w:tcW w:w="6927" w:type="dxa"/>
            <w:noWrap w:val="0"/>
            <w:vAlign w:val="top"/>
          </w:tcPr>
          <w:p w14:paraId="11630396">
            <w:pPr>
              <w:keepNext w:val="0"/>
              <w:keepLines w:val="0"/>
              <w:suppressLineNumbers w:val="0"/>
              <w:spacing w:before="0" w:beforeAutospacing="0" w:after="0" w:afterAutospacing="0" w:line="340" w:lineRule="exact"/>
              <w:ind w:left="0" w:right="0"/>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3.1如中标人未按照投标文件中承诺的时间交货或提供服务，中标人应承担延期交货和延期服务的违约责任，并赔偿采购人因此造成的实际经济损失，采购人有权终止合同。</w:t>
            </w:r>
          </w:p>
        </w:tc>
      </w:tr>
      <w:tr w14:paraId="3FB8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5" w:type="dxa"/>
            <w:vMerge w:val="continue"/>
            <w:noWrap w:val="0"/>
            <w:vAlign w:val="center"/>
          </w:tcPr>
          <w:p w14:paraId="34FF5248">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p>
        </w:tc>
        <w:tc>
          <w:tcPr>
            <w:tcW w:w="1709" w:type="dxa"/>
            <w:vMerge w:val="continue"/>
            <w:noWrap w:val="0"/>
            <w:vAlign w:val="center"/>
          </w:tcPr>
          <w:p w14:paraId="65E0CDC4">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p>
        </w:tc>
        <w:tc>
          <w:tcPr>
            <w:tcW w:w="6927" w:type="dxa"/>
            <w:noWrap w:val="0"/>
            <w:vAlign w:val="top"/>
          </w:tcPr>
          <w:p w14:paraId="09208718">
            <w:pPr>
              <w:keepNext w:val="0"/>
              <w:keepLines w:val="0"/>
              <w:suppressLineNumbers w:val="0"/>
              <w:spacing w:before="0" w:beforeAutospacing="0" w:after="0" w:afterAutospacing="0" w:line="340" w:lineRule="exact"/>
              <w:ind w:left="0" w:right="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3.2中标人所交设备的品种、型号、规格、质量、功能、技术参数等方面不能实质性满足招标文件要求的，采购人有权拒绝收货，中标人向采购人偿付项目采购金额【20】</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的违约金；造成严重后果的，根据《深圳经济特区政府采购条例》第五十七条第（二）款规定，由主管部门对中标人进行处罚。</w:t>
            </w:r>
          </w:p>
        </w:tc>
      </w:tr>
      <w:tr w14:paraId="7E65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95" w:type="dxa"/>
            <w:vMerge w:val="continue"/>
            <w:noWrap w:val="0"/>
            <w:vAlign w:val="center"/>
          </w:tcPr>
          <w:p w14:paraId="1278CF66">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p>
        </w:tc>
        <w:tc>
          <w:tcPr>
            <w:tcW w:w="1709" w:type="dxa"/>
            <w:vMerge w:val="continue"/>
            <w:noWrap w:val="0"/>
            <w:vAlign w:val="center"/>
          </w:tcPr>
          <w:p w14:paraId="06C55663">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p>
        </w:tc>
        <w:tc>
          <w:tcPr>
            <w:tcW w:w="6927" w:type="dxa"/>
            <w:noWrap w:val="0"/>
            <w:vAlign w:val="top"/>
          </w:tcPr>
          <w:p w14:paraId="65ED5127">
            <w:pPr>
              <w:keepNext w:val="0"/>
              <w:keepLines w:val="0"/>
              <w:suppressLineNumbers w:val="0"/>
              <w:spacing w:before="0" w:beforeAutospacing="0" w:after="0" w:afterAutospacing="0" w:line="340" w:lineRule="exact"/>
              <w:ind w:left="0" w:right="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3.3中标人不能交付设备的，中标人向采购人偿付项目采购金额【20】</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 xml:space="preserve">的违约金并按主管部门相关规定处理。 </w:t>
            </w:r>
          </w:p>
        </w:tc>
      </w:tr>
      <w:tr w14:paraId="4089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95" w:type="dxa"/>
            <w:vMerge w:val="continue"/>
            <w:noWrap w:val="0"/>
            <w:vAlign w:val="center"/>
          </w:tcPr>
          <w:p w14:paraId="3E2C00E3">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p>
        </w:tc>
        <w:tc>
          <w:tcPr>
            <w:tcW w:w="1709" w:type="dxa"/>
            <w:vMerge w:val="continue"/>
            <w:noWrap w:val="0"/>
            <w:vAlign w:val="top"/>
          </w:tcPr>
          <w:p w14:paraId="31932537">
            <w:pPr>
              <w:keepNext w:val="0"/>
              <w:keepLines w:val="0"/>
              <w:suppressLineNumbers w:val="0"/>
              <w:spacing w:before="0" w:beforeAutospacing="0" w:after="0" w:afterAutospacing="0"/>
              <w:ind w:left="0" w:right="0"/>
              <w:rPr>
                <w:rFonts w:hint="eastAsia" w:ascii="仿宋_GB2312" w:hAnsi="仿宋_GB2312" w:eastAsia="仿宋_GB2312" w:cs="仿宋_GB2312"/>
                <w:bCs/>
                <w:sz w:val="24"/>
                <w:szCs w:val="24"/>
              </w:rPr>
            </w:pPr>
          </w:p>
        </w:tc>
        <w:tc>
          <w:tcPr>
            <w:tcW w:w="6927" w:type="dxa"/>
            <w:noWrap w:val="0"/>
            <w:vAlign w:val="top"/>
          </w:tcPr>
          <w:p w14:paraId="22DCCF44">
            <w:pPr>
              <w:keepNext w:val="0"/>
              <w:keepLines w:val="0"/>
              <w:suppressLineNumbers w:val="0"/>
              <w:spacing w:before="0" w:beforeAutospacing="0" w:after="0" w:afterAutospacing="0" w:line="340" w:lineRule="exact"/>
              <w:ind w:left="0" w:right="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3.4中标人逾期交付货物的，每逾期1天，中标人向采购人偿付逾期交货部分货款总额的【1】‰的滞纳金。如中标人逾期交货达</w:t>
            </w:r>
            <w:r>
              <w:rPr>
                <w:rFonts w:hint="eastAsia" w:ascii="仿宋_GB2312" w:hAnsi="仿宋_GB2312" w:eastAsia="仿宋_GB2312" w:cs="仿宋_GB2312"/>
                <w:bCs/>
                <w:sz w:val="24"/>
                <w:szCs w:val="24"/>
                <w:u w:val="single"/>
              </w:rPr>
              <w:t xml:space="preserve">  20  </w:t>
            </w:r>
            <w:r>
              <w:rPr>
                <w:rFonts w:hint="eastAsia" w:ascii="仿宋_GB2312" w:hAnsi="仿宋_GB2312" w:eastAsia="仿宋_GB2312" w:cs="仿宋_GB2312"/>
                <w:bCs/>
                <w:sz w:val="24"/>
                <w:szCs w:val="24"/>
              </w:rPr>
              <w:t>天，采购人有权解除合同。</w:t>
            </w:r>
          </w:p>
        </w:tc>
      </w:tr>
      <w:tr w14:paraId="240A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95" w:type="dxa"/>
            <w:vMerge w:val="continue"/>
            <w:noWrap w:val="0"/>
            <w:vAlign w:val="center"/>
          </w:tcPr>
          <w:p w14:paraId="521BB5C4">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p>
        </w:tc>
        <w:tc>
          <w:tcPr>
            <w:tcW w:w="1709" w:type="dxa"/>
            <w:vMerge w:val="continue"/>
            <w:noWrap w:val="0"/>
            <w:vAlign w:val="top"/>
          </w:tcPr>
          <w:p w14:paraId="12563570">
            <w:pPr>
              <w:keepNext w:val="0"/>
              <w:keepLines w:val="0"/>
              <w:suppressLineNumbers w:val="0"/>
              <w:spacing w:before="0" w:beforeAutospacing="0" w:after="0" w:afterAutospacing="0"/>
              <w:ind w:left="0" w:right="0"/>
              <w:rPr>
                <w:rFonts w:hint="eastAsia" w:ascii="仿宋_GB2312" w:hAnsi="仿宋_GB2312" w:eastAsia="仿宋_GB2312" w:cs="仿宋_GB2312"/>
                <w:bCs/>
                <w:sz w:val="24"/>
                <w:szCs w:val="24"/>
              </w:rPr>
            </w:pPr>
          </w:p>
        </w:tc>
        <w:tc>
          <w:tcPr>
            <w:tcW w:w="6927" w:type="dxa"/>
            <w:noWrap w:val="0"/>
            <w:vAlign w:val="top"/>
          </w:tcPr>
          <w:p w14:paraId="74DBF936">
            <w:pPr>
              <w:keepNext w:val="0"/>
              <w:keepLines w:val="0"/>
              <w:suppressLineNumbers w:val="0"/>
              <w:spacing w:before="0" w:beforeAutospacing="0" w:after="0" w:afterAutospacing="0"/>
              <w:ind w:left="0" w:right="0"/>
              <w:rPr>
                <w:rFonts w:hint="eastAsia" w:ascii="仿宋_GB2312" w:hAnsi="仿宋_GB2312" w:eastAsia="仿宋_GB2312" w:cs="仿宋_GB2312"/>
                <w:b/>
                <w:sz w:val="24"/>
                <w:szCs w:val="24"/>
              </w:rPr>
            </w:pPr>
            <w:r>
              <w:rPr>
                <w:rFonts w:hint="eastAsia" w:ascii="仿宋_GB2312" w:hAnsi="仿宋_GB2312" w:eastAsia="仿宋_GB2312" w:cs="仿宋_GB2312"/>
                <w:bCs/>
                <w:sz w:val="24"/>
                <w:szCs w:val="24"/>
              </w:rPr>
              <w:t>3.5在中标人承诺的或国家规定的质量保证期内（取两者中最长的期限），如经中标人两次维修或更换，货物仍不能达到招标文件要求及投标文件承诺的质量标准，采购人有权退货，中标人应退回全部货款并赔偿采购人因此遭受的损失。</w:t>
            </w:r>
          </w:p>
        </w:tc>
      </w:tr>
      <w:tr w14:paraId="5581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95" w:type="dxa"/>
            <w:vMerge w:val="continue"/>
            <w:noWrap w:val="0"/>
            <w:vAlign w:val="center"/>
          </w:tcPr>
          <w:p w14:paraId="01E792C4">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p>
        </w:tc>
        <w:tc>
          <w:tcPr>
            <w:tcW w:w="1709" w:type="dxa"/>
            <w:vMerge w:val="continue"/>
            <w:noWrap w:val="0"/>
            <w:vAlign w:val="top"/>
          </w:tcPr>
          <w:p w14:paraId="185AFD8E">
            <w:pPr>
              <w:keepNext w:val="0"/>
              <w:keepLines w:val="0"/>
              <w:suppressLineNumbers w:val="0"/>
              <w:spacing w:before="0" w:beforeAutospacing="0" w:after="0" w:afterAutospacing="0"/>
              <w:ind w:left="0" w:right="0"/>
              <w:rPr>
                <w:rFonts w:hint="eastAsia" w:ascii="仿宋_GB2312" w:hAnsi="仿宋_GB2312" w:eastAsia="仿宋_GB2312" w:cs="仿宋_GB2312"/>
                <w:bCs/>
                <w:sz w:val="24"/>
                <w:szCs w:val="24"/>
              </w:rPr>
            </w:pPr>
          </w:p>
        </w:tc>
        <w:tc>
          <w:tcPr>
            <w:tcW w:w="6927" w:type="dxa"/>
            <w:noWrap w:val="0"/>
            <w:vAlign w:val="top"/>
          </w:tcPr>
          <w:p w14:paraId="4AC4EA1D">
            <w:pPr>
              <w:keepNext w:val="0"/>
              <w:keepLines w:val="0"/>
              <w:suppressLineNumbers w:val="0"/>
              <w:spacing w:before="0" w:beforeAutospacing="0" w:after="0" w:afterAutospacing="0"/>
              <w:ind w:left="0" w:right="0"/>
              <w:rPr>
                <w:rFonts w:hint="eastAsia" w:ascii="仿宋_GB2312" w:hAnsi="仿宋_GB2312" w:eastAsia="仿宋_GB2312" w:cs="仿宋_GB2312"/>
                <w:b/>
                <w:sz w:val="24"/>
                <w:szCs w:val="24"/>
              </w:rPr>
            </w:pPr>
            <w:r>
              <w:rPr>
                <w:rFonts w:hint="eastAsia" w:ascii="仿宋_GB2312" w:hAnsi="仿宋_GB2312" w:eastAsia="仿宋_GB2312" w:cs="仿宋_GB2312"/>
                <w:bCs/>
                <w:sz w:val="24"/>
                <w:szCs w:val="24"/>
              </w:rPr>
              <w:t>3.6中标人在承担上述一项或多项违约责任后，仍应继续履行合同规定的义务（采购人解除合同的除外）。采购人未能及时追究中标人的任何一项违约责任并不表明采购人放弃追究中标人该项或其他违约责任。</w:t>
            </w:r>
          </w:p>
        </w:tc>
      </w:tr>
      <w:tr w14:paraId="7039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jc w:val="center"/>
        </w:trPr>
        <w:tc>
          <w:tcPr>
            <w:tcW w:w="895" w:type="dxa"/>
            <w:noWrap w:val="0"/>
            <w:vAlign w:val="center"/>
          </w:tcPr>
          <w:p w14:paraId="512EEEA8">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w:t>
            </w:r>
          </w:p>
        </w:tc>
        <w:tc>
          <w:tcPr>
            <w:tcW w:w="1709" w:type="dxa"/>
            <w:noWrap w:val="0"/>
            <w:vAlign w:val="center"/>
          </w:tcPr>
          <w:p w14:paraId="5DBE30D7">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报价方式</w:t>
            </w:r>
          </w:p>
        </w:tc>
        <w:tc>
          <w:tcPr>
            <w:tcW w:w="6927" w:type="dxa"/>
            <w:noWrap w:val="0"/>
            <w:vAlign w:val="top"/>
          </w:tcPr>
          <w:p w14:paraId="29260DC4">
            <w:pPr>
              <w:keepNext w:val="0"/>
              <w:keepLines w:val="0"/>
              <w:suppressLineNumbers w:val="0"/>
              <w:spacing w:before="0" w:beforeAutospacing="0" w:after="0" w:afterAutospacing="0"/>
              <w:ind w:left="0" w:right="0" w:firstLine="240" w:firstLineChars="100"/>
              <w:jc w:val="both"/>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报价应包括供货方设计、车身、随机零配件、标配工具、运输费、运输保险、调试、培训、质保期服务、上牌、龙华环境车身LOGO贴纸、按要求加装作业指示灯、购置税及其他各项税费等，包含北斗智能视频监控系统（详见第2项）、车辆首年交强险、车船税以及特种车损险、第三者责任险200万元、车上司机及乘客责任险各10万元等商业保险等一切相关费用。（保险及车船税如中标人不能直接支付给保险公司的，可转给招标人，再由招标人转给保险公司）。</w:t>
            </w:r>
          </w:p>
          <w:p w14:paraId="49BED993">
            <w:pPr>
              <w:keepNext w:val="0"/>
              <w:keepLines w:val="0"/>
              <w:suppressLineNumbers w:val="0"/>
              <w:spacing w:before="0" w:beforeAutospacing="0" w:after="0" w:afterAutospacing="0"/>
              <w:ind w:left="0" w:right="0" w:firstLine="480" w:firstLineChars="200"/>
              <w:jc w:val="both"/>
              <w:rPr>
                <w:rFonts w:hint="eastAsia"/>
              </w:rPr>
            </w:pPr>
            <w:r>
              <w:rPr>
                <w:rFonts w:hint="eastAsia" w:ascii="仿宋_GB2312" w:hAnsi="仿宋_GB2312" w:eastAsia="仿宋_GB2312" w:cs="仿宋_GB2312"/>
                <w:bCs/>
                <w:sz w:val="24"/>
                <w:szCs w:val="24"/>
                <w:lang w:val="en-US" w:eastAsia="zh-CN"/>
              </w:rPr>
              <w:t>2.北斗智能视频监控系统，是指包含北斗定位装置和视频监控一体化机或兼有定位设备、智能视频监控报警系统终端（带防疲劳监测系统）等功能的设备、室内外摄像头、行车记录仪、倒车雷达、 可视倒车装置、全景环视及盲区监控设备。前述设备应符合《道路运输车辆智能视频监控报警系统终端技术规范》（T/GDRTA 001-2020）、《深圳市环卫车辆全景环视及盲区监控设备技术指引》等相关规范要求。且前述设备要求能够接入龙华区相关环卫管理系统（平台）及城管智慧化管理平台，并确保运行正常。</w:t>
            </w:r>
          </w:p>
        </w:tc>
      </w:tr>
    </w:tbl>
    <w:p w14:paraId="2929A850">
      <w:pPr>
        <w:rPr>
          <w:rFonts w:hint="eastAsia" w:ascii="仿宋_GB2312" w:hAnsi="仿宋_GB2312" w:eastAsia="仿宋_GB2312" w:cs="仿宋_GB2312"/>
          <w:lang w:val="en-US" w:eastAsia="zh-CN"/>
        </w:rPr>
      </w:pPr>
      <w:r>
        <w:rPr>
          <w:rFonts w:hint="default"/>
          <w:lang w:val="en-US" w:eastAsia="zh-CN"/>
        </w:rPr>
        <w:br w:type="page"/>
      </w:r>
    </w:p>
    <w:p w14:paraId="7E9535B6">
      <w:pPr>
        <w:rPr>
          <w:rFonts w:hint="eastAsia" w:ascii="仿宋_GB2312" w:hAnsi="仿宋_GB2312" w:eastAsia="仿宋_GB2312" w:cs="仿宋_GB2312"/>
          <w:b/>
          <w:bCs w:val="0"/>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附件1.1</w:t>
      </w:r>
    </w:p>
    <w:p w14:paraId="3F6680D9">
      <w:pPr>
        <w:autoSpaceDE/>
        <w:autoSpaceDN/>
        <w:adjustRightInd/>
        <w:snapToGrid/>
        <w:jc w:val="center"/>
        <w:rPr>
          <w:rFonts w:hint="eastAsia" w:ascii="仿宋_GB2312" w:hAnsi="仿宋_GB2312" w:eastAsia="仿宋_GB2312" w:cs="仿宋_GB2312"/>
          <w:b/>
          <w:bCs w:val="0"/>
          <w:color w:val="auto"/>
          <w:sz w:val="28"/>
          <w:szCs w:val="28"/>
          <w:highlight w:val="none"/>
        </w:rPr>
      </w:pPr>
      <w:r>
        <w:rPr>
          <w:rFonts w:hint="eastAsia" w:ascii="仿宋_GB2312" w:hAnsi="仿宋_GB2312" w:eastAsia="仿宋_GB2312" w:cs="仿宋_GB2312"/>
          <w:b/>
          <w:bCs w:val="0"/>
          <w:color w:val="auto"/>
          <w:sz w:val="28"/>
          <w:szCs w:val="28"/>
          <w:highlight w:val="none"/>
        </w:rPr>
        <w:t>企业基本情况一览表</w:t>
      </w:r>
    </w:p>
    <w:tbl>
      <w:tblPr>
        <w:tblStyle w:val="17"/>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5D72FE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3ECCECCB">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企业名称</w:t>
            </w:r>
          </w:p>
        </w:tc>
        <w:tc>
          <w:tcPr>
            <w:tcW w:w="2132" w:type="dxa"/>
            <w:tcBorders>
              <w:tl2br w:val="nil"/>
              <w:tr2bl w:val="nil"/>
            </w:tcBorders>
            <w:vAlign w:val="center"/>
          </w:tcPr>
          <w:p w14:paraId="3C784A72">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2429" w:type="dxa"/>
            <w:tcBorders>
              <w:tl2br w:val="nil"/>
              <w:tr2bl w:val="nil"/>
            </w:tcBorders>
            <w:vAlign w:val="center"/>
          </w:tcPr>
          <w:p w14:paraId="7D60D25F">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企业曾用名（如有）</w:t>
            </w:r>
          </w:p>
        </w:tc>
        <w:tc>
          <w:tcPr>
            <w:tcW w:w="2014" w:type="dxa"/>
            <w:tcBorders>
              <w:tl2br w:val="nil"/>
              <w:tr2bl w:val="nil"/>
            </w:tcBorders>
            <w:vAlign w:val="center"/>
          </w:tcPr>
          <w:p w14:paraId="782355C8">
            <w:pPr>
              <w:keepNext w:val="0"/>
              <w:keepLines w:val="0"/>
              <w:suppressLineNumbers w:val="0"/>
              <w:spacing w:before="0" w:beforeAutospacing="0" w:after="0" w:afterAutospacing="0"/>
              <w:ind w:left="0" w:right="0"/>
              <w:rPr>
                <w:rFonts w:hint="eastAsia" w:ascii="仿宋_GB2312" w:hAnsi="仿宋_GB2312" w:eastAsia="仿宋_GB2312" w:cs="仿宋_GB2312"/>
              </w:rPr>
            </w:pPr>
          </w:p>
        </w:tc>
      </w:tr>
      <w:tr w14:paraId="0191AF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0D4F6927">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统一社会信用代码</w:t>
            </w:r>
          </w:p>
        </w:tc>
        <w:tc>
          <w:tcPr>
            <w:tcW w:w="2132" w:type="dxa"/>
            <w:tcBorders>
              <w:tl2br w:val="nil"/>
              <w:tr2bl w:val="nil"/>
            </w:tcBorders>
            <w:vAlign w:val="center"/>
          </w:tcPr>
          <w:p w14:paraId="0479212E">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2429" w:type="dxa"/>
            <w:tcBorders>
              <w:tl2br w:val="nil"/>
              <w:tr2bl w:val="nil"/>
            </w:tcBorders>
            <w:vAlign w:val="center"/>
          </w:tcPr>
          <w:p w14:paraId="07E1ECDC">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企业性质（民营/国有）</w:t>
            </w:r>
          </w:p>
        </w:tc>
        <w:tc>
          <w:tcPr>
            <w:tcW w:w="2014" w:type="dxa"/>
            <w:tcBorders>
              <w:tl2br w:val="nil"/>
              <w:tr2bl w:val="nil"/>
            </w:tcBorders>
            <w:vAlign w:val="center"/>
          </w:tcPr>
          <w:p w14:paraId="41D8BF2F">
            <w:pPr>
              <w:keepNext w:val="0"/>
              <w:keepLines w:val="0"/>
              <w:suppressLineNumbers w:val="0"/>
              <w:spacing w:before="0" w:beforeAutospacing="0" w:after="0" w:afterAutospacing="0"/>
              <w:ind w:left="0" w:right="0"/>
              <w:rPr>
                <w:rFonts w:hint="eastAsia" w:ascii="仿宋_GB2312" w:hAnsi="仿宋_GB2312" w:eastAsia="仿宋_GB2312" w:cs="仿宋_GB2312"/>
              </w:rPr>
            </w:pPr>
          </w:p>
        </w:tc>
      </w:tr>
      <w:tr w14:paraId="65D6C8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36E98878">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注册资金（万元）</w:t>
            </w:r>
          </w:p>
        </w:tc>
        <w:tc>
          <w:tcPr>
            <w:tcW w:w="2132" w:type="dxa"/>
            <w:tcBorders>
              <w:tl2br w:val="nil"/>
              <w:tr2bl w:val="nil"/>
            </w:tcBorders>
            <w:vAlign w:val="center"/>
          </w:tcPr>
          <w:p w14:paraId="05F3F5D7">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2429" w:type="dxa"/>
            <w:tcBorders>
              <w:tl2br w:val="nil"/>
              <w:tr2bl w:val="nil"/>
            </w:tcBorders>
            <w:vAlign w:val="center"/>
          </w:tcPr>
          <w:p w14:paraId="317B1235">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注册地址</w:t>
            </w:r>
          </w:p>
        </w:tc>
        <w:tc>
          <w:tcPr>
            <w:tcW w:w="2014" w:type="dxa"/>
            <w:tcBorders>
              <w:tl2br w:val="nil"/>
              <w:tr2bl w:val="nil"/>
            </w:tcBorders>
            <w:vAlign w:val="center"/>
          </w:tcPr>
          <w:p w14:paraId="347871E0">
            <w:pPr>
              <w:keepNext w:val="0"/>
              <w:keepLines w:val="0"/>
              <w:suppressLineNumbers w:val="0"/>
              <w:spacing w:before="0" w:beforeAutospacing="0" w:after="0" w:afterAutospacing="0"/>
              <w:ind w:left="0" w:right="0"/>
              <w:rPr>
                <w:rFonts w:hint="eastAsia" w:ascii="仿宋_GB2312" w:hAnsi="仿宋_GB2312" w:eastAsia="仿宋_GB2312" w:cs="仿宋_GB2312"/>
              </w:rPr>
            </w:pPr>
          </w:p>
        </w:tc>
      </w:tr>
      <w:tr w14:paraId="363E02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4F79DB57">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企业法定代表人</w:t>
            </w:r>
          </w:p>
        </w:tc>
        <w:tc>
          <w:tcPr>
            <w:tcW w:w="2132" w:type="dxa"/>
            <w:tcBorders>
              <w:tl2br w:val="nil"/>
              <w:tr2bl w:val="nil"/>
            </w:tcBorders>
            <w:vAlign w:val="center"/>
          </w:tcPr>
          <w:p w14:paraId="6F01ABC8">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2429" w:type="dxa"/>
            <w:tcBorders>
              <w:tl2br w:val="nil"/>
              <w:tr2bl w:val="nil"/>
            </w:tcBorders>
            <w:vAlign w:val="center"/>
          </w:tcPr>
          <w:p w14:paraId="5D1EEE68">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建立日期</w:t>
            </w:r>
          </w:p>
        </w:tc>
        <w:tc>
          <w:tcPr>
            <w:tcW w:w="2014" w:type="dxa"/>
            <w:tcBorders>
              <w:tl2br w:val="nil"/>
              <w:tr2bl w:val="nil"/>
            </w:tcBorders>
            <w:vAlign w:val="center"/>
          </w:tcPr>
          <w:p w14:paraId="31552004">
            <w:pPr>
              <w:keepNext w:val="0"/>
              <w:keepLines w:val="0"/>
              <w:suppressLineNumbers w:val="0"/>
              <w:spacing w:before="0" w:beforeAutospacing="0" w:after="0" w:afterAutospacing="0"/>
              <w:ind w:left="0" w:right="0"/>
              <w:rPr>
                <w:rFonts w:hint="eastAsia" w:ascii="仿宋_GB2312" w:hAnsi="仿宋_GB2312" w:eastAsia="仿宋_GB2312" w:cs="仿宋_GB2312"/>
              </w:rPr>
            </w:pPr>
          </w:p>
        </w:tc>
      </w:tr>
      <w:tr w14:paraId="6108EE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1083" w:hRule="atLeast"/>
          <w:tblCellSpacing w:w="0" w:type="dxa"/>
          <w:jc w:val="center"/>
        </w:trPr>
        <w:tc>
          <w:tcPr>
            <w:tcW w:w="2260" w:type="dxa"/>
            <w:tcBorders>
              <w:tl2br w:val="nil"/>
              <w:tr2bl w:val="nil"/>
            </w:tcBorders>
            <w:vAlign w:val="center"/>
          </w:tcPr>
          <w:p w14:paraId="0AAF6FE4">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企业现有资质类别</w:t>
            </w:r>
          </w:p>
          <w:p w14:paraId="016F547C">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及等级</w:t>
            </w:r>
          </w:p>
        </w:tc>
        <w:tc>
          <w:tcPr>
            <w:tcW w:w="6575" w:type="dxa"/>
            <w:gridSpan w:val="3"/>
            <w:tcBorders>
              <w:tl2br w:val="nil"/>
              <w:tr2bl w:val="nil"/>
            </w:tcBorders>
            <w:vAlign w:val="center"/>
          </w:tcPr>
          <w:p w14:paraId="1F7F6477">
            <w:pPr>
              <w:keepNext w:val="0"/>
              <w:keepLines w:val="0"/>
              <w:suppressLineNumbers w:val="0"/>
              <w:spacing w:before="0" w:beforeAutospacing="0" w:after="0" w:afterAutospacing="0"/>
              <w:ind w:left="0" w:right="0"/>
              <w:rPr>
                <w:rFonts w:hint="eastAsia" w:ascii="仿宋_GB2312" w:hAnsi="仿宋_GB2312" w:eastAsia="仿宋_GB2312" w:cs="仿宋_GB2312"/>
              </w:rPr>
            </w:pPr>
          </w:p>
        </w:tc>
      </w:tr>
      <w:tr w14:paraId="7E8087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3F99578D">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企业简介</w:t>
            </w:r>
          </w:p>
          <w:p w14:paraId="7DF6A8F5">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（内容包括企业规模、人员数量及具有技术职称人员所占的比率等）</w:t>
            </w:r>
          </w:p>
        </w:tc>
        <w:tc>
          <w:tcPr>
            <w:tcW w:w="6575" w:type="dxa"/>
            <w:gridSpan w:val="3"/>
            <w:tcBorders>
              <w:tl2br w:val="nil"/>
              <w:tr2bl w:val="nil"/>
            </w:tcBorders>
            <w:vAlign w:val="center"/>
          </w:tcPr>
          <w:p w14:paraId="5782F597">
            <w:pPr>
              <w:keepNext w:val="0"/>
              <w:keepLines w:val="0"/>
              <w:suppressLineNumbers w:val="0"/>
              <w:spacing w:before="0" w:beforeAutospacing="0" w:after="0" w:afterAutospacing="0"/>
              <w:ind w:left="0" w:right="0"/>
              <w:rPr>
                <w:rFonts w:hint="eastAsia" w:ascii="仿宋_GB2312" w:hAnsi="仿宋_GB2312" w:eastAsia="仿宋_GB2312" w:cs="仿宋_GB2312"/>
              </w:rPr>
            </w:pPr>
          </w:p>
        </w:tc>
      </w:tr>
      <w:tr w14:paraId="34ACB9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08E7504F">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投标联系人及联系方式</w:t>
            </w:r>
          </w:p>
        </w:tc>
        <w:tc>
          <w:tcPr>
            <w:tcW w:w="6575" w:type="dxa"/>
            <w:gridSpan w:val="3"/>
            <w:tcBorders>
              <w:tl2br w:val="nil"/>
              <w:tr2bl w:val="nil"/>
            </w:tcBorders>
            <w:vAlign w:val="center"/>
          </w:tcPr>
          <w:p w14:paraId="4BE41A4B">
            <w:pPr>
              <w:keepNext w:val="0"/>
              <w:keepLines w:val="0"/>
              <w:suppressLineNumbers w:val="0"/>
              <w:spacing w:before="0" w:beforeAutospacing="0" w:after="0" w:afterAutospacing="0"/>
              <w:ind w:left="0" w:right="0"/>
              <w:rPr>
                <w:rFonts w:hint="eastAsia" w:ascii="仿宋_GB2312" w:hAnsi="仿宋_GB2312" w:eastAsia="仿宋_GB2312" w:cs="仿宋_GB2312"/>
              </w:rPr>
            </w:pPr>
          </w:p>
        </w:tc>
      </w:tr>
      <w:tr w14:paraId="087239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54BABEF6">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其他</w:t>
            </w:r>
          </w:p>
        </w:tc>
        <w:tc>
          <w:tcPr>
            <w:tcW w:w="6575" w:type="dxa"/>
            <w:gridSpan w:val="3"/>
            <w:tcBorders>
              <w:tl2br w:val="nil"/>
              <w:tr2bl w:val="nil"/>
            </w:tcBorders>
            <w:vAlign w:val="center"/>
          </w:tcPr>
          <w:p w14:paraId="04EAC782">
            <w:pPr>
              <w:keepNext w:val="0"/>
              <w:keepLines w:val="0"/>
              <w:suppressLineNumbers w:val="0"/>
              <w:spacing w:before="0" w:beforeAutospacing="0" w:after="0" w:afterAutospacing="0"/>
              <w:ind w:left="0" w:right="0"/>
              <w:rPr>
                <w:rFonts w:hint="eastAsia" w:ascii="仿宋_GB2312" w:hAnsi="仿宋_GB2312" w:eastAsia="仿宋_GB2312" w:cs="仿宋_GB2312"/>
              </w:rPr>
            </w:pPr>
          </w:p>
        </w:tc>
      </w:tr>
    </w:tbl>
    <w:p w14:paraId="37F34431">
      <w:pPr>
        <w:rPr>
          <w:rFonts w:hint="eastAsia" w:ascii="仿宋_GB2312" w:hAnsi="仿宋_GB2312" w:eastAsia="仿宋_GB2312" w:cs="仿宋_GB2312"/>
        </w:rPr>
      </w:pPr>
      <w:r>
        <w:rPr>
          <w:rFonts w:hint="eastAsia" w:ascii="仿宋_GB2312" w:hAnsi="仿宋_GB2312" w:eastAsia="仿宋_GB2312" w:cs="仿宋_GB2312"/>
        </w:rPr>
        <w:t>注：相关证书扫描件应后附，如果表中填写的内容与招标人在相关网站查询结果不一致，将视为投标人存在弄虚作假的情形。</w:t>
      </w:r>
    </w:p>
    <w:p w14:paraId="143395FA">
      <w:pPr>
        <w:rPr>
          <w:rFonts w:hint="eastAsia" w:ascii="仿宋_GB2312" w:hAnsi="仿宋_GB2312" w:eastAsia="仿宋_GB2312" w:cs="仿宋_GB2312"/>
        </w:rPr>
      </w:pPr>
      <w:r>
        <w:rPr>
          <w:rFonts w:hint="eastAsia" w:ascii="仿宋_GB2312" w:hAnsi="仿宋_GB2312" w:eastAsia="仿宋_GB2312" w:cs="仿宋_GB2312"/>
        </w:rPr>
        <w:br w:type="page"/>
      </w:r>
    </w:p>
    <w:p w14:paraId="22A171BB">
      <w:pPr>
        <w:autoSpaceDE/>
        <w:autoSpaceDN/>
        <w:adjustRightInd/>
        <w:snapToGrid/>
        <w:jc w:val="left"/>
        <w:rPr>
          <w:rFonts w:hint="eastAsia" w:ascii="仿宋_GB2312" w:hAnsi="仿宋_GB2312" w:eastAsia="仿宋_GB2312" w:cs="仿宋_GB2312"/>
          <w:b/>
          <w:bCs w:val="0"/>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附件1.2</w:t>
      </w:r>
    </w:p>
    <w:p w14:paraId="76F59484">
      <w:pPr>
        <w:autoSpaceDE/>
        <w:autoSpaceDN/>
        <w:adjustRightInd w:val="0"/>
        <w:snapToGrid w:val="0"/>
        <w:spacing w:line="360" w:lineRule="auto"/>
        <w:jc w:val="center"/>
        <w:rPr>
          <w:rFonts w:hint="eastAsia" w:ascii="仿宋_GB2312" w:hAnsi="仿宋_GB2312" w:eastAsia="仿宋_GB2312" w:cs="仿宋_GB2312"/>
          <w:b/>
          <w:bCs w:val="0"/>
          <w:color w:val="auto"/>
          <w:sz w:val="28"/>
          <w:szCs w:val="28"/>
          <w:highlight w:val="none"/>
        </w:rPr>
      </w:pPr>
      <w:bookmarkStart w:id="0" w:name="定性评审法"/>
      <w:r>
        <w:rPr>
          <w:rFonts w:hint="eastAsia" w:ascii="仿宋_GB2312" w:hAnsi="仿宋_GB2312" w:eastAsia="仿宋_GB2312" w:cs="仿宋_GB2312"/>
          <w:b/>
          <w:bCs w:val="0"/>
          <w:color w:val="auto"/>
          <w:sz w:val="28"/>
          <w:szCs w:val="28"/>
          <w:highlight w:val="none"/>
        </w:rPr>
        <w:t>投标承诺函</w:t>
      </w:r>
    </w:p>
    <w:p w14:paraId="60576B3B">
      <w:pPr>
        <w:pStyle w:val="12"/>
        <w:rPr>
          <w:rFonts w:hint="eastAsia" w:ascii="仿宋_GB2312" w:hAnsi="仿宋_GB2312" w:eastAsia="仿宋_GB2312" w:cs="仿宋_GB2312"/>
          <w:u w:val="single"/>
        </w:rPr>
      </w:pPr>
      <w:r>
        <w:rPr>
          <w:rFonts w:hint="eastAsia" w:ascii="仿宋_GB2312" w:hAnsi="仿宋_GB2312" w:eastAsia="仿宋_GB2312" w:cs="仿宋_GB2312"/>
        </w:rPr>
        <w:t>致招标人:</w:t>
      </w:r>
      <w:r>
        <w:rPr>
          <w:rFonts w:hint="eastAsia" w:ascii="仿宋_GB2312" w:hAnsi="仿宋_GB2312" w:eastAsia="仿宋_GB2312" w:cs="仿宋_GB2312"/>
          <w:u w:val="single"/>
          <w:lang w:eastAsia="zh-CN"/>
        </w:rPr>
        <w:t>深圳市龙华环境有限</w:t>
      </w:r>
      <w:r>
        <w:rPr>
          <w:rFonts w:hint="eastAsia" w:ascii="仿宋_GB2312" w:hAnsi="仿宋_GB2312" w:eastAsia="仿宋_GB2312" w:cs="仿宋_GB2312"/>
          <w:u w:val="single"/>
        </w:rPr>
        <w:t>公司</w:t>
      </w:r>
    </w:p>
    <w:p w14:paraId="4702E854">
      <w:pPr>
        <w:keepNext w:val="0"/>
        <w:keepLines w:val="0"/>
        <w:pageBreakBefore w:val="0"/>
        <w:widowControl w:val="0"/>
        <w:kinsoku/>
        <w:wordWrap/>
        <w:overflowPunct/>
        <w:topLinePunct w:val="0"/>
        <w:autoSpaceDE w:val="0"/>
        <w:autoSpaceDN w:val="0"/>
        <w:bidi w:val="0"/>
        <w:adjustRightInd w:val="0"/>
        <w:snapToGrid w:val="0"/>
        <w:spacing w:line="560" w:lineRule="exact"/>
        <w:ind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为了确保本项目工作顺利进行，我方将严格执行招标投标管理的法律法规，并完全接受</w:t>
      </w:r>
      <w:r>
        <w:rPr>
          <w:rFonts w:hint="eastAsia" w:ascii="仿宋_GB2312" w:hAnsi="仿宋_GB2312" w:eastAsia="仿宋_GB2312" w:cs="仿宋_GB2312"/>
          <w:u w:val="single"/>
        </w:rPr>
        <w:t xml:space="preserve"> 深圳市龙华环境有限公司</w:t>
      </w:r>
      <w:r>
        <w:rPr>
          <w:rFonts w:hint="eastAsia" w:ascii="仿宋_GB2312" w:hAnsi="仿宋_GB2312" w:eastAsia="仿宋_GB2312" w:cs="仿宋_GB2312"/>
          <w:u w:val="single"/>
          <w:lang w:eastAsia="zh-CN"/>
        </w:rPr>
        <w:t>辅助作业车（柴油皮卡）</w:t>
      </w:r>
      <w:r>
        <w:rPr>
          <w:rFonts w:hint="eastAsia" w:ascii="仿宋_GB2312" w:hAnsi="仿宋_GB2312" w:eastAsia="仿宋_GB2312" w:cs="仿宋_GB2312"/>
          <w:u w:val="single"/>
        </w:rPr>
        <w:t xml:space="preserve">采购 </w:t>
      </w:r>
      <w:r>
        <w:rPr>
          <w:rFonts w:hint="eastAsia" w:ascii="仿宋_GB2312" w:hAnsi="仿宋_GB2312" w:eastAsia="仿宋_GB2312" w:cs="仿宋_GB2312"/>
        </w:rPr>
        <w:t>公告的所有内容及要求，为此作出如下承诺：</w:t>
      </w:r>
    </w:p>
    <w:p w14:paraId="18BDF83F">
      <w:pPr>
        <w:pStyle w:val="12"/>
        <w:keepNext w:val="0"/>
        <w:keepLines w:val="0"/>
        <w:pageBreakBefore w:val="0"/>
        <w:widowControl w:val="0"/>
        <w:kinsoku/>
        <w:wordWrap/>
        <w:overflowPunct/>
        <w:topLinePunct w:val="0"/>
        <w:autoSpaceDE w:val="0"/>
        <w:autoSpaceDN w:val="0"/>
        <w:bidi w:val="0"/>
        <w:adjustRightInd w:val="0"/>
        <w:snapToGrid w:val="0"/>
        <w:spacing w:line="560" w:lineRule="exact"/>
        <w:ind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1、我方接受《遴选公告》中确定的计价方式，根据企业自身情况，理性报价，不会以低于成本的报价竞争。</w:t>
      </w:r>
    </w:p>
    <w:p w14:paraId="15029FE7">
      <w:pPr>
        <w:pStyle w:val="12"/>
        <w:keepNext w:val="0"/>
        <w:keepLines w:val="0"/>
        <w:pageBreakBefore w:val="0"/>
        <w:widowControl w:val="0"/>
        <w:kinsoku/>
        <w:wordWrap/>
        <w:overflowPunct/>
        <w:topLinePunct w:val="0"/>
        <w:autoSpaceDE w:val="0"/>
        <w:autoSpaceDN w:val="0"/>
        <w:bidi w:val="0"/>
        <w:adjustRightInd w:val="0"/>
        <w:snapToGrid w:val="0"/>
        <w:spacing w:line="560" w:lineRule="exact"/>
        <w:ind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2、一旦我方中选，将与委托单位友好合作，依约履行委托合同，自觉接受委托单位的日常监管和履约评价，为委托单位提供优质、高效服务。</w:t>
      </w:r>
    </w:p>
    <w:p w14:paraId="447BCF3E">
      <w:pPr>
        <w:pStyle w:val="12"/>
        <w:keepNext w:val="0"/>
        <w:keepLines w:val="0"/>
        <w:pageBreakBefore w:val="0"/>
        <w:widowControl w:val="0"/>
        <w:kinsoku/>
        <w:wordWrap/>
        <w:overflowPunct/>
        <w:topLinePunct w:val="0"/>
        <w:autoSpaceDE w:val="0"/>
        <w:autoSpaceDN w:val="0"/>
        <w:bidi w:val="0"/>
        <w:adjustRightInd w:val="0"/>
        <w:snapToGrid w:val="0"/>
        <w:spacing w:line="560" w:lineRule="exact"/>
        <w:ind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3、如果违反本承诺书中任何条款，我方愿意接受：</w:t>
      </w:r>
    </w:p>
    <w:p w14:paraId="0A78BE3C">
      <w:pPr>
        <w:pStyle w:val="12"/>
        <w:keepNext w:val="0"/>
        <w:keepLines w:val="0"/>
        <w:pageBreakBefore w:val="0"/>
        <w:widowControl w:val="0"/>
        <w:kinsoku/>
        <w:wordWrap/>
        <w:overflowPunct/>
        <w:topLinePunct w:val="0"/>
        <w:autoSpaceDE w:val="0"/>
        <w:autoSpaceDN w:val="0"/>
        <w:bidi w:val="0"/>
        <w:adjustRightInd w:val="0"/>
        <w:snapToGrid w:val="0"/>
        <w:spacing w:line="560" w:lineRule="exact"/>
        <w:ind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（1）视作我方单方面违约，并按照合同规定向贵方支付违约金或解除合同；</w:t>
      </w:r>
    </w:p>
    <w:p w14:paraId="68F9582C">
      <w:pPr>
        <w:pStyle w:val="12"/>
        <w:keepNext w:val="0"/>
        <w:keepLines w:val="0"/>
        <w:pageBreakBefore w:val="0"/>
        <w:widowControl w:val="0"/>
        <w:kinsoku/>
        <w:wordWrap/>
        <w:overflowPunct/>
        <w:topLinePunct w:val="0"/>
        <w:autoSpaceDE w:val="0"/>
        <w:autoSpaceDN w:val="0"/>
        <w:bidi w:val="0"/>
        <w:adjustRightInd w:val="0"/>
        <w:snapToGrid w:val="0"/>
        <w:spacing w:line="560" w:lineRule="exact"/>
        <w:ind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（2）履约评价评定为合格及以下；</w:t>
      </w:r>
    </w:p>
    <w:p w14:paraId="1942318B">
      <w:pPr>
        <w:pStyle w:val="12"/>
        <w:keepNext w:val="0"/>
        <w:keepLines w:val="0"/>
        <w:pageBreakBefore w:val="0"/>
        <w:widowControl w:val="0"/>
        <w:kinsoku/>
        <w:wordWrap/>
        <w:overflowPunct/>
        <w:topLinePunct w:val="0"/>
        <w:autoSpaceDE w:val="0"/>
        <w:autoSpaceDN w:val="0"/>
        <w:bidi w:val="0"/>
        <w:adjustRightInd w:val="0"/>
        <w:snapToGrid w:val="0"/>
        <w:spacing w:line="560" w:lineRule="exact"/>
        <w:ind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（3）贵方今后可拒绝我方参与投标；</w:t>
      </w:r>
    </w:p>
    <w:p w14:paraId="370099EB">
      <w:pPr>
        <w:pStyle w:val="12"/>
        <w:keepNext w:val="0"/>
        <w:keepLines w:val="0"/>
        <w:pageBreakBefore w:val="0"/>
        <w:widowControl w:val="0"/>
        <w:kinsoku/>
        <w:wordWrap/>
        <w:overflowPunct/>
        <w:topLinePunct w:val="0"/>
        <w:autoSpaceDE w:val="0"/>
        <w:autoSpaceDN w:val="0"/>
        <w:bidi w:val="0"/>
        <w:adjustRightInd w:val="0"/>
        <w:snapToGrid w:val="0"/>
        <w:spacing w:line="560" w:lineRule="exact"/>
        <w:ind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（4）相关主管部门的不良行为记录、行政处罚。</w:t>
      </w:r>
    </w:p>
    <w:p w14:paraId="2373672D">
      <w:pPr>
        <w:rPr>
          <w:rFonts w:hint="eastAsia" w:ascii="仿宋_GB2312" w:hAnsi="仿宋_GB2312" w:eastAsia="仿宋_GB2312" w:cs="仿宋_GB2312"/>
        </w:rPr>
      </w:pPr>
    </w:p>
    <w:p w14:paraId="40E37E2B">
      <w:pPr>
        <w:pStyle w:val="13"/>
        <w:rPr>
          <w:rFonts w:hint="eastAsia" w:ascii="仿宋_GB2312" w:hAnsi="仿宋_GB2312" w:eastAsia="仿宋_GB2312" w:cs="仿宋_GB2312"/>
        </w:rPr>
      </w:pPr>
    </w:p>
    <w:p w14:paraId="0E7E9689">
      <w:pPr>
        <w:autoSpaceDE/>
        <w:autoSpaceDN/>
        <w:adjustRightInd/>
        <w:snapToGrid/>
        <w:spacing w:line="600" w:lineRule="exact"/>
        <w:ind w:firstLine="3600" w:firstLineChars="1500"/>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承诺单位（盖章）：</w:t>
      </w:r>
    </w:p>
    <w:p w14:paraId="058ABA0C">
      <w:pPr>
        <w:autoSpaceDE/>
        <w:autoSpaceDN/>
        <w:adjustRightInd/>
        <w:snapToGrid/>
        <w:spacing w:line="600" w:lineRule="exact"/>
        <w:ind w:firstLine="3600" w:firstLineChars="1500"/>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法定代表人或授权委托人（签字或盖私章）：</w:t>
      </w:r>
    </w:p>
    <w:p w14:paraId="09D2B0C0">
      <w:pPr>
        <w:autoSpaceDE/>
        <w:autoSpaceDN/>
        <w:adjustRightInd/>
        <w:snapToGrid/>
        <w:spacing w:line="600" w:lineRule="exact"/>
        <w:ind w:firstLine="3600" w:firstLineChars="1500"/>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签署日期：    年    月    日</w:t>
      </w:r>
    </w:p>
    <w:p w14:paraId="7FD480A4">
      <w:pPr>
        <w:rPr>
          <w:rFonts w:hint="eastAsia" w:ascii="仿宋_GB2312" w:hAnsi="仿宋_GB2312" w:eastAsia="仿宋_GB2312" w:cs="仿宋_GB2312"/>
        </w:rPr>
      </w:pPr>
      <w:r>
        <w:rPr>
          <w:rFonts w:hint="eastAsia" w:ascii="仿宋_GB2312" w:hAnsi="仿宋_GB2312" w:eastAsia="仿宋_GB2312" w:cs="仿宋_GB2312"/>
        </w:rPr>
        <w:br w:type="page"/>
      </w:r>
    </w:p>
    <w:p w14:paraId="7090184A">
      <w:pPr>
        <w:autoSpaceDE/>
        <w:autoSpaceDN/>
        <w:adjustRightInd/>
        <w:snapToGrid/>
        <w:jc w:val="left"/>
        <w:rPr>
          <w:rFonts w:hint="eastAsia" w:ascii="仿宋_GB2312" w:hAnsi="仿宋_GB2312" w:eastAsia="仿宋_GB2312" w:cs="仿宋_GB2312"/>
          <w:b/>
          <w:bCs w:val="0"/>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附件1.3 同类销售业绩</w:t>
      </w:r>
    </w:p>
    <w:p w14:paraId="33678F24">
      <w:pPr>
        <w:autoSpaceDE/>
        <w:autoSpaceDN/>
        <w:adjustRightInd/>
        <w:snapToGrid/>
        <w:spacing w:after="200" w:line="360" w:lineRule="auto"/>
        <w:jc w:val="center"/>
        <w:outlineLvl w:val="2"/>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企业同类</w:t>
      </w:r>
      <w:r>
        <w:rPr>
          <w:rFonts w:hint="eastAsia" w:ascii="仿宋_GB2312" w:hAnsi="仿宋_GB2312" w:eastAsia="仿宋_GB2312" w:cs="仿宋_GB2312"/>
          <w:b/>
          <w:bCs/>
          <w:color w:val="auto"/>
          <w:sz w:val="28"/>
          <w:szCs w:val="28"/>
          <w:highlight w:val="none"/>
          <w:lang w:val="en-US" w:eastAsia="zh-CN"/>
        </w:rPr>
        <w:t>销售</w:t>
      </w:r>
      <w:r>
        <w:rPr>
          <w:rFonts w:hint="eastAsia" w:ascii="仿宋_GB2312" w:hAnsi="仿宋_GB2312" w:eastAsia="仿宋_GB2312" w:cs="仿宋_GB2312"/>
          <w:b/>
          <w:bCs/>
          <w:color w:val="auto"/>
          <w:sz w:val="28"/>
          <w:szCs w:val="28"/>
          <w:highlight w:val="none"/>
        </w:rPr>
        <w:t>业绩一览表</w:t>
      </w:r>
    </w:p>
    <w:tbl>
      <w:tblPr>
        <w:tblStyle w:val="17"/>
        <w:tblpPr w:leftFromText="180" w:rightFromText="180" w:vertAnchor="text" w:horzAnchor="page" w:tblpX="1459" w:tblpY="132"/>
        <w:tblOverlap w:val="never"/>
        <w:tblW w:w="90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2B7F8F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4FBDCC28">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序号</w:t>
            </w:r>
          </w:p>
        </w:tc>
        <w:tc>
          <w:tcPr>
            <w:tcW w:w="1541" w:type="dxa"/>
            <w:tcBorders>
              <w:tl2br w:val="nil"/>
              <w:tr2bl w:val="nil"/>
            </w:tcBorders>
            <w:vAlign w:val="center"/>
          </w:tcPr>
          <w:p w14:paraId="56789C04">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lang w:val="en-US" w:eastAsia="zh-CN"/>
              </w:rPr>
              <w:t>合同</w:t>
            </w:r>
            <w:r>
              <w:rPr>
                <w:rFonts w:hint="eastAsia" w:ascii="仿宋_GB2312" w:hAnsi="仿宋_GB2312" w:eastAsia="仿宋_GB2312" w:cs="仿宋_GB2312"/>
              </w:rPr>
              <w:t>名称</w:t>
            </w:r>
          </w:p>
        </w:tc>
        <w:tc>
          <w:tcPr>
            <w:tcW w:w="2100" w:type="dxa"/>
            <w:tcBorders>
              <w:tl2br w:val="nil"/>
              <w:tr2bl w:val="nil"/>
            </w:tcBorders>
            <w:vAlign w:val="center"/>
          </w:tcPr>
          <w:p w14:paraId="141D0C3A">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lang w:val="en-US" w:eastAsia="zh-CN"/>
              </w:rPr>
              <w:t>销售</w:t>
            </w:r>
            <w:r>
              <w:rPr>
                <w:rFonts w:hint="eastAsia" w:ascii="仿宋_GB2312" w:hAnsi="仿宋_GB2312" w:eastAsia="仿宋_GB2312" w:cs="仿宋_GB2312"/>
              </w:rPr>
              <w:t>内容</w:t>
            </w:r>
          </w:p>
        </w:tc>
        <w:tc>
          <w:tcPr>
            <w:tcW w:w="1593" w:type="dxa"/>
            <w:tcBorders>
              <w:tl2br w:val="nil"/>
              <w:tr2bl w:val="nil"/>
            </w:tcBorders>
            <w:vAlign w:val="center"/>
          </w:tcPr>
          <w:p w14:paraId="13B8E6BF">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合同金额</w:t>
            </w:r>
            <w:r>
              <w:rPr>
                <w:rFonts w:hint="eastAsia" w:ascii="仿宋_GB2312" w:hAnsi="仿宋_GB2312" w:eastAsia="仿宋_GB2312" w:cs="仿宋_GB2312"/>
              </w:rPr>
              <w:br w:type="textWrapping"/>
            </w:r>
            <w:r>
              <w:rPr>
                <w:rFonts w:hint="eastAsia" w:ascii="仿宋_GB2312" w:hAnsi="仿宋_GB2312" w:eastAsia="仿宋_GB2312" w:cs="仿宋_GB2312"/>
              </w:rPr>
              <w:t>（万元）</w:t>
            </w:r>
          </w:p>
        </w:tc>
        <w:tc>
          <w:tcPr>
            <w:tcW w:w="1771" w:type="dxa"/>
            <w:tcBorders>
              <w:tl2br w:val="nil"/>
              <w:tr2bl w:val="nil"/>
            </w:tcBorders>
            <w:vAlign w:val="center"/>
          </w:tcPr>
          <w:p w14:paraId="395755E0">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合同签订时间</w:t>
            </w:r>
          </w:p>
        </w:tc>
        <w:tc>
          <w:tcPr>
            <w:tcW w:w="1290" w:type="dxa"/>
            <w:tcBorders>
              <w:tl2br w:val="nil"/>
              <w:tr2bl w:val="nil"/>
            </w:tcBorders>
            <w:vAlign w:val="center"/>
          </w:tcPr>
          <w:p w14:paraId="7EAAB998">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备注</w:t>
            </w:r>
          </w:p>
        </w:tc>
      </w:tr>
      <w:tr w14:paraId="5EA128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2F55433">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1541" w:type="dxa"/>
            <w:tcBorders>
              <w:tl2br w:val="nil"/>
              <w:tr2bl w:val="nil"/>
            </w:tcBorders>
            <w:vAlign w:val="center"/>
          </w:tcPr>
          <w:p w14:paraId="7362ADF3">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2100" w:type="dxa"/>
            <w:tcBorders>
              <w:tl2br w:val="nil"/>
              <w:tr2bl w:val="nil"/>
            </w:tcBorders>
            <w:vAlign w:val="center"/>
          </w:tcPr>
          <w:p w14:paraId="499F5675">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1593" w:type="dxa"/>
            <w:tcBorders>
              <w:tl2br w:val="nil"/>
              <w:tr2bl w:val="nil"/>
            </w:tcBorders>
            <w:vAlign w:val="center"/>
          </w:tcPr>
          <w:p w14:paraId="141E4BFB">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1771" w:type="dxa"/>
            <w:tcBorders>
              <w:tl2br w:val="nil"/>
              <w:tr2bl w:val="nil"/>
            </w:tcBorders>
            <w:vAlign w:val="center"/>
          </w:tcPr>
          <w:p w14:paraId="390BFC0F">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1290" w:type="dxa"/>
            <w:tcBorders>
              <w:tl2br w:val="nil"/>
              <w:tr2bl w:val="nil"/>
            </w:tcBorders>
            <w:vAlign w:val="center"/>
          </w:tcPr>
          <w:p w14:paraId="163794A3">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r>
      <w:tr w14:paraId="3337E3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4E040456">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2</w:t>
            </w:r>
          </w:p>
        </w:tc>
        <w:tc>
          <w:tcPr>
            <w:tcW w:w="1541" w:type="dxa"/>
            <w:tcBorders>
              <w:tl2br w:val="nil"/>
              <w:tr2bl w:val="nil"/>
            </w:tcBorders>
            <w:vAlign w:val="center"/>
          </w:tcPr>
          <w:p w14:paraId="6E3F9928">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2100" w:type="dxa"/>
            <w:tcBorders>
              <w:tl2br w:val="nil"/>
              <w:tr2bl w:val="nil"/>
            </w:tcBorders>
            <w:vAlign w:val="center"/>
          </w:tcPr>
          <w:p w14:paraId="0806F240">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1593" w:type="dxa"/>
            <w:tcBorders>
              <w:tl2br w:val="nil"/>
              <w:tr2bl w:val="nil"/>
            </w:tcBorders>
            <w:vAlign w:val="center"/>
          </w:tcPr>
          <w:p w14:paraId="5EC9E00C">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1771" w:type="dxa"/>
            <w:tcBorders>
              <w:tl2br w:val="nil"/>
              <w:tr2bl w:val="nil"/>
            </w:tcBorders>
            <w:vAlign w:val="center"/>
          </w:tcPr>
          <w:p w14:paraId="7A470B8E">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1290" w:type="dxa"/>
            <w:tcBorders>
              <w:tl2br w:val="nil"/>
              <w:tr2bl w:val="nil"/>
            </w:tcBorders>
            <w:vAlign w:val="center"/>
          </w:tcPr>
          <w:p w14:paraId="7D65F4E2">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r>
      <w:tr w14:paraId="215712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239708FD">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3</w:t>
            </w:r>
          </w:p>
        </w:tc>
        <w:tc>
          <w:tcPr>
            <w:tcW w:w="1541" w:type="dxa"/>
            <w:tcBorders>
              <w:tl2br w:val="nil"/>
              <w:tr2bl w:val="nil"/>
            </w:tcBorders>
            <w:vAlign w:val="center"/>
          </w:tcPr>
          <w:p w14:paraId="45E7A088">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2100" w:type="dxa"/>
            <w:tcBorders>
              <w:tl2br w:val="nil"/>
              <w:tr2bl w:val="nil"/>
            </w:tcBorders>
            <w:vAlign w:val="center"/>
          </w:tcPr>
          <w:p w14:paraId="53E20CB9">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1593" w:type="dxa"/>
            <w:tcBorders>
              <w:tl2br w:val="nil"/>
              <w:tr2bl w:val="nil"/>
            </w:tcBorders>
            <w:vAlign w:val="center"/>
          </w:tcPr>
          <w:p w14:paraId="668C4760">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1771" w:type="dxa"/>
            <w:tcBorders>
              <w:tl2br w:val="nil"/>
              <w:tr2bl w:val="nil"/>
            </w:tcBorders>
            <w:vAlign w:val="center"/>
          </w:tcPr>
          <w:p w14:paraId="4DED87DD">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1290" w:type="dxa"/>
            <w:tcBorders>
              <w:tl2br w:val="nil"/>
              <w:tr2bl w:val="nil"/>
            </w:tcBorders>
            <w:vAlign w:val="center"/>
          </w:tcPr>
          <w:p w14:paraId="41814CB6">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r>
      <w:tr w14:paraId="2EA584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3D99F46">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rPr>
              <w:t>4</w:t>
            </w:r>
          </w:p>
        </w:tc>
        <w:tc>
          <w:tcPr>
            <w:tcW w:w="1541" w:type="dxa"/>
            <w:tcBorders>
              <w:tl2br w:val="nil"/>
              <w:tr2bl w:val="nil"/>
            </w:tcBorders>
            <w:vAlign w:val="center"/>
          </w:tcPr>
          <w:p w14:paraId="33E66B18">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2100" w:type="dxa"/>
            <w:tcBorders>
              <w:tl2br w:val="nil"/>
              <w:tr2bl w:val="nil"/>
            </w:tcBorders>
            <w:vAlign w:val="center"/>
          </w:tcPr>
          <w:p w14:paraId="00AB34BF">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1593" w:type="dxa"/>
            <w:tcBorders>
              <w:tl2br w:val="nil"/>
              <w:tr2bl w:val="nil"/>
            </w:tcBorders>
            <w:vAlign w:val="center"/>
          </w:tcPr>
          <w:p w14:paraId="730B8A9C">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1771" w:type="dxa"/>
            <w:tcBorders>
              <w:tl2br w:val="nil"/>
              <w:tr2bl w:val="nil"/>
            </w:tcBorders>
            <w:vAlign w:val="center"/>
          </w:tcPr>
          <w:p w14:paraId="0FBF0AA4">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c>
          <w:tcPr>
            <w:tcW w:w="1290" w:type="dxa"/>
            <w:tcBorders>
              <w:tl2br w:val="nil"/>
              <w:tr2bl w:val="nil"/>
            </w:tcBorders>
            <w:vAlign w:val="center"/>
          </w:tcPr>
          <w:p w14:paraId="0D303557">
            <w:pPr>
              <w:keepNext w:val="0"/>
              <w:keepLines w:val="0"/>
              <w:suppressLineNumbers w:val="0"/>
              <w:spacing w:before="0" w:beforeAutospacing="0" w:after="0" w:afterAutospacing="0"/>
              <w:ind w:left="0" w:right="0"/>
              <w:jc w:val="center"/>
              <w:rPr>
                <w:rFonts w:hint="eastAsia" w:ascii="仿宋_GB2312" w:hAnsi="仿宋_GB2312" w:eastAsia="仿宋_GB2312" w:cs="仿宋_GB2312"/>
              </w:rPr>
            </w:pPr>
          </w:p>
        </w:tc>
      </w:tr>
    </w:tbl>
    <w:p w14:paraId="0CF11986">
      <w:pPr>
        <w:rPr>
          <w:rFonts w:hint="eastAsia" w:ascii="仿宋_GB2312" w:hAnsi="仿宋_GB2312" w:eastAsia="仿宋_GB2312" w:cs="仿宋_GB2312"/>
        </w:rPr>
      </w:pPr>
    </w:p>
    <w:p w14:paraId="6FD2F95F">
      <w:pPr>
        <w:rPr>
          <w:rFonts w:hint="eastAsia" w:ascii="仿宋_GB2312" w:hAnsi="仿宋_GB2312" w:eastAsia="仿宋_GB2312" w:cs="仿宋_GB2312"/>
        </w:rPr>
      </w:pPr>
      <w:r>
        <w:rPr>
          <w:rFonts w:hint="eastAsia" w:ascii="仿宋_GB2312" w:hAnsi="仿宋_GB2312" w:eastAsia="仿宋_GB2312" w:cs="仿宋_GB2312"/>
        </w:rPr>
        <w:t>注：提供合同扫描件，须体现合同主体、合同范围、合同金额、合同盖章等关键页，同时需提供甲方盖章出具的中标通知书或供货验收单；每份合同只计算一次，未提供、显示模糊或资料不符合要求的不得分。评标委员会有权对投标人提供的资料真实性进行核查。</w:t>
      </w:r>
    </w:p>
    <w:bookmarkEnd w:id="0"/>
    <w:p w14:paraId="1AA7A01E">
      <w:pPr>
        <w:rPr>
          <w:rFonts w:hint="eastAsia" w:ascii="仿宋_GB2312" w:hAnsi="仿宋_GB2312" w:eastAsia="仿宋_GB2312" w:cs="仿宋_GB2312"/>
        </w:rPr>
      </w:pPr>
      <w:r>
        <w:rPr>
          <w:rFonts w:hint="eastAsia" w:ascii="仿宋_GB2312" w:hAnsi="仿宋_GB2312" w:eastAsia="仿宋_GB2312" w:cs="仿宋_GB2312"/>
        </w:rPr>
        <w:br w:type="page"/>
      </w:r>
    </w:p>
    <w:p w14:paraId="1ED4A752">
      <w:pPr>
        <w:autoSpaceDE/>
        <w:autoSpaceDN/>
        <w:adjustRightInd/>
        <w:snapToGrid/>
        <w:jc w:val="left"/>
        <w:rPr>
          <w:rFonts w:hint="eastAsia" w:ascii="仿宋_GB2312" w:hAnsi="仿宋_GB2312" w:eastAsia="仿宋_GB2312" w:cs="仿宋_GB2312"/>
          <w:b/>
          <w:bCs w:val="0"/>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附件1.4 技术规格偏离情况</w:t>
      </w:r>
    </w:p>
    <w:p w14:paraId="6B3DE1B0">
      <w:pPr>
        <w:pStyle w:val="13"/>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bCs/>
          <w:sz w:val="32"/>
          <w:szCs w:val="32"/>
          <w:lang w:val="en-US" w:eastAsia="zh-CN"/>
        </w:rPr>
        <w:t>技术规格偏离表</w:t>
      </w:r>
    </w:p>
    <w:tbl>
      <w:tblPr>
        <w:tblStyle w:val="18"/>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1467"/>
        <w:gridCol w:w="2906"/>
        <w:gridCol w:w="1771"/>
        <w:gridCol w:w="1246"/>
        <w:gridCol w:w="854"/>
      </w:tblGrid>
      <w:tr w14:paraId="4EAE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1" w:type="dxa"/>
            <w:vAlign w:val="center"/>
          </w:tcPr>
          <w:p w14:paraId="15E0C66D">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color w:val="auto"/>
                <w:kern w:val="2"/>
                <w:sz w:val="24"/>
                <w:szCs w:val="24"/>
                <w:highlight w:val="none"/>
                <w:lang w:val="en-US" w:eastAsia="zh-CN"/>
              </w:rPr>
            </w:pPr>
            <w:r>
              <w:rPr>
                <w:rFonts w:hint="eastAsia" w:ascii="仿宋_GB2312" w:hAnsi="仿宋_GB2312" w:eastAsia="仿宋_GB2312" w:cs="仿宋_GB2312"/>
                <w:b/>
                <w:bCs/>
                <w:color w:val="auto"/>
                <w:kern w:val="2"/>
                <w:sz w:val="24"/>
                <w:szCs w:val="24"/>
                <w:highlight w:val="none"/>
                <w:lang w:val="en-US" w:eastAsia="zh-CN"/>
              </w:rPr>
              <w:t>序号</w:t>
            </w:r>
          </w:p>
        </w:tc>
        <w:tc>
          <w:tcPr>
            <w:tcW w:w="1467" w:type="dxa"/>
            <w:vAlign w:val="center"/>
          </w:tcPr>
          <w:p w14:paraId="37B4B6CC">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color w:val="auto"/>
                <w:kern w:val="2"/>
                <w:sz w:val="24"/>
                <w:szCs w:val="24"/>
                <w:highlight w:val="none"/>
                <w:lang w:val="en-US" w:eastAsia="zh-CN"/>
              </w:rPr>
            </w:pPr>
            <w:r>
              <w:rPr>
                <w:rFonts w:hint="eastAsia" w:ascii="仿宋_GB2312" w:hAnsi="仿宋_GB2312" w:eastAsia="仿宋_GB2312" w:cs="仿宋_GB2312"/>
                <w:b/>
                <w:bCs/>
                <w:color w:val="auto"/>
                <w:kern w:val="2"/>
                <w:sz w:val="24"/>
                <w:szCs w:val="24"/>
                <w:highlight w:val="none"/>
                <w:lang w:val="en-US" w:eastAsia="zh-CN"/>
              </w:rPr>
              <w:t>货物名称</w:t>
            </w:r>
          </w:p>
        </w:tc>
        <w:tc>
          <w:tcPr>
            <w:tcW w:w="2906" w:type="dxa"/>
            <w:vAlign w:val="center"/>
          </w:tcPr>
          <w:p w14:paraId="48062BEE">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color w:val="auto"/>
                <w:kern w:val="2"/>
                <w:sz w:val="24"/>
                <w:szCs w:val="24"/>
                <w:highlight w:val="none"/>
                <w:lang w:val="en-US" w:eastAsia="zh-CN"/>
              </w:rPr>
            </w:pPr>
            <w:r>
              <w:rPr>
                <w:rFonts w:hint="eastAsia" w:ascii="仿宋_GB2312" w:hAnsi="仿宋_GB2312" w:eastAsia="仿宋_GB2312" w:cs="仿宋_GB2312"/>
                <w:b/>
                <w:bCs/>
                <w:color w:val="auto"/>
                <w:kern w:val="2"/>
                <w:sz w:val="24"/>
                <w:szCs w:val="24"/>
                <w:highlight w:val="none"/>
                <w:lang w:val="en-US" w:eastAsia="zh-CN"/>
              </w:rPr>
              <w:t>招标规格</w:t>
            </w:r>
          </w:p>
        </w:tc>
        <w:tc>
          <w:tcPr>
            <w:tcW w:w="1771" w:type="dxa"/>
            <w:vAlign w:val="center"/>
          </w:tcPr>
          <w:p w14:paraId="33ACC94A">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color w:val="auto"/>
                <w:kern w:val="2"/>
                <w:sz w:val="24"/>
                <w:szCs w:val="24"/>
                <w:highlight w:val="none"/>
                <w:lang w:val="en-US" w:eastAsia="zh-CN"/>
              </w:rPr>
            </w:pPr>
            <w:r>
              <w:rPr>
                <w:rFonts w:hint="eastAsia" w:ascii="仿宋_GB2312" w:hAnsi="仿宋_GB2312" w:eastAsia="仿宋_GB2312" w:cs="仿宋_GB2312"/>
                <w:b/>
                <w:bCs/>
                <w:color w:val="auto"/>
                <w:kern w:val="2"/>
                <w:sz w:val="24"/>
                <w:szCs w:val="24"/>
                <w:highlight w:val="none"/>
                <w:lang w:val="en-US" w:eastAsia="zh-CN"/>
              </w:rPr>
              <w:t>所投产品参数</w:t>
            </w:r>
          </w:p>
        </w:tc>
        <w:tc>
          <w:tcPr>
            <w:tcW w:w="1246" w:type="dxa"/>
            <w:vAlign w:val="center"/>
          </w:tcPr>
          <w:p w14:paraId="7ABED9A6">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color w:val="auto"/>
                <w:kern w:val="2"/>
                <w:sz w:val="24"/>
                <w:szCs w:val="24"/>
                <w:highlight w:val="none"/>
                <w:lang w:val="en-US" w:eastAsia="zh-CN"/>
              </w:rPr>
            </w:pPr>
            <w:r>
              <w:rPr>
                <w:rFonts w:hint="eastAsia" w:ascii="仿宋_GB2312" w:hAnsi="仿宋_GB2312" w:eastAsia="仿宋_GB2312" w:cs="仿宋_GB2312"/>
                <w:b/>
                <w:bCs/>
                <w:color w:val="auto"/>
                <w:kern w:val="2"/>
                <w:sz w:val="24"/>
                <w:szCs w:val="24"/>
                <w:highlight w:val="none"/>
                <w:lang w:val="en-US" w:eastAsia="zh-CN"/>
              </w:rPr>
              <w:t>偏离情况</w:t>
            </w:r>
          </w:p>
        </w:tc>
        <w:tc>
          <w:tcPr>
            <w:tcW w:w="854" w:type="dxa"/>
            <w:vAlign w:val="center"/>
          </w:tcPr>
          <w:p w14:paraId="2030DD61">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color w:val="auto"/>
                <w:kern w:val="2"/>
                <w:sz w:val="24"/>
                <w:szCs w:val="24"/>
                <w:highlight w:val="none"/>
                <w:lang w:val="en-US" w:eastAsia="zh-CN"/>
              </w:rPr>
            </w:pPr>
            <w:r>
              <w:rPr>
                <w:rFonts w:hint="eastAsia" w:ascii="仿宋_GB2312" w:hAnsi="仿宋_GB2312" w:eastAsia="仿宋_GB2312" w:cs="仿宋_GB2312"/>
                <w:b/>
                <w:bCs/>
                <w:color w:val="auto"/>
                <w:kern w:val="2"/>
                <w:sz w:val="24"/>
                <w:szCs w:val="24"/>
                <w:highlight w:val="none"/>
                <w:lang w:val="en-US" w:eastAsia="zh-CN"/>
              </w:rPr>
              <w:t>说明</w:t>
            </w:r>
          </w:p>
        </w:tc>
      </w:tr>
      <w:tr w14:paraId="4B67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91" w:type="dxa"/>
            <w:vAlign w:val="center"/>
          </w:tcPr>
          <w:p w14:paraId="28942DFC">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1</w:t>
            </w:r>
          </w:p>
        </w:tc>
        <w:tc>
          <w:tcPr>
            <w:tcW w:w="1467" w:type="dxa"/>
            <w:vMerge w:val="restart"/>
            <w:vAlign w:val="center"/>
          </w:tcPr>
          <w:p w14:paraId="5C6B0554">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240" w:firstLineChars="10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柴油皮卡</w:t>
            </w:r>
          </w:p>
        </w:tc>
        <w:tc>
          <w:tcPr>
            <w:tcW w:w="2906" w:type="dxa"/>
            <w:vAlign w:val="center"/>
          </w:tcPr>
          <w:p w14:paraId="705E13B9">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sz w:val="24"/>
                <w:szCs w:val="24"/>
                <w:highlight w:val="none"/>
                <w:lang w:val="en-US" w:eastAsia="zh-CN"/>
              </w:rPr>
              <w:t>（1）总质量(kg):&lt;3000</w:t>
            </w:r>
          </w:p>
        </w:tc>
        <w:tc>
          <w:tcPr>
            <w:tcW w:w="1771" w:type="dxa"/>
            <w:vAlign w:val="center"/>
          </w:tcPr>
          <w:p w14:paraId="11B0A584">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1246" w:type="dxa"/>
            <w:vAlign w:val="center"/>
          </w:tcPr>
          <w:p w14:paraId="46FFB12F">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854" w:type="dxa"/>
            <w:vAlign w:val="center"/>
          </w:tcPr>
          <w:p w14:paraId="3224170B">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r>
      <w:tr w14:paraId="733C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91" w:type="dxa"/>
            <w:vAlign w:val="center"/>
          </w:tcPr>
          <w:p w14:paraId="3A0C4BAF">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2</w:t>
            </w:r>
          </w:p>
        </w:tc>
        <w:tc>
          <w:tcPr>
            <w:tcW w:w="1467" w:type="dxa"/>
            <w:vMerge w:val="continue"/>
            <w:vAlign w:val="center"/>
          </w:tcPr>
          <w:p w14:paraId="0721F535">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2906" w:type="dxa"/>
            <w:vAlign w:val="center"/>
          </w:tcPr>
          <w:p w14:paraId="7C440D22">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sz w:val="24"/>
                <w:szCs w:val="24"/>
                <w:highlight w:val="none"/>
                <w:lang w:val="en-US" w:eastAsia="zh-CN"/>
              </w:rPr>
              <w:t>（2）变速箱类型：自动</w:t>
            </w:r>
          </w:p>
        </w:tc>
        <w:tc>
          <w:tcPr>
            <w:tcW w:w="1771" w:type="dxa"/>
            <w:vAlign w:val="center"/>
          </w:tcPr>
          <w:p w14:paraId="4345343E">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1246" w:type="dxa"/>
            <w:vAlign w:val="center"/>
          </w:tcPr>
          <w:p w14:paraId="2B7CA5CB">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854" w:type="dxa"/>
            <w:vAlign w:val="center"/>
          </w:tcPr>
          <w:p w14:paraId="585FA11F">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r>
      <w:tr w14:paraId="3993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91" w:type="dxa"/>
            <w:vAlign w:val="center"/>
          </w:tcPr>
          <w:p w14:paraId="58BC395E">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3</w:t>
            </w:r>
          </w:p>
        </w:tc>
        <w:tc>
          <w:tcPr>
            <w:tcW w:w="1467" w:type="dxa"/>
            <w:vMerge w:val="continue"/>
            <w:vAlign w:val="center"/>
          </w:tcPr>
          <w:p w14:paraId="77E66887">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2906" w:type="dxa"/>
            <w:vAlign w:val="center"/>
          </w:tcPr>
          <w:p w14:paraId="54A74DF7">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sz w:val="24"/>
                <w:szCs w:val="24"/>
                <w:highlight w:val="none"/>
                <w:lang w:val="en-US" w:eastAsia="zh-CN"/>
              </w:rPr>
              <w:t>（3）发动机功率（kW）：&gt;120</w:t>
            </w:r>
          </w:p>
        </w:tc>
        <w:tc>
          <w:tcPr>
            <w:tcW w:w="1771" w:type="dxa"/>
            <w:vAlign w:val="center"/>
          </w:tcPr>
          <w:p w14:paraId="1CFDF6AA">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1246" w:type="dxa"/>
            <w:vAlign w:val="center"/>
          </w:tcPr>
          <w:p w14:paraId="5FF9F736">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854" w:type="dxa"/>
            <w:vAlign w:val="center"/>
          </w:tcPr>
          <w:p w14:paraId="260AF358">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r>
      <w:tr w14:paraId="7E28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91" w:type="dxa"/>
            <w:vAlign w:val="center"/>
          </w:tcPr>
          <w:p w14:paraId="7B9FDDDA">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4</w:t>
            </w:r>
          </w:p>
        </w:tc>
        <w:tc>
          <w:tcPr>
            <w:tcW w:w="1467" w:type="dxa"/>
            <w:vMerge w:val="continue"/>
            <w:vAlign w:val="center"/>
          </w:tcPr>
          <w:p w14:paraId="44D3615E">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2906" w:type="dxa"/>
            <w:vAlign w:val="center"/>
          </w:tcPr>
          <w:p w14:paraId="3F02C381">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sz w:val="24"/>
                <w:szCs w:val="24"/>
                <w:highlight w:val="none"/>
                <w:lang w:val="en-US" w:eastAsia="zh-CN"/>
              </w:rPr>
              <w:t>（4）排量（T）：&lt;2.5</w:t>
            </w:r>
          </w:p>
        </w:tc>
        <w:tc>
          <w:tcPr>
            <w:tcW w:w="1771" w:type="dxa"/>
            <w:vAlign w:val="center"/>
          </w:tcPr>
          <w:p w14:paraId="23D22564">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1246" w:type="dxa"/>
            <w:vAlign w:val="center"/>
          </w:tcPr>
          <w:p w14:paraId="1AD10E11">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854" w:type="dxa"/>
            <w:vAlign w:val="center"/>
          </w:tcPr>
          <w:p w14:paraId="62B2CEBF">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r>
      <w:tr w14:paraId="4825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91" w:type="dxa"/>
            <w:vAlign w:val="center"/>
          </w:tcPr>
          <w:p w14:paraId="5605B6A4">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5</w:t>
            </w:r>
          </w:p>
        </w:tc>
        <w:tc>
          <w:tcPr>
            <w:tcW w:w="1467" w:type="dxa"/>
            <w:vMerge w:val="continue"/>
            <w:vAlign w:val="center"/>
          </w:tcPr>
          <w:p w14:paraId="7B4E4CDB">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2906" w:type="dxa"/>
            <w:vAlign w:val="center"/>
          </w:tcPr>
          <w:p w14:paraId="613D9F43">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sz w:val="24"/>
                <w:szCs w:val="24"/>
                <w:highlight w:val="none"/>
                <w:lang w:val="en-US" w:eastAsia="zh-CN"/>
              </w:rPr>
              <w:t>（5）排放标准：国6</w:t>
            </w:r>
          </w:p>
        </w:tc>
        <w:tc>
          <w:tcPr>
            <w:tcW w:w="1771" w:type="dxa"/>
            <w:vAlign w:val="center"/>
          </w:tcPr>
          <w:p w14:paraId="32172499">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1246" w:type="dxa"/>
            <w:vAlign w:val="center"/>
          </w:tcPr>
          <w:p w14:paraId="0085E852">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854" w:type="dxa"/>
            <w:vAlign w:val="center"/>
          </w:tcPr>
          <w:p w14:paraId="4D043AB4">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r>
      <w:tr w14:paraId="376D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91" w:type="dxa"/>
            <w:vAlign w:val="center"/>
          </w:tcPr>
          <w:p w14:paraId="3700E46A">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6</w:t>
            </w:r>
          </w:p>
        </w:tc>
        <w:tc>
          <w:tcPr>
            <w:tcW w:w="1467" w:type="dxa"/>
            <w:vMerge w:val="continue"/>
            <w:vAlign w:val="center"/>
          </w:tcPr>
          <w:p w14:paraId="452824CF">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240" w:firstLineChars="10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2906" w:type="dxa"/>
            <w:vAlign w:val="center"/>
          </w:tcPr>
          <w:p w14:paraId="16A08241">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sz w:val="24"/>
                <w:szCs w:val="24"/>
                <w:highlight w:val="none"/>
                <w:lang w:val="en-US" w:eastAsia="zh-CN"/>
              </w:rPr>
              <w:t>（6）能源类型：柴油</w:t>
            </w:r>
          </w:p>
        </w:tc>
        <w:tc>
          <w:tcPr>
            <w:tcW w:w="1771" w:type="dxa"/>
            <w:vAlign w:val="center"/>
          </w:tcPr>
          <w:p w14:paraId="246F8294">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1246" w:type="dxa"/>
            <w:vAlign w:val="center"/>
          </w:tcPr>
          <w:p w14:paraId="4E334A08">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854" w:type="dxa"/>
            <w:vAlign w:val="center"/>
          </w:tcPr>
          <w:p w14:paraId="5500A037">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r>
      <w:tr w14:paraId="3BBE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91" w:type="dxa"/>
            <w:vAlign w:val="center"/>
          </w:tcPr>
          <w:p w14:paraId="6A8A62E8">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7</w:t>
            </w:r>
          </w:p>
        </w:tc>
        <w:tc>
          <w:tcPr>
            <w:tcW w:w="1467" w:type="dxa"/>
            <w:vMerge w:val="continue"/>
            <w:vAlign w:val="center"/>
          </w:tcPr>
          <w:p w14:paraId="7C344462">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2906" w:type="dxa"/>
            <w:vAlign w:val="center"/>
          </w:tcPr>
          <w:p w14:paraId="08CDC8EB">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sz w:val="24"/>
                <w:szCs w:val="24"/>
                <w:highlight w:val="none"/>
                <w:lang w:val="en-US" w:eastAsia="zh-CN"/>
              </w:rPr>
              <w:t>（7）外形尺寸（mm)：长度&lt;6000，宽度&lt;1900，高度&lt;2400</w:t>
            </w:r>
          </w:p>
        </w:tc>
        <w:tc>
          <w:tcPr>
            <w:tcW w:w="1771" w:type="dxa"/>
            <w:vAlign w:val="center"/>
          </w:tcPr>
          <w:p w14:paraId="1B74283B">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1246" w:type="dxa"/>
            <w:vAlign w:val="center"/>
          </w:tcPr>
          <w:p w14:paraId="48C82678">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854" w:type="dxa"/>
            <w:vAlign w:val="center"/>
          </w:tcPr>
          <w:p w14:paraId="001251D5">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r>
      <w:tr w14:paraId="4FF9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91" w:type="dxa"/>
            <w:vAlign w:val="center"/>
          </w:tcPr>
          <w:p w14:paraId="139A2D10">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8</w:t>
            </w:r>
          </w:p>
        </w:tc>
        <w:tc>
          <w:tcPr>
            <w:tcW w:w="1467" w:type="dxa"/>
            <w:vMerge w:val="continue"/>
            <w:vAlign w:val="center"/>
          </w:tcPr>
          <w:p w14:paraId="2E0453F9">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2906" w:type="dxa"/>
            <w:vAlign w:val="center"/>
          </w:tcPr>
          <w:p w14:paraId="1D025C93">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sz w:val="24"/>
                <w:szCs w:val="24"/>
                <w:highlight w:val="none"/>
                <w:lang w:val="en-US" w:eastAsia="zh-CN"/>
              </w:rPr>
              <w:t>（8）</w:t>
            </w:r>
            <w:r>
              <w:rPr>
                <w:rFonts w:hint="eastAsia" w:ascii="仿宋_GB2312" w:hAnsi="仿宋_GB2312" w:eastAsia="仿宋_GB2312" w:cs="仿宋_GB2312"/>
                <w:sz w:val="24"/>
                <w:szCs w:val="24"/>
                <w:lang w:val="en-US" w:eastAsia="zh-CN"/>
              </w:rPr>
              <w:t>安全系统（个）：安全气囊≥2</w:t>
            </w:r>
          </w:p>
        </w:tc>
        <w:tc>
          <w:tcPr>
            <w:tcW w:w="1771" w:type="dxa"/>
            <w:vAlign w:val="center"/>
          </w:tcPr>
          <w:p w14:paraId="348AC02F">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1246" w:type="dxa"/>
            <w:vAlign w:val="center"/>
          </w:tcPr>
          <w:p w14:paraId="71478D40">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c>
          <w:tcPr>
            <w:tcW w:w="854" w:type="dxa"/>
            <w:vAlign w:val="center"/>
          </w:tcPr>
          <w:p w14:paraId="07916350">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b w:val="0"/>
                <w:bCs w:val="0"/>
                <w:color w:val="auto"/>
                <w:kern w:val="2"/>
                <w:sz w:val="24"/>
                <w:szCs w:val="24"/>
                <w:highlight w:val="none"/>
                <w:lang w:val="en-US" w:eastAsia="zh-CN"/>
              </w:rPr>
            </w:pPr>
          </w:p>
        </w:tc>
      </w:tr>
    </w:tbl>
    <w:p w14:paraId="2C046915">
      <w:pPr>
        <w:pStyle w:val="13"/>
        <w:rPr>
          <w:rFonts w:hint="eastAsia" w:ascii="仿宋_GB2312" w:hAnsi="仿宋_GB2312" w:eastAsia="仿宋_GB2312" w:cs="仿宋_GB2312"/>
          <w:lang w:val="en-US" w:eastAsia="zh-CN"/>
        </w:rPr>
      </w:pPr>
    </w:p>
    <w:p w14:paraId="1513E17D">
      <w:pPr>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注：带▲符合的为重点技术参数。根据投标车辆的技术参数指标，投标人应后附</w:t>
      </w:r>
      <w:r>
        <w:rPr>
          <w:rFonts w:hint="eastAsia" w:ascii="仿宋_GB2312" w:hAnsi="仿宋_GB2312" w:eastAsia="仿宋_GB2312" w:cs="仿宋_GB2312"/>
          <w:b/>
          <w:bCs w:val="0"/>
          <w:sz w:val="24"/>
          <w:szCs w:val="24"/>
          <w:lang w:val="en-US" w:eastAsia="zh-CN"/>
        </w:rPr>
        <w:t>工信部公告参数报告或截图</w:t>
      </w:r>
      <w:r>
        <w:rPr>
          <w:rFonts w:hint="eastAsia" w:ascii="仿宋_GB2312" w:hAnsi="仿宋_GB2312" w:eastAsia="仿宋_GB2312" w:cs="仿宋_GB2312"/>
          <w:sz w:val="24"/>
          <w:szCs w:val="24"/>
          <w:lang w:val="en-US" w:eastAsia="zh-CN"/>
        </w:rPr>
        <w:t>，否则评委视为不满足。</w:t>
      </w:r>
      <w:r>
        <w:rPr>
          <w:rFonts w:hint="eastAsia" w:ascii="仿宋_GB2312" w:hAnsi="仿宋_GB2312" w:eastAsia="仿宋_GB2312" w:cs="仿宋_GB2312"/>
          <w:lang w:val="en-US" w:eastAsia="zh-CN"/>
        </w:rPr>
        <w:br w:type="page"/>
      </w:r>
    </w:p>
    <w:p w14:paraId="23BA1C16">
      <w:pPr>
        <w:autoSpaceDE/>
        <w:autoSpaceDN/>
        <w:adjustRightInd/>
        <w:snapToGrid/>
        <w:jc w:val="left"/>
        <w:rPr>
          <w:rFonts w:hint="eastAsia" w:ascii="仿宋_GB2312" w:hAnsi="仿宋_GB2312" w:eastAsia="仿宋_GB2312" w:cs="仿宋_GB2312"/>
          <w:b/>
          <w:bCs w:val="0"/>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附件1.5 《车辆到货期承诺函》和《车辆的生产供应保障方案》</w:t>
      </w:r>
    </w:p>
    <w:p w14:paraId="41FF875F">
      <w:pPr>
        <w:rPr>
          <w:rFonts w:hint="eastAsia" w:ascii="仿宋_GB2312" w:hAnsi="仿宋_GB2312" w:eastAsia="仿宋_GB2312" w:cs="仿宋_GB2312"/>
        </w:rPr>
      </w:pPr>
    </w:p>
    <w:p w14:paraId="3FF9B7C5">
      <w:pPr>
        <w:pStyle w:val="8"/>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0" w:firstLineChars="0"/>
        <w:jc w:val="center"/>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《车辆到货期承诺函》</w:t>
      </w:r>
    </w:p>
    <w:p w14:paraId="295150A0">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（格式仅供参考）</w:t>
      </w:r>
    </w:p>
    <w:p w14:paraId="1C9E4140">
      <w:pPr>
        <w:keepNext w:val="0"/>
        <w:keepLines w:val="0"/>
        <w:pageBreakBefore w:val="0"/>
        <w:widowControl w:val="0"/>
        <w:kinsoku/>
        <w:wordWrap/>
        <w:overflowPunct/>
        <w:topLinePunct w:val="0"/>
        <w:autoSpaceDE w:val="0"/>
        <w:autoSpaceDN w:val="0"/>
        <w:bidi w:val="0"/>
        <w:adjustRightInd w:val="0"/>
        <w:spacing w:line="360" w:lineRule="auto"/>
        <w:ind w:firstLine="0" w:firstLineChars="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致：</w:t>
      </w:r>
      <w:r>
        <w:rPr>
          <w:rFonts w:hint="eastAsia" w:ascii="仿宋_GB2312" w:hAnsi="仿宋_GB2312" w:eastAsia="仿宋_GB2312" w:cs="仿宋_GB2312"/>
          <w:szCs w:val="21"/>
          <w:highlight w:val="none"/>
          <w:u w:val="single"/>
          <w:lang w:eastAsia="zh-CN"/>
        </w:rPr>
        <w:t>深圳市龙华环境有限公司</w:t>
      </w:r>
      <w:r>
        <w:rPr>
          <w:rFonts w:hint="eastAsia" w:ascii="仿宋_GB2312" w:hAnsi="仿宋_GB2312" w:eastAsia="仿宋_GB2312" w:cs="仿宋_GB2312"/>
          <w:szCs w:val="21"/>
          <w:highlight w:val="none"/>
        </w:rPr>
        <w:t>（以下简称“贵司”）</w:t>
      </w:r>
    </w:p>
    <w:p w14:paraId="048E0828">
      <w:pPr>
        <w:keepNext w:val="0"/>
        <w:keepLines w:val="0"/>
        <w:pageBreakBefore w:val="0"/>
        <w:widowControl w:val="0"/>
        <w:kinsoku/>
        <w:wordWrap/>
        <w:overflowPunct/>
        <w:topLinePunct w:val="0"/>
        <w:autoSpaceDE w:val="0"/>
        <w:autoSpaceDN w:val="0"/>
        <w:bidi w:val="0"/>
        <w:adjustRightInd w:val="0"/>
        <w:snapToGrid/>
        <w:spacing w:line="360" w:lineRule="auto"/>
        <w:ind w:left="420" w:leftChars="200" w:firstLine="420" w:firstLineChars="200"/>
        <w:textAlignment w:val="auto"/>
        <w:rPr>
          <w:rFonts w:hint="eastAsia" w:ascii="仿宋_GB2312" w:hAnsi="仿宋_GB2312" w:eastAsia="仿宋_GB2312" w:cs="仿宋_GB2312"/>
          <w:bCs/>
          <w:szCs w:val="21"/>
          <w:highlight w:val="none"/>
          <w:lang w:val="en-US" w:eastAsia="zh-CN"/>
        </w:rPr>
      </w:pPr>
      <w:r>
        <w:rPr>
          <w:rFonts w:hint="eastAsia" w:ascii="仿宋_GB2312" w:hAnsi="仿宋_GB2312" w:eastAsia="仿宋_GB2312" w:cs="仿宋_GB2312"/>
          <w:szCs w:val="21"/>
          <w:highlight w:val="none"/>
        </w:rPr>
        <w:t>我司承诺</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u w:val="single"/>
        </w:rPr>
        <w:t>深圳市龙华环境有限公司</w:t>
      </w:r>
      <w:r>
        <w:rPr>
          <w:rFonts w:hint="eastAsia" w:ascii="仿宋_GB2312" w:hAnsi="仿宋_GB2312" w:eastAsia="仿宋_GB2312" w:cs="仿宋_GB2312"/>
          <w:u w:val="single"/>
          <w:lang w:eastAsia="zh-CN"/>
        </w:rPr>
        <w:t>辅助作业车（柴油皮卡）</w:t>
      </w:r>
      <w:r>
        <w:rPr>
          <w:rFonts w:hint="eastAsia" w:ascii="仿宋_GB2312" w:hAnsi="仿宋_GB2312" w:eastAsia="仿宋_GB2312" w:cs="仿宋_GB2312"/>
          <w:szCs w:val="21"/>
          <w:highlight w:val="none"/>
          <w:u w:val="single"/>
        </w:rPr>
        <w:t>采购</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u w:val="none"/>
          <w:lang w:val="en-US" w:eastAsia="zh-CN"/>
        </w:rPr>
        <w:t>项目</w:t>
      </w:r>
      <w:r>
        <w:rPr>
          <w:rFonts w:hint="eastAsia" w:ascii="仿宋_GB2312" w:hAnsi="仿宋_GB2312" w:eastAsia="仿宋_GB2312" w:cs="仿宋_GB2312"/>
          <w:bCs/>
          <w:szCs w:val="21"/>
          <w:highlight w:val="none"/>
          <w:lang w:eastAsia="zh-CN"/>
        </w:rPr>
        <w:t>，</w:t>
      </w:r>
      <w:r>
        <w:rPr>
          <w:rFonts w:hint="eastAsia" w:ascii="仿宋_GB2312" w:hAnsi="仿宋_GB2312" w:eastAsia="仿宋_GB2312" w:cs="仿宋_GB2312"/>
          <w:bCs/>
          <w:szCs w:val="21"/>
          <w:highlight w:val="none"/>
          <w:lang w:val="en-US" w:eastAsia="zh-CN"/>
        </w:rPr>
        <w:t>若我司中标，在合同签订</w:t>
      </w:r>
      <w:r>
        <w:rPr>
          <w:rFonts w:hint="eastAsia" w:ascii="仿宋_GB2312" w:hAnsi="仿宋_GB2312" w:eastAsia="仿宋_GB2312" w:cs="仿宋_GB2312"/>
          <w:szCs w:val="21"/>
          <w:highlight w:val="none"/>
          <w:u w:val="none"/>
          <w:lang w:val="en-US" w:eastAsia="zh-CN"/>
        </w:rPr>
        <w:t>后</w:t>
      </w:r>
      <w:r>
        <w:rPr>
          <w:rFonts w:hint="eastAsia" w:ascii="仿宋_GB2312" w:hAnsi="仿宋_GB2312" w:eastAsia="仿宋_GB2312" w:cs="仿宋_GB2312"/>
          <w:szCs w:val="21"/>
          <w:highlight w:val="none"/>
          <w:u w:val="single"/>
          <w:lang w:val="en-US" w:eastAsia="zh-CN"/>
        </w:rPr>
        <w:t xml:space="preserve">     天</w:t>
      </w:r>
      <w:r>
        <w:rPr>
          <w:rFonts w:hint="eastAsia" w:ascii="仿宋_GB2312" w:hAnsi="仿宋_GB2312" w:eastAsia="仿宋_GB2312" w:cs="仿宋_GB2312"/>
          <w:bCs/>
          <w:szCs w:val="21"/>
          <w:highlight w:val="none"/>
          <w:u w:val="none"/>
          <w:lang w:val="en-US" w:eastAsia="zh-CN"/>
        </w:rPr>
        <w:t>（日历日）内完成所有车辆交货。若未能履行本承诺，我司愿承担合同约定的违约责任。</w:t>
      </w:r>
    </w:p>
    <w:p w14:paraId="498C7CB8">
      <w:pPr>
        <w:keepNext w:val="0"/>
        <w:keepLines w:val="0"/>
        <w:pageBreakBefore w:val="0"/>
        <w:widowControl w:val="0"/>
        <w:kinsoku/>
        <w:wordWrap/>
        <w:overflowPunct/>
        <w:topLinePunct w:val="0"/>
        <w:autoSpaceDE w:val="0"/>
        <w:autoSpaceDN w:val="0"/>
        <w:bidi w:val="0"/>
        <w:adjustRightInd w:val="0"/>
        <w:snapToGrid w:val="0"/>
        <w:spacing w:line="360" w:lineRule="auto"/>
        <w:ind w:firstLine="42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特此证明。</w:t>
      </w:r>
    </w:p>
    <w:p w14:paraId="534145F7">
      <w:pPr>
        <w:keepNext w:val="0"/>
        <w:keepLines w:val="0"/>
        <w:pageBreakBefore w:val="0"/>
        <w:widowControl w:val="0"/>
        <w:kinsoku/>
        <w:wordWrap/>
        <w:overflowPunct/>
        <w:topLinePunct w:val="0"/>
        <w:autoSpaceDE w:val="0"/>
        <w:autoSpaceDN w:val="0"/>
        <w:bidi w:val="0"/>
        <w:adjustRightInd w:val="0"/>
        <w:spacing w:line="360" w:lineRule="auto"/>
        <w:ind w:firstLine="424" w:firstLineChars="202"/>
        <w:rPr>
          <w:rFonts w:hint="eastAsia" w:ascii="仿宋_GB2312" w:hAnsi="仿宋_GB2312" w:eastAsia="仿宋_GB2312" w:cs="仿宋_GB2312"/>
          <w:bCs/>
          <w:szCs w:val="21"/>
          <w:highlight w:val="none"/>
          <w:lang w:val="en-US" w:eastAsia="zh-CN"/>
        </w:rPr>
      </w:pPr>
    </w:p>
    <w:p w14:paraId="6CFC8AE9">
      <w:pPr>
        <w:keepNext w:val="0"/>
        <w:keepLines w:val="0"/>
        <w:pageBreakBefore w:val="0"/>
        <w:widowControl w:val="0"/>
        <w:kinsoku/>
        <w:wordWrap/>
        <w:overflowPunct/>
        <w:topLinePunct w:val="0"/>
        <w:autoSpaceDE w:val="0"/>
        <w:autoSpaceDN w:val="0"/>
        <w:bidi w:val="0"/>
        <w:adjustRightInd w:val="0"/>
        <w:snapToGrid w:val="0"/>
        <w:spacing w:line="360" w:lineRule="auto"/>
        <w:jc w:val="left"/>
        <w:rPr>
          <w:rFonts w:hint="eastAsia" w:ascii="仿宋_GB2312" w:hAnsi="仿宋_GB2312" w:eastAsia="仿宋_GB2312" w:cs="仿宋_GB2312"/>
          <w:szCs w:val="21"/>
          <w:highlight w:val="none"/>
        </w:rPr>
      </w:pPr>
    </w:p>
    <w:p w14:paraId="6ABC5AB7">
      <w:pPr>
        <w:pStyle w:val="47"/>
        <w:keepNext w:val="0"/>
        <w:keepLines w:val="0"/>
        <w:pageBreakBefore w:val="0"/>
        <w:widowControl w:val="0"/>
        <w:kinsoku/>
        <w:wordWrap/>
        <w:overflowPunct/>
        <w:topLinePunct w:val="0"/>
        <w:autoSpaceDE w:val="0"/>
        <w:autoSpaceDN w:val="0"/>
        <w:bidi w:val="0"/>
        <w:adjustRightInd w:val="0"/>
        <w:spacing w:line="360" w:lineRule="auto"/>
        <w:rPr>
          <w:rFonts w:hint="eastAsia" w:ascii="仿宋_GB2312" w:hAnsi="仿宋_GB2312" w:eastAsia="仿宋_GB2312" w:cs="仿宋_GB2312"/>
        </w:rPr>
      </w:pPr>
    </w:p>
    <w:p w14:paraId="25D073F0">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投标人（盖章）：                                </w:t>
      </w:r>
    </w:p>
    <w:p w14:paraId="01A4123D">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法定代表人或其授权代理人（签字或盖章）：        </w:t>
      </w:r>
    </w:p>
    <w:p w14:paraId="1A21691C">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rPr>
          <w:rFonts w:hint="eastAsia" w:ascii="仿宋_GB2312" w:hAnsi="仿宋_GB2312" w:eastAsia="仿宋_GB2312" w:cs="仿宋_GB2312"/>
          <w:highlight w:val="none"/>
        </w:rPr>
      </w:pPr>
      <w:r>
        <w:rPr>
          <w:rFonts w:hint="eastAsia" w:ascii="仿宋_GB2312" w:hAnsi="仿宋_GB2312" w:eastAsia="仿宋_GB2312" w:cs="仿宋_GB2312"/>
          <w:szCs w:val="21"/>
          <w:highlight w:val="none"/>
        </w:rPr>
        <w:t>日期：        年        月        日</w:t>
      </w:r>
    </w:p>
    <w:p w14:paraId="0612C209">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br w:type="page"/>
      </w:r>
    </w:p>
    <w:p w14:paraId="0A377B0B">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《车辆的生产供应保障方案》</w:t>
      </w:r>
    </w:p>
    <w:p w14:paraId="6F6294F2">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（格式由投标人自拟）</w:t>
      </w:r>
    </w:p>
    <w:p w14:paraId="279B1E2F">
      <w:pPr>
        <w:pStyle w:val="8"/>
        <w:ind w:firstLine="0" w:firstLineChars="0"/>
        <w:rPr>
          <w:rFonts w:hint="eastAsia" w:ascii="仿宋_GB2312" w:hAnsi="仿宋_GB2312" w:eastAsia="仿宋_GB2312" w:cs="仿宋_GB2312"/>
          <w:szCs w:val="21"/>
          <w:highlight w:val="none"/>
        </w:rPr>
      </w:pPr>
    </w:p>
    <w:p w14:paraId="6A82D8E4">
      <w:pPr>
        <w:pStyle w:val="8"/>
        <w:ind w:firstLine="0" w:firstLineChars="0"/>
        <w:rPr>
          <w:rFonts w:hint="eastAsia" w:ascii="仿宋_GB2312" w:hAnsi="仿宋_GB2312" w:eastAsia="仿宋_GB2312" w:cs="仿宋_GB2312"/>
          <w:sz w:val="24"/>
          <w:szCs w:val="24"/>
          <w:highlight w:val="none"/>
        </w:rPr>
      </w:pPr>
    </w:p>
    <w:p w14:paraId="0F741EEA">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lang w:val="en-US" w:eastAsia="zh-CN"/>
        </w:rPr>
        <w:t>备注：</w:t>
      </w:r>
      <w:r>
        <w:rPr>
          <w:rFonts w:hint="eastAsia" w:ascii="仿宋_GB2312" w:hAnsi="仿宋_GB2312" w:eastAsia="仿宋_GB2312" w:cs="仿宋_GB2312"/>
          <w:sz w:val="24"/>
          <w:szCs w:val="24"/>
        </w:rPr>
        <w:t>投标人提供的《车辆的生产供应保障方案》</w:t>
      </w:r>
      <w:r>
        <w:rPr>
          <w:rFonts w:hint="eastAsia" w:ascii="仿宋_GB2312" w:hAnsi="仿宋_GB2312" w:eastAsia="仿宋_GB2312" w:cs="仿宋_GB2312"/>
          <w:sz w:val="24"/>
          <w:szCs w:val="24"/>
          <w:lang w:val="en-US" w:eastAsia="zh-CN"/>
        </w:rPr>
        <w:t>应至少包含</w:t>
      </w:r>
      <w:r>
        <w:rPr>
          <w:rFonts w:hint="eastAsia" w:ascii="仿宋_GB2312" w:hAnsi="仿宋_GB2312" w:eastAsia="仿宋_GB2312" w:cs="仿宋_GB2312"/>
          <w:sz w:val="24"/>
          <w:szCs w:val="24"/>
        </w:rPr>
        <w:t>生产供应保障、进度控制、质量保证等方面</w:t>
      </w:r>
      <w:r>
        <w:rPr>
          <w:rFonts w:hint="eastAsia" w:ascii="仿宋_GB2312" w:hAnsi="仿宋_GB2312" w:eastAsia="仿宋_GB2312" w:cs="仿宋_GB2312"/>
          <w:sz w:val="24"/>
          <w:szCs w:val="24"/>
          <w:lang w:val="en-US" w:eastAsia="zh-CN"/>
        </w:rPr>
        <w:t>措施。</w:t>
      </w:r>
      <w:r>
        <w:rPr>
          <w:rFonts w:hint="eastAsia" w:ascii="仿宋_GB2312" w:hAnsi="仿宋_GB2312" w:eastAsia="仿宋_GB2312" w:cs="仿宋_GB2312"/>
          <w:b/>
          <w:sz w:val="24"/>
          <w:szCs w:val="24"/>
          <w:highlight w:val="none"/>
        </w:rPr>
        <w:br w:type="page"/>
      </w:r>
    </w:p>
    <w:p w14:paraId="55BB5261">
      <w:pPr>
        <w:autoSpaceDE/>
        <w:autoSpaceDN/>
        <w:adjustRightInd/>
        <w:snapToGrid/>
        <w:jc w:val="left"/>
        <w:rPr>
          <w:rFonts w:hint="eastAsia" w:ascii="仿宋_GB2312" w:hAnsi="仿宋_GB2312" w:eastAsia="仿宋_GB2312" w:cs="仿宋_GB2312"/>
          <w:b/>
          <w:bCs w:val="0"/>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附件1.6 售后服务方案</w:t>
      </w:r>
    </w:p>
    <w:p w14:paraId="3351D367">
      <w:pPr>
        <w:keepNext w:val="0"/>
        <w:keepLines w:val="0"/>
        <w:pageBreakBefore w:val="0"/>
        <w:widowControl w:val="0"/>
        <w:kinsoku/>
        <w:wordWrap/>
        <w:overflowPunct/>
        <w:topLinePunct w:val="0"/>
        <w:autoSpaceDE w:val="0"/>
        <w:autoSpaceDN w:val="0"/>
        <w:bidi w:val="0"/>
        <w:adjustRightInd w:val="0"/>
        <w:spacing w:line="360" w:lineRule="auto"/>
        <w:ind w:firstLine="0" w:firstLineChars="0"/>
        <w:rPr>
          <w:rFonts w:hint="eastAsia" w:ascii="仿宋_GB2312" w:hAnsi="仿宋_GB2312" w:eastAsia="仿宋_GB2312" w:cs="仿宋_GB2312"/>
          <w:szCs w:val="21"/>
          <w:highlight w:val="none"/>
          <w:lang w:val="en-US" w:eastAsia="zh-CN"/>
        </w:rPr>
      </w:pPr>
    </w:p>
    <w:p w14:paraId="3F31395F">
      <w:pPr>
        <w:keepNext w:val="0"/>
        <w:keepLines w:val="0"/>
        <w:pageBreakBefore w:val="0"/>
        <w:widowControl w:val="0"/>
        <w:kinsoku/>
        <w:wordWrap/>
        <w:overflowPunct/>
        <w:topLinePunct w:val="0"/>
        <w:autoSpaceDE w:val="0"/>
        <w:autoSpaceDN w:val="0"/>
        <w:bidi w:val="0"/>
        <w:adjustRightInd w:val="0"/>
        <w:spacing w:line="360" w:lineRule="auto"/>
        <w:ind w:firstLine="0" w:firstLineChars="0"/>
        <w:jc w:val="center"/>
        <w:rPr>
          <w:rFonts w:hint="eastAsia" w:ascii="仿宋_GB2312" w:hAnsi="仿宋_GB2312" w:eastAsia="仿宋_GB2312" w:cs="仿宋_GB2312"/>
          <w:b/>
          <w:bCs w:val="0"/>
          <w:sz w:val="32"/>
          <w:szCs w:val="24"/>
          <w:highlight w:val="none"/>
          <w:lang w:val="en-US" w:eastAsia="zh-CN"/>
        </w:rPr>
      </w:pPr>
      <w:r>
        <w:rPr>
          <w:rFonts w:hint="eastAsia" w:ascii="仿宋_GB2312" w:hAnsi="仿宋_GB2312" w:eastAsia="仿宋_GB2312" w:cs="仿宋_GB2312"/>
          <w:b/>
          <w:bCs w:val="0"/>
          <w:sz w:val="32"/>
          <w:szCs w:val="24"/>
          <w:highlight w:val="none"/>
          <w:lang w:val="en-US" w:eastAsia="zh-CN"/>
        </w:rPr>
        <w:t>质保承诺函</w:t>
      </w:r>
    </w:p>
    <w:p w14:paraId="30B853D9">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（格式仅供参考）</w:t>
      </w:r>
    </w:p>
    <w:p w14:paraId="4C584D06">
      <w:pPr>
        <w:keepNext w:val="0"/>
        <w:keepLines w:val="0"/>
        <w:pageBreakBefore w:val="0"/>
        <w:widowControl w:val="0"/>
        <w:kinsoku/>
        <w:wordWrap/>
        <w:overflowPunct/>
        <w:topLinePunct w:val="0"/>
        <w:autoSpaceDE w:val="0"/>
        <w:autoSpaceDN w:val="0"/>
        <w:bidi w:val="0"/>
        <w:adjustRightInd w:val="0"/>
        <w:spacing w:line="360" w:lineRule="auto"/>
        <w:ind w:firstLine="0" w:firstLineChars="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致：</w:t>
      </w:r>
      <w:r>
        <w:rPr>
          <w:rFonts w:hint="eastAsia" w:ascii="仿宋_GB2312" w:hAnsi="仿宋_GB2312" w:eastAsia="仿宋_GB2312" w:cs="仿宋_GB2312"/>
          <w:szCs w:val="21"/>
          <w:highlight w:val="none"/>
          <w:lang w:eastAsia="zh-CN"/>
        </w:rPr>
        <w:t>深圳市龙华环境有限公司</w:t>
      </w:r>
      <w:r>
        <w:rPr>
          <w:rFonts w:hint="eastAsia" w:ascii="仿宋_GB2312" w:hAnsi="仿宋_GB2312" w:eastAsia="仿宋_GB2312" w:cs="仿宋_GB2312"/>
          <w:szCs w:val="21"/>
          <w:highlight w:val="none"/>
        </w:rPr>
        <w:t>（以下简称“贵司”）</w:t>
      </w:r>
    </w:p>
    <w:p w14:paraId="43BE3568">
      <w:pPr>
        <w:keepNext w:val="0"/>
        <w:keepLines w:val="0"/>
        <w:pageBreakBefore w:val="0"/>
        <w:widowControl w:val="0"/>
        <w:kinsoku/>
        <w:wordWrap/>
        <w:overflowPunct/>
        <w:topLinePunct w:val="0"/>
        <w:autoSpaceDE w:val="0"/>
        <w:autoSpaceDN w:val="0"/>
        <w:bidi w:val="0"/>
        <w:adjustRightInd w:val="0"/>
        <w:spacing w:line="360" w:lineRule="auto"/>
        <w:ind w:firstLine="424" w:firstLineChars="202"/>
        <w:rPr>
          <w:rFonts w:hint="eastAsia" w:ascii="仿宋_GB2312" w:hAnsi="仿宋_GB2312" w:eastAsia="仿宋_GB2312" w:cs="仿宋_GB2312"/>
        </w:rPr>
      </w:pPr>
      <w:r>
        <w:rPr>
          <w:rFonts w:hint="eastAsia" w:ascii="仿宋_GB2312" w:hAnsi="仿宋_GB2312" w:eastAsia="仿宋_GB2312" w:cs="仿宋_GB2312"/>
          <w:szCs w:val="21"/>
          <w:highlight w:val="none"/>
        </w:rPr>
        <w:t>我司承诺为</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u w:val="single"/>
        </w:rPr>
        <w:t>深圳市龙华环境有限公司</w:t>
      </w:r>
      <w:r>
        <w:rPr>
          <w:rFonts w:hint="eastAsia" w:ascii="仿宋_GB2312" w:hAnsi="仿宋_GB2312" w:eastAsia="仿宋_GB2312" w:cs="仿宋_GB2312"/>
          <w:u w:val="single"/>
          <w:lang w:eastAsia="zh-CN"/>
        </w:rPr>
        <w:t>辅助作业车（柴油皮卡）</w:t>
      </w:r>
      <w:r>
        <w:rPr>
          <w:rFonts w:hint="eastAsia" w:ascii="仿宋_GB2312" w:hAnsi="仿宋_GB2312" w:eastAsia="仿宋_GB2312" w:cs="仿宋_GB2312"/>
          <w:szCs w:val="21"/>
          <w:highlight w:val="none"/>
          <w:u w:val="single"/>
        </w:rPr>
        <w:t>采购</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bCs/>
          <w:szCs w:val="21"/>
          <w:highlight w:val="none"/>
          <w:lang w:eastAsia="zh-CN"/>
        </w:rPr>
        <w:t>，</w:t>
      </w:r>
      <w:r>
        <w:rPr>
          <w:rFonts w:hint="eastAsia" w:ascii="仿宋_GB2312" w:hAnsi="仿宋_GB2312" w:eastAsia="仿宋_GB2312" w:cs="仿宋_GB2312"/>
          <w:bCs/>
          <w:szCs w:val="21"/>
          <w:highlight w:val="none"/>
          <w:lang w:val="en-US" w:eastAsia="zh-CN"/>
        </w:rPr>
        <w:t>车辆整车提供质保为</w:t>
      </w:r>
      <w:r>
        <w:rPr>
          <w:rFonts w:hint="eastAsia" w:ascii="仿宋_GB2312" w:hAnsi="仿宋_GB2312" w:eastAsia="仿宋_GB2312" w:cs="仿宋_GB2312"/>
          <w:bCs/>
          <w:szCs w:val="21"/>
          <w:highlight w:val="none"/>
          <w:u w:val="single"/>
          <w:lang w:val="en-US" w:eastAsia="zh-CN"/>
        </w:rPr>
        <w:t xml:space="preserve">    </w:t>
      </w:r>
      <w:r>
        <w:rPr>
          <w:rFonts w:hint="eastAsia" w:ascii="仿宋_GB2312" w:hAnsi="仿宋_GB2312" w:eastAsia="仿宋_GB2312" w:cs="仿宋_GB2312"/>
          <w:bCs/>
          <w:szCs w:val="21"/>
          <w:highlight w:val="none"/>
          <w:lang w:val="en-US" w:eastAsia="zh-CN"/>
        </w:rPr>
        <w:t>年（至少1年）</w:t>
      </w:r>
      <w:r>
        <w:rPr>
          <w:rFonts w:hint="eastAsia" w:ascii="仿宋_GB2312" w:hAnsi="仿宋_GB2312" w:eastAsia="仿宋_GB2312" w:cs="仿宋_GB2312"/>
          <w:szCs w:val="21"/>
          <w:highlight w:val="none"/>
        </w:rPr>
        <w:t>。</w:t>
      </w:r>
    </w:p>
    <w:p w14:paraId="1CF9EA33">
      <w:pPr>
        <w:keepNext w:val="0"/>
        <w:keepLines w:val="0"/>
        <w:pageBreakBefore w:val="0"/>
        <w:widowControl w:val="0"/>
        <w:kinsoku/>
        <w:wordWrap/>
        <w:overflowPunct/>
        <w:topLinePunct w:val="0"/>
        <w:autoSpaceDE w:val="0"/>
        <w:autoSpaceDN w:val="0"/>
        <w:bidi w:val="0"/>
        <w:adjustRightInd w:val="0"/>
        <w:snapToGrid w:val="0"/>
        <w:spacing w:line="360" w:lineRule="auto"/>
        <w:ind w:firstLine="42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特此</w:t>
      </w:r>
      <w:r>
        <w:rPr>
          <w:rFonts w:hint="eastAsia" w:ascii="仿宋_GB2312" w:hAnsi="仿宋_GB2312" w:eastAsia="仿宋_GB2312" w:cs="仿宋_GB2312"/>
          <w:szCs w:val="21"/>
          <w:highlight w:val="none"/>
          <w:lang w:val="en-US" w:eastAsia="zh-CN"/>
        </w:rPr>
        <w:t>承诺</w:t>
      </w:r>
      <w:r>
        <w:rPr>
          <w:rFonts w:hint="eastAsia" w:ascii="仿宋_GB2312" w:hAnsi="仿宋_GB2312" w:eastAsia="仿宋_GB2312" w:cs="仿宋_GB2312"/>
          <w:szCs w:val="21"/>
          <w:highlight w:val="none"/>
        </w:rPr>
        <w:t>。</w:t>
      </w:r>
    </w:p>
    <w:p w14:paraId="064BD408">
      <w:pPr>
        <w:keepNext w:val="0"/>
        <w:keepLines w:val="0"/>
        <w:pageBreakBefore w:val="0"/>
        <w:widowControl w:val="0"/>
        <w:kinsoku/>
        <w:wordWrap/>
        <w:overflowPunct/>
        <w:topLinePunct w:val="0"/>
        <w:autoSpaceDE w:val="0"/>
        <w:autoSpaceDN w:val="0"/>
        <w:bidi w:val="0"/>
        <w:adjustRightInd w:val="0"/>
        <w:snapToGrid w:val="0"/>
        <w:spacing w:line="360" w:lineRule="auto"/>
        <w:ind w:firstLine="420"/>
        <w:jc w:val="left"/>
        <w:rPr>
          <w:rFonts w:hint="eastAsia" w:ascii="仿宋_GB2312" w:hAnsi="仿宋_GB2312" w:eastAsia="仿宋_GB2312" w:cs="仿宋_GB2312"/>
          <w:szCs w:val="21"/>
          <w:highlight w:val="none"/>
        </w:rPr>
      </w:pPr>
    </w:p>
    <w:p w14:paraId="6EAF39AD">
      <w:pPr>
        <w:pStyle w:val="13"/>
        <w:rPr>
          <w:rFonts w:hint="eastAsia" w:ascii="仿宋_GB2312" w:hAnsi="仿宋_GB2312" w:eastAsia="仿宋_GB2312" w:cs="仿宋_GB2312"/>
        </w:rPr>
      </w:pPr>
    </w:p>
    <w:p w14:paraId="109ACF00">
      <w:pPr>
        <w:pStyle w:val="47"/>
        <w:keepNext w:val="0"/>
        <w:keepLines w:val="0"/>
        <w:pageBreakBefore w:val="0"/>
        <w:widowControl w:val="0"/>
        <w:kinsoku/>
        <w:wordWrap/>
        <w:overflowPunct/>
        <w:topLinePunct w:val="0"/>
        <w:autoSpaceDE w:val="0"/>
        <w:autoSpaceDN w:val="0"/>
        <w:bidi w:val="0"/>
        <w:adjustRightInd w:val="0"/>
        <w:spacing w:line="360" w:lineRule="auto"/>
        <w:rPr>
          <w:rFonts w:hint="eastAsia" w:ascii="仿宋_GB2312" w:hAnsi="仿宋_GB2312" w:eastAsia="仿宋_GB2312" w:cs="仿宋_GB2312"/>
        </w:rPr>
      </w:pPr>
    </w:p>
    <w:p w14:paraId="4E3A5491">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投标人（盖章）：                                </w:t>
      </w:r>
    </w:p>
    <w:p w14:paraId="15BA03FD">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法定代表人或其授权代理人（签字或盖章）：        </w:t>
      </w:r>
    </w:p>
    <w:p w14:paraId="376BB2BA">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rPr>
          <w:rFonts w:hint="eastAsia" w:ascii="仿宋_GB2312" w:hAnsi="仿宋_GB2312" w:eastAsia="仿宋_GB2312" w:cs="仿宋_GB2312"/>
          <w:highlight w:val="none"/>
        </w:rPr>
      </w:pPr>
      <w:r>
        <w:rPr>
          <w:rFonts w:hint="eastAsia" w:ascii="仿宋_GB2312" w:hAnsi="仿宋_GB2312" w:eastAsia="仿宋_GB2312" w:cs="仿宋_GB2312"/>
          <w:szCs w:val="21"/>
          <w:highlight w:val="none"/>
        </w:rPr>
        <w:t>日期：        年        月        日</w:t>
      </w:r>
    </w:p>
    <w:p w14:paraId="39CA414B">
      <w:pPr>
        <w:pStyle w:val="13"/>
        <w:rPr>
          <w:rFonts w:hint="eastAsia" w:ascii="仿宋_GB2312" w:hAnsi="仿宋_GB2312" w:eastAsia="仿宋_GB2312" w:cs="仿宋_GB2312"/>
          <w:lang w:val="en-US" w:eastAsia="zh-CN"/>
        </w:rPr>
      </w:pPr>
    </w:p>
    <w:p w14:paraId="13094725">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br w:type="page"/>
      </w:r>
    </w:p>
    <w:p w14:paraId="7A400381">
      <w:pPr>
        <w:pStyle w:val="16"/>
        <w:ind w:left="0" w:leftChars="0" w:firstLine="0" w:firstLineChars="0"/>
        <w:jc w:val="center"/>
        <w:rPr>
          <w:rFonts w:hint="eastAsia" w:ascii="仿宋_GB2312" w:hAnsi="仿宋_GB2312" w:eastAsia="仿宋_GB2312" w:cs="仿宋_GB2312"/>
          <w:lang w:val="en-US" w:eastAsia="zh-CN"/>
        </w:rPr>
      </w:pPr>
      <w:r>
        <w:rPr>
          <w:rFonts w:hint="eastAsia" w:ascii="仿宋_GB2312" w:hAnsi="仿宋_GB2312" w:eastAsia="仿宋_GB2312" w:cs="仿宋_GB2312"/>
          <w:b/>
          <w:bCs w:val="0"/>
          <w:sz w:val="32"/>
          <w:szCs w:val="24"/>
          <w:highlight w:val="none"/>
          <w:lang w:val="en-US" w:eastAsia="zh-CN"/>
        </w:rPr>
        <w:t>《售后服务方案》</w:t>
      </w:r>
    </w:p>
    <w:p w14:paraId="03B6296A">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（格式由投标人自拟）</w:t>
      </w:r>
    </w:p>
    <w:p w14:paraId="107A01A1">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rPr>
          <w:rFonts w:hint="eastAsia" w:ascii="仿宋_GB2312" w:hAnsi="仿宋_GB2312" w:eastAsia="仿宋_GB2312" w:cs="仿宋_GB2312"/>
          <w:sz w:val="24"/>
          <w:szCs w:val="24"/>
          <w:lang w:val="en-US" w:eastAsia="zh-CN"/>
        </w:rPr>
      </w:pPr>
    </w:p>
    <w:p w14:paraId="7267F5B7">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rPr>
          <w:rFonts w:hint="eastAsia" w:ascii="仿宋_GB2312" w:hAnsi="仿宋_GB2312" w:eastAsia="仿宋_GB2312" w:cs="仿宋_GB2312"/>
        </w:rPr>
      </w:pPr>
      <w:r>
        <w:rPr>
          <w:rFonts w:hint="eastAsia" w:ascii="仿宋_GB2312" w:hAnsi="仿宋_GB2312" w:eastAsia="仿宋_GB2312" w:cs="仿宋_GB2312"/>
          <w:sz w:val="24"/>
          <w:szCs w:val="24"/>
          <w:lang w:val="en-US" w:eastAsia="zh-CN"/>
        </w:rPr>
        <w:t>备注：</w:t>
      </w:r>
      <w:r>
        <w:rPr>
          <w:rFonts w:hint="eastAsia" w:ascii="仿宋_GB2312" w:hAnsi="仿宋_GB2312" w:eastAsia="仿宋_GB2312" w:cs="仿宋_GB2312"/>
          <w:sz w:val="24"/>
          <w:szCs w:val="24"/>
        </w:rPr>
        <w:t>投标人提供的《售后服务</w:t>
      </w:r>
      <w:r>
        <w:rPr>
          <w:rFonts w:hint="eastAsia" w:ascii="仿宋_GB2312" w:hAnsi="仿宋_GB2312" w:eastAsia="仿宋_GB2312" w:cs="仿宋_GB2312"/>
          <w:sz w:val="24"/>
          <w:szCs w:val="24"/>
          <w:lang w:val="en-US" w:eastAsia="zh-CN"/>
        </w:rPr>
        <w:t>方案</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应至少包含售后服务方案、售后服务网点分布、故障响应方案、备品备件库配备情况，针对本项目的培训计划、培训方式、技术支持方案等。</w:t>
      </w:r>
    </w:p>
    <w:p w14:paraId="6B0D9619">
      <w:pPr>
        <w:rPr>
          <w:rFonts w:hint="default" w:ascii="仿宋_GB2312" w:hAnsi="仿宋_GB2312" w:eastAsia="仿宋_GB2312" w:cs="仿宋_GB2312"/>
          <w:lang w:val="en-US" w:eastAsia="zh-CN"/>
        </w:rPr>
      </w:pPr>
      <w:bookmarkStart w:id="1" w:name="_GoBack"/>
      <w:bookmarkEnd w:id="1"/>
    </w:p>
    <w:sectPr>
      <w:headerReference r:id="rId3" w:type="default"/>
      <w:footerReference r:id="rId4" w:type="default"/>
      <w:pgSz w:w="11906" w:h="16838"/>
      <w:pgMar w:top="1440" w:right="1077" w:bottom="1440" w:left="107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17254">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1FFCA">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F61FFCA">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E0D10">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3"/>
      <w:numFmt w:val="japaneseCounting"/>
      <w:pStyle w:val="46"/>
      <w:lvlText w:val="第%1章"/>
      <w:lvlJc w:val="left"/>
      <w:pPr>
        <w:tabs>
          <w:tab w:val="left" w:pos="1455"/>
        </w:tabs>
        <w:ind w:left="1455" w:hanging="145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mMWVkZGNmY2VmMWRmOTI5N2Q2MTAwYWJjNjkyM2QifQ=="/>
  </w:docVars>
  <w:rsids>
    <w:rsidRoot w:val="028143E5"/>
    <w:rsid w:val="000B146D"/>
    <w:rsid w:val="000D5741"/>
    <w:rsid w:val="000D7EEB"/>
    <w:rsid w:val="00182905"/>
    <w:rsid w:val="001A2968"/>
    <w:rsid w:val="001B5838"/>
    <w:rsid w:val="001E0BAC"/>
    <w:rsid w:val="001E4EDC"/>
    <w:rsid w:val="001F6029"/>
    <w:rsid w:val="00222F19"/>
    <w:rsid w:val="0023250D"/>
    <w:rsid w:val="00233AEE"/>
    <w:rsid w:val="00237E7D"/>
    <w:rsid w:val="00272089"/>
    <w:rsid w:val="00293624"/>
    <w:rsid w:val="002937B5"/>
    <w:rsid w:val="002C368A"/>
    <w:rsid w:val="00301E8C"/>
    <w:rsid w:val="00310C33"/>
    <w:rsid w:val="00333376"/>
    <w:rsid w:val="003766E4"/>
    <w:rsid w:val="00400047"/>
    <w:rsid w:val="00407B4E"/>
    <w:rsid w:val="00460029"/>
    <w:rsid w:val="004A2FB2"/>
    <w:rsid w:val="004D743C"/>
    <w:rsid w:val="00515C5E"/>
    <w:rsid w:val="00554589"/>
    <w:rsid w:val="00591F49"/>
    <w:rsid w:val="005A013A"/>
    <w:rsid w:val="00632B02"/>
    <w:rsid w:val="00647AFE"/>
    <w:rsid w:val="00653579"/>
    <w:rsid w:val="00655077"/>
    <w:rsid w:val="00680C2D"/>
    <w:rsid w:val="00763026"/>
    <w:rsid w:val="00791D0B"/>
    <w:rsid w:val="007A51F1"/>
    <w:rsid w:val="007C7BBF"/>
    <w:rsid w:val="00802D25"/>
    <w:rsid w:val="0082192C"/>
    <w:rsid w:val="008364DF"/>
    <w:rsid w:val="008A0FEA"/>
    <w:rsid w:val="009136C6"/>
    <w:rsid w:val="00940390"/>
    <w:rsid w:val="00946AD8"/>
    <w:rsid w:val="00970E6D"/>
    <w:rsid w:val="00975490"/>
    <w:rsid w:val="009E13CA"/>
    <w:rsid w:val="009F4DCD"/>
    <w:rsid w:val="00A0568B"/>
    <w:rsid w:val="00A061A7"/>
    <w:rsid w:val="00A54052"/>
    <w:rsid w:val="00A90D22"/>
    <w:rsid w:val="00A949D1"/>
    <w:rsid w:val="00AC1CAD"/>
    <w:rsid w:val="00AC5AEB"/>
    <w:rsid w:val="00B0567E"/>
    <w:rsid w:val="00B07B9D"/>
    <w:rsid w:val="00B2090B"/>
    <w:rsid w:val="00BB6EF1"/>
    <w:rsid w:val="00BC1DEE"/>
    <w:rsid w:val="00BE0835"/>
    <w:rsid w:val="00D13ADB"/>
    <w:rsid w:val="00D62656"/>
    <w:rsid w:val="00DC048D"/>
    <w:rsid w:val="00E27288"/>
    <w:rsid w:val="00E34CE8"/>
    <w:rsid w:val="00E90CFF"/>
    <w:rsid w:val="00EE60AF"/>
    <w:rsid w:val="00F12250"/>
    <w:rsid w:val="00F172E1"/>
    <w:rsid w:val="00F8247F"/>
    <w:rsid w:val="00FA1A51"/>
    <w:rsid w:val="00FE6C92"/>
    <w:rsid w:val="020010B3"/>
    <w:rsid w:val="02236A86"/>
    <w:rsid w:val="02306473"/>
    <w:rsid w:val="02504F97"/>
    <w:rsid w:val="028143E5"/>
    <w:rsid w:val="02D46145"/>
    <w:rsid w:val="035053D4"/>
    <w:rsid w:val="03952535"/>
    <w:rsid w:val="04E35FEA"/>
    <w:rsid w:val="05317236"/>
    <w:rsid w:val="0586722D"/>
    <w:rsid w:val="05D610DF"/>
    <w:rsid w:val="06092CD1"/>
    <w:rsid w:val="064C2819"/>
    <w:rsid w:val="06AF0770"/>
    <w:rsid w:val="06B238FA"/>
    <w:rsid w:val="077F6CC7"/>
    <w:rsid w:val="082D048F"/>
    <w:rsid w:val="083F3022"/>
    <w:rsid w:val="0847419E"/>
    <w:rsid w:val="09DB3168"/>
    <w:rsid w:val="0A4422E6"/>
    <w:rsid w:val="0A960E3D"/>
    <w:rsid w:val="0B1D50BA"/>
    <w:rsid w:val="0B497D12"/>
    <w:rsid w:val="0B4C4632"/>
    <w:rsid w:val="0B6D4F83"/>
    <w:rsid w:val="0BA930FD"/>
    <w:rsid w:val="0BC84FF5"/>
    <w:rsid w:val="0C8E576F"/>
    <w:rsid w:val="0D28572B"/>
    <w:rsid w:val="0D40797F"/>
    <w:rsid w:val="0DAE2303"/>
    <w:rsid w:val="0DFF7844"/>
    <w:rsid w:val="0E68383D"/>
    <w:rsid w:val="0F942CC0"/>
    <w:rsid w:val="0FE51872"/>
    <w:rsid w:val="10207C87"/>
    <w:rsid w:val="10B576E3"/>
    <w:rsid w:val="113F2DCE"/>
    <w:rsid w:val="117F1CC3"/>
    <w:rsid w:val="11E55D6C"/>
    <w:rsid w:val="11EB2EB1"/>
    <w:rsid w:val="12206319"/>
    <w:rsid w:val="12876C72"/>
    <w:rsid w:val="129D2A5B"/>
    <w:rsid w:val="13215EBB"/>
    <w:rsid w:val="13A82D65"/>
    <w:rsid w:val="13AB19F6"/>
    <w:rsid w:val="13C74EE5"/>
    <w:rsid w:val="13C84D7E"/>
    <w:rsid w:val="13EB5F57"/>
    <w:rsid w:val="13F36C89"/>
    <w:rsid w:val="144D662C"/>
    <w:rsid w:val="14654D61"/>
    <w:rsid w:val="15B701FA"/>
    <w:rsid w:val="16193D46"/>
    <w:rsid w:val="168D6206"/>
    <w:rsid w:val="16B110DD"/>
    <w:rsid w:val="16BE0858"/>
    <w:rsid w:val="16D20659"/>
    <w:rsid w:val="17216B64"/>
    <w:rsid w:val="17644C72"/>
    <w:rsid w:val="17FD7FE9"/>
    <w:rsid w:val="18740295"/>
    <w:rsid w:val="187D4A59"/>
    <w:rsid w:val="18BA2284"/>
    <w:rsid w:val="18C34F8B"/>
    <w:rsid w:val="191D4CB5"/>
    <w:rsid w:val="19700F08"/>
    <w:rsid w:val="19747198"/>
    <w:rsid w:val="1AA80CB9"/>
    <w:rsid w:val="1AED28BA"/>
    <w:rsid w:val="1B0D514B"/>
    <w:rsid w:val="1B4A5CB8"/>
    <w:rsid w:val="1BD468A2"/>
    <w:rsid w:val="1BE614F8"/>
    <w:rsid w:val="1C8A7AA9"/>
    <w:rsid w:val="1CD33EB4"/>
    <w:rsid w:val="1D075197"/>
    <w:rsid w:val="1DA91B49"/>
    <w:rsid w:val="1DC60177"/>
    <w:rsid w:val="1E403142"/>
    <w:rsid w:val="1EB6638C"/>
    <w:rsid w:val="1F2B2044"/>
    <w:rsid w:val="1F8F7D90"/>
    <w:rsid w:val="1FEE4B60"/>
    <w:rsid w:val="2003756B"/>
    <w:rsid w:val="20C660D5"/>
    <w:rsid w:val="216B481E"/>
    <w:rsid w:val="21BA145D"/>
    <w:rsid w:val="21D47DD5"/>
    <w:rsid w:val="22401962"/>
    <w:rsid w:val="22D26000"/>
    <w:rsid w:val="22DF2A83"/>
    <w:rsid w:val="2321680A"/>
    <w:rsid w:val="23711B3F"/>
    <w:rsid w:val="239212CB"/>
    <w:rsid w:val="23AD74CB"/>
    <w:rsid w:val="24437194"/>
    <w:rsid w:val="254E4EBA"/>
    <w:rsid w:val="25944229"/>
    <w:rsid w:val="25B917AA"/>
    <w:rsid w:val="25BE30F8"/>
    <w:rsid w:val="25C4339F"/>
    <w:rsid w:val="26775BC8"/>
    <w:rsid w:val="26AF70B6"/>
    <w:rsid w:val="26BA5A95"/>
    <w:rsid w:val="27051414"/>
    <w:rsid w:val="271F5894"/>
    <w:rsid w:val="28016F46"/>
    <w:rsid w:val="286036CB"/>
    <w:rsid w:val="28F039B6"/>
    <w:rsid w:val="29A96F17"/>
    <w:rsid w:val="29E97F2E"/>
    <w:rsid w:val="29EC23D0"/>
    <w:rsid w:val="29F02049"/>
    <w:rsid w:val="2B025CC6"/>
    <w:rsid w:val="2B9221F5"/>
    <w:rsid w:val="2BA70F21"/>
    <w:rsid w:val="2BAC2056"/>
    <w:rsid w:val="2BE21C61"/>
    <w:rsid w:val="2BF43A6B"/>
    <w:rsid w:val="2C663C89"/>
    <w:rsid w:val="2C764A8E"/>
    <w:rsid w:val="2CF33564"/>
    <w:rsid w:val="2D214A86"/>
    <w:rsid w:val="2D724EA0"/>
    <w:rsid w:val="2D940E06"/>
    <w:rsid w:val="2DAC7901"/>
    <w:rsid w:val="2E7F53B6"/>
    <w:rsid w:val="2EF16E81"/>
    <w:rsid w:val="2F5305E2"/>
    <w:rsid w:val="30674499"/>
    <w:rsid w:val="31381828"/>
    <w:rsid w:val="322748ED"/>
    <w:rsid w:val="32C5265C"/>
    <w:rsid w:val="32CC7242"/>
    <w:rsid w:val="332A6400"/>
    <w:rsid w:val="3330256F"/>
    <w:rsid w:val="33B757FC"/>
    <w:rsid w:val="34450477"/>
    <w:rsid w:val="34B26361"/>
    <w:rsid w:val="34E87DDD"/>
    <w:rsid w:val="35160D9C"/>
    <w:rsid w:val="351F7E3B"/>
    <w:rsid w:val="35444529"/>
    <w:rsid w:val="35832060"/>
    <w:rsid w:val="35D3411C"/>
    <w:rsid w:val="3613621A"/>
    <w:rsid w:val="364C1689"/>
    <w:rsid w:val="367373E0"/>
    <w:rsid w:val="373553B6"/>
    <w:rsid w:val="381E3846"/>
    <w:rsid w:val="38337D59"/>
    <w:rsid w:val="386B203C"/>
    <w:rsid w:val="38CF15CD"/>
    <w:rsid w:val="39CF2C3C"/>
    <w:rsid w:val="3AD072FD"/>
    <w:rsid w:val="3CE54541"/>
    <w:rsid w:val="3D9F19E9"/>
    <w:rsid w:val="3DA7027A"/>
    <w:rsid w:val="3DC213DF"/>
    <w:rsid w:val="3E2812A3"/>
    <w:rsid w:val="3E4969D2"/>
    <w:rsid w:val="3E573D09"/>
    <w:rsid w:val="3E6E6BDB"/>
    <w:rsid w:val="3E784B90"/>
    <w:rsid w:val="3F03223E"/>
    <w:rsid w:val="40061789"/>
    <w:rsid w:val="40192BB8"/>
    <w:rsid w:val="40800DEA"/>
    <w:rsid w:val="40E8666D"/>
    <w:rsid w:val="41446601"/>
    <w:rsid w:val="418212BD"/>
    <w:rsid w:val="42A82FE5"/>
    <w:rsid w:val="43042F4A"/>
    <w:rsid w:val="431945C4"/>
    <w:rsid w:val="433E187C"/>
    <w:rsid w:val="4476179F"/>
    <w:rsid w:val="448A7438"/>
    <w:rsid w:val="449626BA"/>
    <w:rsid w:val="44DE595B"/>
    <w:rsid w:val="45457F69"/>
    <w:rsid w:val="45A35AD8"/>
    <w:rsid w:val="45C322AA"/>
    <w:rsid w:val="460C7D23"/>
    <w:rsid w:val="465F36CB"/>
    <w:rsid w:val="466A7115"/>
    <w:rsid w:val="46DC420F"/>
    <w:rsid w:val="47751158"/>
    <w:rsid w:val="47A50E5C"/>
    <w:rsid w:val="47AB51B9"/>
    <w:rsid w:val="47C01017"/>
    <w:rsid w:val="481D1FDE"/>
    <w:rsid w:val="486653DD"/>
    <w:rsid w:val="48951F0E"/>
    <w:rsid w:val="48A408B4"/>
    <w:rsid w:val="48BF2EAA"/>
    <w:rsid w:val="48C43E6E"/>
    <w:rsid w:val="48E20AA3"/>
    <w:rsid w:val="48F134D8"/>
    <w:rsid w:val="49316623"/>
    <w:rsid w:val="49594982"/>
    <w:rsid w:val="499C3073"/>
    <w:rsid w:val="49A475F6"/>
    <w:rsid w:val="4A451F5C"/>
    <w:rsid w:val="4ADD0B44"/>
    <w:rsid w:val="4B2E1DFD"/>
    <w:rsid w:val="4C136084"/>
    <w:rsid w:val="4C563DAE"/>
    <w:rsid w:val="4C6360CA"/>
    <w:rsid w:val="4C6F61F2"/>
    <w:rsid w:val="4C866832"/>
    <w:rsid w:val="4CAA5AA7"/>
    <w:rsid w:val="4CE36BE2"/>
    <w:rsid w:val="4D973BE9"/>
    <w:rsid w:val="4E7B0068"/>
    <w:rsid w:val="4E8914D5"/>
    <w:rsid w:val="4EC74E0A"/>
    <w:rsid w:val="4F1C3F70"/>
    <w:rsid w:val="4F944EBF"/>
    <w:rsid w:val="4FEB0F2B"/>
    <w:rsid w:val="50096F88"/>
    <w:rsid w:val="51024B29"/>
    <w:rsid w:val="51453FF0"/>
    <w:rsid w:val="515157DD"/>
    <w:rsid w:val="517D6B7D"/>
    <w:rsid w:val="519531C9"/>
    <w:rsid w:val="51C552E8"/>
    <w:rsid w:val="51C94C0B"/>
    <w:rsid w:val="520E6EFC"/>
    <w:rsid w:val="526409A1"/>
    <w:rsid w:val="52DA5A66"/>
    <w:rsid w:val="52DB10B0"/>
    <w:rsid w:val="52F21F55"/>
    <w:rsid w:val="532C2755"/>
    <w:rsid w:val="5386726D"/>
    <w:rsid w:val="53994DCD"/>
    <w:rsid w:val="541166FE"/>
    <w:rsid w:val="552272D2"/>
    <w:rsid w:val="554871F1"/>
    <w:rsid w:val="55CF7E2B"/>
    <w:rsid w:val="55FA0B35"/>
    <w:rsid w:val="562C7FE0"/>
    <w:rsid w:val="56533449"/>
    <w:rsid w:val="568855ED"/>
    <w:rsid w:val="569C29DF"/>
    <w:rsid w:val="56A355D3"/>
    <w:rsid w:val="572D6B47"/>
    <w:rsid w:val="57866071"/>
    <w:rsid w:val="57E2333B"/>
    <w:rsid w:val="584340B0"/>
    <w:rsid w:val="58464430"/>
    <w:rsid w:val="58471506"/>
    <w:rsid w:val="584A56F3"/>
    <w:rsid w:val="58900246"/>
    <w:rsid w:val="58A747C6"/>
    <w:rsid w:val="5A573BDD"/>
    <w:rsid w:val="5B590333"/>
    <w:rsid w:val="5BA74225"/>
    <w:rsid w:val="5C341831"/>
    <w:rsid w:val="5C4E4165"/>
    <w:rsid w:val="5C624B8E"/>
    <w:rsid w:val="5C6E089F"/>
    <w:rsid w:val="5CA75558"/>
    <w:rsid w:val="5D0E230A"/>
    <w:rsid w:val="5D4F6B3E"/>
    <w:rsid w:val="5DC60DBA"/>
    <w:rsid w:val="5E566560"/>
    <w:rsid w:val="5E652175"/>
    <w:rsid w:val="5E661035"/>
    <w:rsid w:val="5F6D7533"/>
    <w:rsid w:val="5FA752D7"/>
    <w:rsid w:val="600F2399"/>
    <w:rsid w:val="603B6713"/>
    <w:rsid w:val="6078076D"/>
    <w:rsid w:val="60807659"/>
    <w:rsid w:val="60937300"/>
    <w:rsid w:val="60CA70B1"/>
    <w:rsid w:val="614E6318"/>
    <w:rsid w:val="61664E46"/>
    <w:rsid w:val="617F5261"/>
    <w:rsid w:val="61C64CD9"/>
    <w:rsid w:val="620B3062"/>
    <w:rsid w:val="624C6EEF"/>
    <w:rsid w:val="62552BB5"/>
    <w:rsid w:val="62D90A3C"/>
    <w:rsid w:val="63617ED8"/>
    <w:rsid w:val="63C94F54"/>
    <w:rsid w:val="642E2B0E"/>
    <w:rsid w:val="64405216"/>
    <w:rsid w:val="649C5F21"/>
    <w:rsid w:val="64F43D9F"/>
    <w:rsid w:val="65603C1B"/>
    <w:rsid w:val="65646CE3"/>
    <w:rsid w:val="65670581"/>
    <w:rsid w:val="65A550CF"/>
    <w:rsid w:val="65C90503"/>
    <w:rsid w:val="65F31549"/>
    <w:rsid w:val="66362AE3"/>
    <w:rsid w:val="667229B6"/>
    <w:rsid w:val="675D2A17"/>
    <w:rsid w:val="678E0B23"/>
    <w:rsid w:val="67A91325"/>
    <w:rsid w:val="680A598F"/>
    <w:rsid w:val="681E2B15"/>
    <w:rsid w:val="683E5856"/>
    <w:rsid w:val="685857AD"/>
    <w:rsid w:val="688E3ECB"/>
    <w:rsid w:val="68F9073C"/>
    <w:rsid w:val="68FA4F96"/>
    <w:rsid w:val="69652166"/>
    <w:rsid w:val="696E222B"/>
    <w:rsid w:val="69DB75EA"/>
    <w:rsid w:val="6A871732"/>
    <w:rsid w:val="6A892D47"/>
    <w:rsid w:val="6AE24FE6"/>
    <w:rsid w:val="6B902CAD"/>
    <w:rsid w:val="6BAB3093"/>
    <w:rsid w:val="6BF42A96"/>
    <w:rsid w:val="6C831372"/>
    <w:rsid w:val="6D6655C2"/>
    <w:rsid w:val="6DA310B2"/>
    <w:rsid w:val="6E7375E6"/>
    <w:rsid w:val="6E8A2020"/>
    <w:rsid w:val="6EA65658"/>
    <w:rsid w:val="6EB25F85"/>
    <w:rsid w:val="6EEA2761"/>
    <w:rsid w:val="6EED7D49"/>
    <w:rsid w:val="6F460F93"/>
    <w:rsid w:val="6F464A26"/>
    <w:rsid w:val="6F520671"/>
    <w:rsid w:val="6FC4011D"/>
    <w:rsid w:val="6FD92F46"/>
    <w:rsid w:val="70616630"/>
    <w:rsid w:val="708D73B8"/>
    <w:rsid w:val="70AE2BAC"/>
    <w:rsid w:val="70B7426A"/>
    <w:rsid w:val="71386CCF"/>
    <w:rsid w:val="71687C37"/>
    <w:rsid w:val="717546F3"/>
    <w:rsid w:val="71B70F75"/>
    <w:rsid w:val="71FF07E3"/>
    <w:rsid w:val="724B3434"/>
    <w:rsid w:val="72556331"/>
    <w:rsid w:val="728D0506"/>
    <w:rsid w:val="72AE3C93"/>
    <w:rsid w:val="73524DC0"/>
    <w:rsid w:val="737B3488"/>
    <w:rsid w:val="73B50543"/>
    <w:rsid w:val="73C03B56"/>
    <w:rsid w:val="73E25510"/>
    <w:rsid w:val="74005DEF"/>
    <w:rsid w:val="74005E6C"/>
    <w:rsid w:val="74155579"/>
    <w:rsid w:val="74BB2626"/>
    <w:rsid w:val="750710F3"/>
    <w:rsid w:val="75D90A3A"/>
    <w:rsid w:val="761D7759"/>
    <w:rsid w:val="771F0CBB"/>
    <w:rsid w:val="777032C5"/>
    <w:rsid w:val="788C40F1"/>
    <w:rsid w:val="78F9265F"/>
    <w:rsid w:val="797B0975"/>
    <w:rsid w:val="79B55907"/>
    <w:rsid w:val="7A762878"/>
    <w:rsid w:val="7AAA098A"/>
    <w:rsid w:val="7B2849C9"/>
    <w:rsid w:val="7BA71AF0"/>
    <w:rsid w:val="7BDB54B4"/>
    <w:rsid w:val="7C817D22"/>
    <w:rsid w:val="7CE12101"/>
    <w:rsid w:val="7D147F85"/>
    <w:rsid w:val="7E40320E"/>
    <w:rsid w:val="7EB116F9"/>
    <w:rsid w:val="7EEC02DF"/>
    <w:rsid w:val="7EFC4E5B"/>
    <w:rsid w:val="7F03589A"/>
    <w:rsid w:val="7F1B15B4"/>
    <w:rsid w:val="7F71407E"/>
    <w:rsid w:val="7F7678E7"/>
    <w:rsid w:val="7F871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rFonts w:ascii="Times New Roman" w:hAnsi="Times New Roman"/>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1"/>
    <w:pPr>
      <w:ind w:left="779" w:firstLine="641"/>
      <w:jc w:val="left"/>
    </w:pPr>
    <w:rPr>
      <w:rFonts w:ascii="宋体" w:hAnsi="宋体"/>
      <w:kern w:val="0"/>
      <w:sz w:val="32"/>
      <w:szCs w:val="32"/>
      <w:lang w:eastAsia="en-US"/>
    </w:rPr>
  </w:style>
  <w:style w:type="paragraph" w:styleId="6">
    <w:name w:val="List 3"/>
    <w:basedOn w:val="1"/>
    <w:qFormat/>
    <w:uiPriority w:val="0"/>
    <w:pPr>
      <w:ind w:left="100" w:leftChars="400" w:hanging="200" w:hangingChars="200"/>
    </w:pPr>
    <w:rPr>
      <w:rFonts w:ascii="Times New Roman" w:hAnsi="Times New Roman"/>
      <w:szCs w:val="24"/>
    </w:rPr>
  </w:style>
  <w:style w:type="paragraph" w:styleId="7">
    <w:name w:val="index 8"/>
    <w:basedOn w:val="1"/>
    <w:next w:val="1"/>
    <w:semiHidden/>
    <w:qFormat/>
    <w:uiPriority w:val="0"/>
    <w:pPr>
      <w:ind w:left="1680" w:hanging="210"/>
      <w:jc w:val="left"/>
    </w:pPr>
    <w:rPr>
      <w:rFonts w:ascii="Times New Roman" w:hAnsi="Times New Roman"/>
      <w:sz w:val="20"/>
      <w:szCs w:val="20"/>
    </w:rPr>
  </w:style>
  <w:style w:type="paragraph" w:styleId="8">
    <w:name w:val="Normal Indent"/>
    <w:basedOn w:val="1"/>
    <w:qFormat/>
    <w:uiPriority w:val="0"/>
    <w:pPr>
      <w:ind w:firstLine="420"/>
    </w:pPr>
  </w:style>
  <w:style w:type="paragraph" w:styleId="9">
    <w:name w:val="annotation text"/>
    <w:basedOn w:val="1"/>
    <w:qFormat/>
    <w:uiPriority w:val="0"/>
    <w:pPr>
      <w:jc w:val="left"/>
    </w:pPr>
    <w:rPr>
      <w:rFonts w:ascii="Times New Roman" w:hAnsi="Times New Roman"/>
      <w:kern w:val="0"/>
      <w:sz w:val="20"/>
      <w:szCs w:val="20"/>
    </w:rPr>
  </w:style>
  <w:style w:type="paragraph" w:styleId="10">
    <w:name w:val="Body Text Indent"/>
    <w:basedOn w:val="1"/>
    <w:next w:val="11"/>
    <w:unhideWhenUsed/>
    <w:qFormat/>
    <w:uiPriority w:val="99"/>
    <w:pPr>
      <w:spacing w:after="120"/>
      <w:ind w:left="420" w:leftChars="200"/>
    </w:pPr>
  </w:style>
  <w:style w:type="paragraph" w:styleId="11">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2">
    <w:name w:val="Plain Text"/>
    <w:basedOn w:val="1"/>
    <w:next w:val="7"/>
    <w:unhideWhenUsed/>
    <w:qFormat/>
    <w:uiPriority w:val="0"/>
    <w:rPr>
      <w:rFonts w:ascii="宋体" w:hAnsi="Courier New" w:eastAsiaTheme="minorEastAsia" w:cstheme="minorBidi"/>
      <w:szCs w:val="21"/>
    </w:rPr>
  </w:style>
  <w:style w:type="paragraph" w:styleId="13">
    <w:name w:val="Balloon Text"/>
    <w:basedOn w:val="1"/>
    <w:link w:val="32"/>
    <w:qFormat/>
    <w:uiPriority w:val="0"/>
    <w:rPr>
      <w:sz w:val="18"/>
      <w:szCs w:val="18"/>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Normal (Web)"/>
    <w:basedOn w:val="1"/>
    <w:unhideWhenUsed/>
    <w:qFormat/>
    <w:uiPriority w:val="99"/>
    <w:pPr>
      <w:jc w:val="left"/>
    </w:pPr>
    <w:rPr>
      <w:rFonts w:ascii="Times New Roman" w:hAnsi="Times New Roman"/>
      <w:kern w:val="0"/>
      <w:sz w:val="24"/>
      <w:szCs w:val="20"/>
    </w:rPr>
  </w:style>
  <w:style w:type="paragraph" w:styleId="16">
    <w:name w:val="Body Text First Indent 2"/>
    <w:basedOn w:val="10"/>
    <w:next w:val="1"/>
    <w:semiHidden/>
    <w:qFormat/>
    <w:uiPriority w:val="0"/>
    <w:pPr>
      <w:ind w:firstLine="420" w:firstLineChars="200"/>
    </w:pPr>
    <w:rPr>
      <w:rFonts w:ascii="Times New Roman" w:hAnsi="Times New Roman"/>
      <w:kern w:val="0"/>
      <w:sz w:val="20"/>
      <w:szCs w:val="24"/>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character" w:styleId="21">
    <w:name w:val="FollowedHyperlink"/>
    <w:basedOn w:val="19"/>
    <w:qFormat/>
    <w:uiPriority w:val="0"/>
    <w:rPr>
      <w:color w:val="4A4A4A"/>
      <w:u w:val="none"/>
    </w:rPr>
  </w:style>
  <w:style w:type="character" w:styleId="22">
    <w:name w:val="Emphasis"/>
    <w:basedOn w:val="19"/>
    <w:qFormat/>
    <w:uiPriority w:val="0"/>
  </w:style>
  <w:style w:type="character" w:styleId="23">
    <w:name w:val="HTML Definition"/>
    <w:basedOn w:val="19"/>
    <w:qFormat/>
    <w:uiPriority w:val="0"/>
  </w:style>
  <w:style w:type="character" w:styleId="24">
    <w:name w:val="HTML Acronym"/>
    <w:basedOn w:val="19"/>
    <w:qFormat/>
    <w:uiPriority w:val="0"/>
  </w:style>
  <w:style w:type="character" w:styleId="25">
    <w:name w:val="HTML Variable"/>
    <w:basedOn w:val="19"/>
    <w:qFormat/>
    <w:uiPriority w:val="0"/>
  </w:style>
  <w:style w:type="character" w:styleId="26">
    <w:name w:val="Hyperlink"/>
    <w:basedOn w:val="19"/>
    <w:qFormat/>
    <w:uiPriority w:val="0"/>
    <w:rPr>
      <w:color w:val="4A4A4A"/>
      <w:u w:val="none"/>
    </w:rPr>
  </w:style>
  <w:style w:type="character" w:styleId="27">
    <w:name w:val="HTML Code"/>
    <w:basedOn w:val="19"/>
    <w:qFormat/>
    <w:uiPriority w:val="0"/>
    <w:rPr>
      <w:rFonts w:ascii="Courier New" w:hAnsi="Courier New"/>
      <w:sz w:val="20"/>
    </w:rPr>
  </w:style>
  <w:style w:type="character" w:styleId="28">
    <w:name w:val="HTML Cite"/>
    <w:basedOn w:val="19"/>
    <w:qFormat/>
    <w:uiPriority w:val="0"/>
  </w:style>
  <w:style w:type="paragraph" w:customStyle="1" w:styleId="29">
    <w:name w:val="Normal_5"/>
    <w:qFormat/>
    <w:uiPriority w:val="0"/>
    <w:pPr>
      <w:widowControl w:val="0"/>
      <w:jc w:val="both"/>
    </w:pPr>
    <w:rPr>
      <w:rFonts w:ascii="Calibri" w:hAnsi="Calibri" w:eastAsia="宋体" w:cs="Calibri"/>
      <w:lang w:val="en-US" w:eastAsia="zh-CN" w:bidi="ar-SA"/>
    </w:rPr>
  </w:style>
  <w:style w:type="paragraph" w:customStyle="1" w:styleId="30">
    <w:name w:val="Plain Text_0"/>
    <w:basedOn w:val="29"/>
    <w:unhideWhenUsed/>
    <w:qFormat/>
    <w:uiPriority w:val="0"/>
    <w:rPr>
      <w:rFonts w:ascii="宋体" w:hAnsi="Courier New" w:eastAsiaTheme="minorEastAsia" w:cstheme="minorBidi"/>
      <w:szCs w:val="21"/>
    </w:rPr>
  </w:style>
  <w:style w:type="character" w:customStyle="1" w:styleId="31">
    <w:name w:val="页眉 字符"/>
    <w:basedOn w:val="19"/>
    <w:link w:val="11"/>
    <w:qFormat/>
    <w:uiPriority w:val="0"/>
    <w:rPr>
      <w:rFonts w:ascii="Calibri" w:hAnsi="Calibri"/>
      <w:kern w:val="2"/>
      <w:sz w:val="18"/>
      <w:szCs w:val="18"/>
    </w:rPr>
  </w:style>
  <w:style w:type="character" w:customStyle="1" w:styleId="32">
    <w:name w:val="批注框文本 字符"/>
    <w:basedOn w:val="19"/>
    <w:link w:val="13"/>
    <w:qFormat/>
    <w:uiPriority w:val="0"/>
    <w:rPr>
      <w:rFonts w:ascii="Calibri" w:hAnsi="Calibri"/>
      <w:kern w:val="2"/>
      <w:sz w:val="18"/>
      <w:szCs w:val="18"/>
    </w:rPr>
  </w:style>
  <w:style w:type="paragraph" w:customStyle="1" w:styleId="33">
    <w:name w:val="Normal_0"/>
    <w:basedOn w:val="1"/>
    <w:next w:val="1"/>
    <w:qFormat/>
    <w:uiPriority w:val="0"/>
    <w:pPr>
      <w:jc w:val="left"/>
    </w:pPr>
    <w:rPr>
      <w:kern w:val="0"/>
      <w:szCs w:val="21"/>
    </w:rPr>
  </w:style>
  <w:style w:type="paragraph" w:customStyle="1" w:styleId="34">
    <w:name w:val="正文_2"/>
    <w:basedOn w:val="1"/>
    <w:qFormat/>
    <w:uiPriority w:val="0"/>
    <w:pPr>
      <w:widowControl/>
      <w:jc w:val="left"/>
    </w:pPr>
    <w:rPr>
      <w:rFonts w:ascii="宋体" w:hAnsi="宋体" w:cs="宋体"/>
      <w:kern w:val="0"/>
      <w:sz w:val="24"/>
      <w:szCs w:val="24"/>
    </w:rPr>
  </w:style>
  <w:style w:type="paragraph" w:styleId="35">
    <w:name w:val="No Spacing"/>
    <w:basedOn w:val="1"/>
    <w:qFormat/>
    <w:uiPriority w:val="1"/>
    <w:pPr>
      <w:widowControl/>
      <w:ind w:left="250"/>
      <w:jc w:val="left"/>
    </w:pPr>
    <w:rPr>
      <w:rFonts w:eastAsiaTheme="minorEastAsia" w:cstheme="minorBidi"/>
      <w:sz w:val="24"/>
      <w:szCs w:val="32"/>
      <w:lang w:bidi="en-US"/>
    </w:rPr>
  </w:style>
  <w:style w:type="character" w:customStyle="1" w:styleId="36">
    <w:name w:val="HTML Markup"/>
    <w:qFormat/>
    <w:uiPriority w:val="0"/>
    <w:rPr>
      <w:vanish/>
      <w:color w:val="FF0000"/>
    </w:rPr>
  </w:style>
  <w:style w:type="paragraph" w:customStyle="1" w:styleId="37">
    <w:name w:val="style93_0"/>
    <w:basedOn w:val="38"/>
    <w:qFormat/>
    <w:uiPriority w:val="0"/>
    <w:pPr>
      <w:widowControl/>
      <w:spacing w:before="100" w:beforeAutospacing="1" w:after="100" w:afterAutospacing="1"/>
      <w:jc w:val="left"/>
    </w:pPr>
    <w:rPr>
      <w:rFonts w:ascii="宋体" w:hAnsi="宋体" w:cs="宋体"/>
      <w:sz w:val="24"/>
      <w:szCs w:val="24"/>
    </w:rPr>
  </w:style>
  <w:style w:type="paragraph" w:customStyle="1" w:styleId="38">
    <w:name w:val="Normal_2"/>
    <w:qFormat/>
    <w:uiPriority w:val="0"/>
    <w:pPr>
      <w:widowControl w:val="0"/>
      <w:jc w:val="both"/>
    </w:pPr>
    <w:rPr>
      <w:rFonts w:ascii="Calibri" w:hAnsi="Calibri" w:eastAsia="宋体" w:cs="Times New Roman"/>
      <w:lang w:val="en-US" w:eastAsia="zh-CN" w:bidi="ar-SA"/>
    </w:rPr>
  </w:style>
  <w:style w:type="paragraph" w:customStyle="1" w:styleId="39">
    <w:name w:val="Normal_3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0">
    <w:name w:val="hover26"/>
    <w:basedOn w:val="19"/>
    <w:qFormat/>
    <w:uiPriority w:val="0"/>
    <w:rPr>
      <w:color w:val="446CB4"/>
      <w:u w:val="none"/>
      <w:bdr w:val="single" w:color="446CB4" w:sz="4" w:space="0"/>
    </w:rPr>
  </w:style>
  <w:style w:type="character" w:customStyle="1" w:styleId="41">
    <w:name w:val="hover27"/>
    <w:basedOn w:val="19"/>
    <w:qFormat/>
    <w:uiPriority w:val="0"/>
    <w:rPr>
      <w:color w:val="337AB7"/>
    </w:rPr>
  </w:style>
  <w:style w:type="character" w:customStyle="1" w:styleId="42">
    <w:name w:val="first-child"/>
    <w:basedOn w:val="19"/>
    <w:qFormat/>
    <w:uiPriority w:val="0"/>
  </w:style>
  <w:style w:type="character" w:customStyle="1" w:styleId="43">
    <w:name w:val="layui-this"/>
    <w:basedOn w:val="19"/>
    <w:qFormat/>
    <w:uiPriority w:val="0"/>
    <w:rPr>
      <w:bdr w:val="single" w:color="EEEEEE" w:sz="4" w:space="0"/>
      <w:shd w:val="clear" w:color="auto" w:fill="FFFFFF"/>
    </w:rPr>
  </w:style>
  <w:style w:type="paragraph" w:customStyle="1" w:styleId="44">
    <w:name w:val="修订1"/>
    <w:hidden/>
    <w:unhideWhenUsed/>
    <w:qFormat/>
    <w:uiPriority w:val="99"/>
    <w:rPr>
      <w:rFonts w:ascii="Calibri" w:hAnsi="Calibri" w:eastAsia="宋体" w:cs="Times New Roman"/>
      <w:kern w:val="2"/>
      <w:sz w:val="21"/>
      <w:szCs w:val="22"/>
      <w:lang w:val="en-US" w:eastAsia="zh-CN" w:bidi="ar-SA"/>
    </w:rPr>
  </w:style>
  <w:style w:type="paragraph" w:customStyle="1" w:styleId="45">
    <w:name w:val="正文 New New"/>
    <w:next w:val="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标题 1 New New"/>
    <w:basedOn w:val="45"/>
    <w:next w:val="45"/>
    <w:qFormat/>
    <w:uiPriority w:val="0"/>
    <w:pPr>
      <w:keepNext/>
      <w:keepLines/>
      <w:numPr>
        <w:ilvl w:val="0"/>
        <w:numId w:val="1"/>
      </w:numPr>
      <w:spacing w:before="340" w:after="330" w:line="576" w:lineRule="auto"/>
      <w:jc w:val="center"/>
      <w:outlineLvl w:val="0"/>
    </w:pPr>
    <w:rPr>
      <w:b/>
      <w:kern w:val="44"/>
      <w:sz w:val="36"/>
      <w:szCs w:val="20"/>
    </w:rPr>
  </w:style>
  <w:style w:type="paragraph" w:customStyle="1" w:styleId="47">
    <w:name w:val="样式2"/>
    <w:basedOn w:val="8"/>
    <w:next w:val="5"/>
    <w:qFormat/>
    <w:uiPriority w:val="0"/>
    <w:pPr>
      <w:pBdr>
        <w:bottom w:val="none" w:color="auto" w:sz="0" w:space="0"/>
      </w:pBdr>
      <w:tabs>
        <w:tab w:val="center" w:pos="4153"/>
        <w:tab w:val="right" w:pos="8306"/>
      </w:tabs>
      <w:autoSpaceDE w:val="0"/>
      <w:autoSpaceDN w:val="0"/>
      <w:adjustRightInd w:val="0"/>
      <w:snapToGrid/>
      <w:textAlignment w:val="baseline"/>
    </w:pPr>
    <w:rPr>
      <w:rFonts w:ascii="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553A30-0EEB-469D-9EDC-6ADBBF99D004}">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5347</Words>
  <Characters>5532</Characters>
  <Lines>1</Lines>
  <Paragraphs>1</Paragraphs>
  <TotalTime>2</TotalTime>
  <ScaleCrop>false</ScaleCrop>
  <LinksUpToDate>false</LinksUpToDate>
  <CharactersWithSpaces>5726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2023-06-16T10:06:00Z</dcterms:created>
  <dc:creator>YQY</dc:creator>
  <cp:lastModifiedBy>龙华环境</cp:lastModifiedBy>
  <cp:lastPrinted>2025-07-11T01:39:00Z</cp:lastPrinted>
  <dcterms:modified xsi:type="dcterms:W3CDTF">2025-07-25T02:00:26Z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69C84DD156424A5FAE2F22CAE643A409</vt:lpwstr>
  </property>
  <property fmtid="{D5CDD505-2E9C-101B-9397-08002B2CF9AE}" pid="4" name="KSOTemplateDocerSaveRecord">
    <vt:lpwstr>eyJoZGlkIjoiNjc5MTlkNDZkNjliMzhkMjQzNDJkY2ViN2E2ZjVlYzUiLCJ1c2VySWQiOiIyNDgxMzU4NjEifQ==</vt:lpwstr>
  </property>
</Properties>
</file>