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CED0D">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38D215CF">
      <w:pPr>
        <w:keepNext w:val="0"/>
        <w:keepLines w:val="0"/>
        <w:pageBreakBefore w:val="0"/>
        <w:widowControl w:val="0"/>
        <w:kinsoku/>
        <w:wordWrap/>
        <w:overflowPunct/>
        <w:topLinePunct w:val="0"/>
        <w:autoSpaceDE/>
        <w:autoSpaceDN/>
        <w:bidi w:val="0"/>
        <w:adjustRightInd/>
        <w:snapToGrid/>
        <w:spacing w:line="560" w:lineRule="exact"/>
        <w:ind w:left="440" w:hanging="440" w:hangingChars="10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扫路机、清洗机采购遴选方案</w:t>
      </w:r>
    </w:p>
    <w:p w14:paraId="0F062B61">
      <w:pPr>
        <w:keepNext w:val="0"/>
        <w:keepLines w:val="0"/>
        <w:pageBreakBefore w:val="0"/>
        <w:widowControl w:val="0"/>
        <w:kinsoku/>
        <w:wordWrap/>
        <w:overflowPunct/>
        <w:topLinePunct w:val="0"/>
        <w:autoSpaceDE/>
        <w:autoSpaceDN/>
        <w:bidi w:val="0"/>
        <w:adjustRightInd/>
        <w:snapToGrid/>
        <w:spacing w:line="560" w:lineRule="exact"/>
        <w:ind w:left="439" w:leftChars="209" w:firstLine="440" w:firstLineChars="100"/>
        <w:textAlignment w:val="auto"/>
        <w:rPr>
          <w:rFonts w:hint="eastAsia" w:ascii="方正小标宋简体" w:hAnsi="方正小标宋简体" w:eastAsia="方正小标宋简体" w:cs="方正小标宋简体"/>
          <w:sz w:val="44"/>
          <w:szCs w:val="44"/>
          <w:highlight w:val="none"/>
          <w:lang w:val="en-US" w:eastAsia="zh-CN"/>
        </w:rPr>
      </w:pPr>
    </w:p>
    <w:p w14:paraId="752C0E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资信技术标</w:t>
      </w:r>
    </w:p>
    <w:p w14:paraId="0762E21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1"/>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844"/>
        <w:gridCol w:w="1110"/>
        <w:gridCol w:w="4745"/>
      </w:tblGrid>
      <w:tr w14:paraId="07DB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16" w:type="dxa"/>
            <w:noWrap w:val="0"/>
            <w:vAlign w:val="center"/>
          </w:tcPr>
          <w:p w14:paraId="66588D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2844" w:type="dxa"/>
            <w:noWrap w:val="0"/>
            <w:vAlign w:val="center"/>
          </w:tcPr>
          <w:p w14:paraId="0E7D0D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评分内容</w:t>
            </w:r>
          </w:p>
        </w:tc>
        <w:tc>
          <w:tcPr>
            <w:tcW w:w="1110" w:type="dxa"/>
            <w:noWrap w:val="0"/>
            <w:vAlign w:val="center"/>
          </w:tcPr>
          <w:p w14:paraId="19BE4C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权重（%）</w:t>
            </w:r>
          </w:p>
        </w:tc>
        <w:tc>
          <w:tcPr>
            <w:tcW w:w="4745" w:type="dxa"/>
            <w:noWrap w:val="0"/>
            <w:vAlign w:val="center"/>
          </w:tcPr>
          <w:p w14:paraId="198CAF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评分细则</w:t>
            </w:r>
          </w:p>
        </w:tc>
      </w:tr>
      <w:tr w14:paraId="74F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noWrap w:val="0"/>
            <w:vAlign w:val="center"/>
          </w:tcPr>
          <w:p w14:paraId="7C1910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2844" w:type="dxa"/>
            <w:noWrap w:val="0"/>
            <w:vAlign w:val="center"/>
          </w:tcPr>
          <w:p w14:paraId="11FAC4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企业综合实力</w:t>
            </w:r>
          </w:p>
        </w:tc>
        <w:tc>
          <w:tcPr>
            <w:tcW w:w="1110" w:type="dxa"/>
            <w:noWrap w:val="0"/>
            <w:vAlign w:val="center"/>
          </w:tcPr>
          <w:p w14:paraId="36836D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6</w:t>
            </w:r>
          </w:p>
        </w:tc>
        <w:tc>
          <w:tcPr>
            <w:tcW w:w="4745" w:type="dxa"/>
            <w:noWrap w:val="0"/>
            <w:vAlign w:val="center"/>
          </w:tcPr>
          <w:p w14:paraId="46BD8B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kern w:val="2"/>
                <w:sz w:val="24"/>
                <w:szCs w:val="24"/>
                <w:vertAlign w:val="baseline"/>
                <w:lang w:val="en-US" w:eastAsia="zh-CN" w:bidi="ar-SA"/>
              </w:rPr>
              <w:t>一、</w:t>
            </w:r>
            <w:r>
              <w:rPr>
                <w:rFonts w:hint="eastAsia" w:ascii="仿宋_GB2312" w:hAnsi="仿宋_GB2312" w:eastAsia="仿宋_GB2312" w:cs="仿宋_GB2312"/>
                <w:b/>
                <w:bCs/>
                <w:sz w:val="24"/>
                <w:szCs w:val="24"/>
                <w:highlight w:val="none"/>
                <w:vertAlign w:val="baseline"/>
                <w:lang w:val="en-US" w:eastAsia="zh-CN"/>
              </w:rPr>
              <w:t>评分内容：</w:t>
            </w:r>
          </w:p>
          <w:p w14:paraId="54ED320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投标企业通过：IOS质量管理体系认证、环境管理体系认证、职业健康安全管理体系认证。</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每提供一项证书得2分，以上证书全部提供得6分；（须提供清晰扫描件附于投标文件并加盖投标人的公章，否则不得分）</w:t>
            </w:r>
          </w:p>
          <w:p w14:paraId="0CF1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二、评分依据：</w:t>
            </w:r>
          </w:p>
          <w:p w14:paraId="292C8D4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投标人须提供清晰扫描件附于投标文件并加盖投标人的公章。</w:t>
            </w:r>
          </w:p>
        </w:tc>
      </w:tr>
      <w:tr w14:paraId="3121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noWrap w:val="0"/>
            <w:vAlign w:val="center"/>
          </w:tcPr>
          <w:p w14:paraId="1575DA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844" w:type="dxa"/>
            <w:noWrap w:val="0"/>
            <w:vAlign w:val="center"/>
          </w:tcPr>
          <w:p w14:paraId="6865C7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1110" w:type="dxa"/>
            <w:noWrap w:val="0"/>
            <w:vAlign w:val="center"/>
          </w:tcPr>
          <w:p w14:paraId="5322D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15</w:t>
            </w:r>
          </w:p>
        </w:tc>
        <w:tc>
          <w:tcPr>
            <w:tcW w:w="4745" w:type="dxa"/>
            <w:noWrap w:val="0"/>
            <w:vAlign w:val="center"/>
          </w:tcPr>
          <w:p w14:paraId="1021D45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5A8D86B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人近三年内（自2022年7月1日至投标截止日，以合同签订时间为准）承担过同类项目业绩（同类项目指清洗机、扫路机项目），以客户为单位，每提供1个服务客户单位业绩案例得3分，本项满分得15分，有效合同业绩需提供5项，超过5项的只取前5项。</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b/>
                <w:bCs/>
                <w:kern w:val="2"/>
                <w:sz w:val="24"/>
                <w:szCs w:val="24"/>
                <w:highlight w:val="none"/>
                <w:vertAlign w:val="baseline"/>
                <w:lang w:val="en-US" w:eastAsia="zh-CN" w:bidi="ar-SA"/>
              </w:rPr>
              <w:t>二、</w:t>
            </w:r>
            <w:r>
              <w:rPr>
                <w:rFonts w:hint="eastAsia" w:ascii="仿宋_GB2312" w:hAnsi="仿宋_GB2312" w:eastAsia="仿宋_GB2312" w:cs="仿宋_GB2312"/>
                <w:b/>
                <w:bCs/>
                <w:sz w:val="24"/>
                <w:szCs w:val="24"/>
                <w:highlight w:val="none"/>
                <w:vertAlign w:val="baseline"/>
                <w:lang w:val="en-US" w:eastAsia="zh-CN"/>
              </w:rPr>
              <w:t>评分依据：</w:t>
            </w:r>
          </w:p>
          <w:p w14:paraId="07B5C6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46DE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noWrap w:val="0"/>
            <w:vAlign w:val="center"/>
          </w:tcPr>
          <w:p w14:paraId="7CDC87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844" w:type="dxa"/>
            <w:noWrap w:val="0"/>
            <w:vAlign w:val="center"/>
          </w:tcPr>
          <w:p w14:paraId="628095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ascii="仿宋_GB2312" w:hAnsi="仿宋_GB2312" w:eastAsia="仿宋_GB2312" w:cs="仿宋_GB2312"/>
                <w:bCs/>
                <w:snapToGrid w:val="0"/>
                <w:color w:val="auto"/>
                <w:sz w:val="24"/>
                <w:highlight w:val="none"/>
              </w:rPr>
              <w:t>技术规格偏离情况</w:t>
            </w:r>
          </w:p>
        </w:tc>
        <w:tc>
          <w:tcPr>
            <w:tcW w:w="1110" w:type="dxa"/>
            <w:noWrap w:val="0"/>
            <w:vAlign w:val="center"/>
          </w:tcPr>
          <w:p w14:paraId="471AC0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4745" w:type="dxa"/>
            <w:noWrap w:val="0"/>
            <w:vAlign w:val="center"/>
          </w:tcPr>
          <w:p w14:paraId="3E02F807">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bCs/>
                <w:kern w:val="2"/>
                <w:sz w:val="24"/>
                <w:szCs w:val="24"/>
                <w:vertAlign w:val="baseline"/>
                <w:lang w:val="en-US" w:eastAsia="zh-CN" w:bidi="ar-SA"/>
              </w:rPr>
              <w:t>评分内容：</w:t>
            </w:r>
          </w:p>
          <w:p w14:paraId="4E179F8B">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名称：扫路机</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1.数量及单位：2台</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2.技术参数：</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w:t>
            </w: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（1）尺寸：车身宽度尺寸≥1米，且满足正常通行间距＜1.4m；</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（2）连续工作时间：≥6小时；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（3）充电时长：≤6小时；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（4）电池电量：≥10.24kwh</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（5）水箱容量：≥120L；</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（6）垃圾箱容量：≥180L；</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w:t>
            </w: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（7）四轮：实心轮胎*4</w:t>
            </w:r>
          </w:p>
          <w:p w14:paraId="4EE2C30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（8）提供第三方机构出具的具有CMA或CNAS标识检测报告；</w:t>
            </w:r>
          </w:p>
          <w:p w14:paraId="751981A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（9）具备《专用车生产企业》许可（提供国家工信部颁发的证明截图或复印件），或具有《专用车生产企业》许可生产企业授权证明文件。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（二）名称：清洗机</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1.数量及单位：2台</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2.技术参数：</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w:t>
            </w: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（1）尺寸：车身宽度尺寸≥1米，且满足正常通行间距＜1.4m；</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（2）连续工作时间：≥5小时；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（3）充电时长：≤6小时；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（4）配备长柄高压冲洗枪：≥15m；</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（5）蓄电池：60V/240AH 锂电池；</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 xml:space="preserve">    （6）水箱容积：≥700L；</w:t>
            </w:r>
          </w:p>
          <w:p w14:paraId="0968AA32">
            <w:pPr>
              <w:keepNext w:val="0"/>
              <w:keepLines w:val="0"/>
              <w:widowControl/>
              <w:numPr>
                <w:ilvl w:val="-1"/>
                <w:numId w:val="0"/>
              </w:numPr>
              <w:suppressLineNumbers w:val="0"/>
              <w:ind w:firstLine="480"/>
              <w:jc w:val="left"/>
              <w:rPr>
                <w:rFonts w:hint="eastAsia" w:ascii="仿宋_GB2312" w:hAnsi="仿宋_GB2312" w:eastAsia="仿宋_GB2312" w:cs="仿宋_GB2312"/>
                <w:sz w:val="24"/>
                <w:szCs w:val="24"/>
                <w:highlight w:val="none"/>
                <w:vertAlign w:val="baseline"/>
                <w:lang w:val="en-US" w:eastAsia="zh-CN"/>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（7）提供第三方机构出具的具有CMA或CNAS标识检测报告；</w:t>
            </w:r>
          </w:p>
          <w:p w14:paraId="653E5626">
            <w:pPr>
              <w:keepNext w:val="0"/>
              <w:keepLines w:val="0"/>
              <w:widowControl/>
              <w:numPr>
                <w:ilvl w:val="-1"/>
                <w:numId w:val="0"/>
              </w:numPr>
              <w:suppressLineNumbers w:val="0"/>
              <w:ind w:firstLine="480"/>
              <w:jc w:val="left"/>
              <w:rPr>
                <w:rFonts w:ascii="仿宋_GB2312" w:hAnsi="仿宋_GB2312" w:eastAsia="仿宋_GB2312" w:cs="仿宋_GB2312"/>
                <w:bCs/>
                <w:snapToGrid w:val="0"/>
                <w:color w:val="auto"/>
                <w:sz w:val="24"/>
                <w:highlight w:val="none"/>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（8）具备《专用车生产企业》许可（提供国家工信部颁发的证明截图或复印件），或具有《专用车生产企业》许可生产企业授权证明文件。</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b/>
                <w:bCs/>
                <w:kern w:val="2"/>
                <w:sz w:val="24"/>
                <w:szCs w:val="24"/>
                <w:highlight w:val="none"/>
                <w:vertAlign w:val="baseline"/>
                <w:lang w:val="en-US" w:eastAsia="zh-CN" w:bidi="ar-SA"/>
              </w:rPr>
              <w:t>二、评分依据：</w:t>
            </w:r>
          </w:p>
          <w:p w14:paraId="38653C6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rPr>
              <w:t>要求对项目具体技术要求进行逐条响应，评审委员会根据响应情况进行打分，一般参数每负偏离一项扣</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分，扣完为止，正偏离不加分</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lang w:val="en-US" w:eastAsia="zh-CN"/>
              </w:rPr>
              <w:t>带</w:t>
            </w: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bCs/>
                <w:snapToGrid w:val="0"/>
                <w:color w:val="auto"/>
                <w:sz w:val="24"/>
                <w:highlight w:val="none"/>
                <w:lang w:val="en-US" w:eastAsia="zh-CN"/>
              </w:rPr>
              <w:t>的为必须满足的偏离项，有一项不满足的得0分。</w:t>
            </w:r>
            <w:r>
              <w:rPr>
                <w:rFonts w:hint="eastAsia" w:ascii="仿宋_GB2312" w:hAnsi="仿宋_GB2312" w:eastAsia="仿宋_GB2312" w:cs="仿宋_GB2312"/>
                <w:bCs/>
                <w:snapToGrid w:val="0"/>
                <w:color w:val="auto"/>
                <w:sz w:val="24"/>
                <w:highlight w:val="none"/>
              </w:rPr>
              <w:t>各项要求全部满足的得</w:t>
            </w:r>
            <w:r>
              <w:rPr>
                <w:rFonts w:hint="eastAsia" w:ascii="仿宋_GB2312" w:hAnsi="仿宋_GB2312" w:eastAsia="仿宋_GB2312" w:cs="仿宋_GB2312"/>
                <w:bCs/>
                <w:snapToGrid w:val="0"/>
                <w:color w:val="auto"/>
                <w:sz w:val="24"/>
                <w:highlight w:val="none"/>
                <w:lang w:val="en-US" w:eastAsia="zh-CN"/>
              </w:rPr>
              <w:t>30</w:t>
            </w:r>
            <w:r>
              <w:rPr>
                <w:rFonts w:hint="eastAsia" w:ascii="仿宋_GB2312" w:hAnsi="仿宋_GB2312" w:eastAsia="仿宋_GB2312" w:cs="仿宋_GB2312"/>
                <w:bCs/>
                <w:snapToGrid w:val="0"/>
                <w:color w:val="auto"/>
                <w:sz w:val="24"/>
                <w:highlight w:val="none"/>
              </w:rPr>
              <w:t>分。</w:t>
            </w:r>
          </w:p>
        </w:tc>
      </w:tr>
      <w:tr w14:paraId="5449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16" w:type="dxa"/>
            <w:noWrap w:val="0"/>
            <w:vAlign w:val="center"/>
          </w:tcPr>
          <w:p w14:paraId="7D3BD2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844" w:type="dxa"/>
            <w:shd w:val="clear" w:color="auto" w:fill="auto"/>
            <w:noWrap w:val="0"/>
            <w:vAlign w:val="center"/>
          </w:tcPr>
          <w:p w14:paraId="027FE3E9">
            <w:pPr>
              <w:spacing w:line="400" w:lineRule="exact"/>
              <w:jc w:val="center"/>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rPr>
              <w:t>总体服务方案</w:t>
            </w:r>
          </w:p>
        </w:tc>
        <w:tc>
          <w:tcPr>
            <w:tcW w:w="1110" w:type="dxa"/>
            <w:noWrap w:val="0"/>
            <w:vAlign w:val="center"/>
          </w:tcPr>
          <w:p w14:paraId="20B3FD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4745" w:type="dxa"/>
            <w:noWrap w:val="0"/>
            <w:vAlign w:val="center"/>
          </w:tcPr>
          <w:p w14:paraId="2D6051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27F39301">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投标人针对本项目制订的项目实施方案包括但不限于：</w:t>
            </w:r>
          </w:p>
          <w:p w14:paraId="69E8C633">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lang w:val="en-US" w:eastAsia="zh-CN"/>
              </w:rPr>
              <w:t>一</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rPr>
              <w:t>供货</w:t>
            </w:r>
            <w:r>
              <w:rPr>
                <w:rFonts w:hint="eastAsia" w:ascii="仿宋_GB2312" w:hAnsi="仿宋_GB2312" w:eastAsia="仿宋_GB2312" w:cs="仿宋_GB2312"/>
                <w:bCs/>
                <w:snapToGrid w:val="0"/>
                <w:color w:val="auto"/>
                <w:sz w:val="24"/>
                <w:highlight w:val="none"/>
                <w:lang w:val="en-US" w:eastAsia="zh-CN"/>
              </w:rPr>
              <w:t>配送计划时间安排；</w:t>
            </w:r>
          </w:p>
          <w:p w14:paraId="6C27FFCC">
            <w:p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（二）配送及售后</w:t>
            </w:r>
            <w:r>
              <w:rPr>
                <w:rFonts w:hint="eastAsia" w:ascii="仿宋_GB2312" w:hAnsi="仿宋_GB2312" w:eastAsia="仿宋_GB2312" w:cs="仿宋_GB2312"/>
                <w:bCs/>
                <w:snapToGrid w:val="0"/>
                <w:color w:val="auto"/>
                <w:sz w:val="24"/>
                <w:highlight w:val="none"/>
              </w:rPr>
              <w:t>人员安排</w:t>
            </w:r>
            <w:r>
              <w:rPr>
                <w:rFonts w:hint="eastAsia" w:ascii="仿宋_GB2312" w:hAnsi="仿宋_GB2312" w:eastAsia="仿宋_GB2312" w:cs="仿宋_GB2312"/>
                <w:bCs/>
                <w:snapToGrid w:val="0"/>
                <w:color w:val="auto"/>
                <w:sz w:val="24"/>
                <w:highlight w:val="none"/>
                <w:lang w:eastAsia="zh-CN"/>
              </w:rPr>
              <w:t>；</w:t>
            </w:r>
          </w:p>
          <w:p w14:paraId="06D5FCF6">
            <w:pPr>
              <w:pStyle w:val="2"/>
              <w:ind w:firstLine="480" w:firstLineChars="200"/>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（三）供货安全及质量保障措施。</w:t>
            </w:r>
          </w:p>
          <w:p w14:paraId="128E3221">
            <w:pPr>
              <w:pStyle w:val="2"/>
              <w:ind w:firstLine="480" w:firstLineChars="200"/>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评分标准：</w:t>
            </w:r>
          </w:p>
          <w:p w14:paraId="3FE7CBC9">
            <w:pPr>
              <w:pStyle w:val="2"/>
              <w:numPr>
                <w:ilvl w:val="0"/>
                <w:numId w:val="0"/>
              </w:numPr>
              <w:ind w:firstLine="480" w:firstLineChars="200"/>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kern w:val="2"/>
                <w:sz w:val="24"/>
                <w:szCs w:val="24"/>
                <w:lang w:val="en-US" w:eastAsia="zh-CN" w:bidi="ar-SA"/>
              </w:rPr>
              <w:t>（一）</w:t>
            </w:r>
            <w:r>
              <w:rPr>
                <w:rFonts w:hint="eastAsia" w:ascii="仿宋_GB2312" w:hAnsi="仿宋_GB2312" w:eastAsia="仿宋_GB2312" w:cs="仿宋_GB2312"/>
                <w:bCs/>
                <w:snapToGrid w:val="0"/>
                <w:color w:val="auto"/>
                <w:sz w:val="24"/>
                <w:highlight w:val="none"/>
              </w:rPr>
              <w:t>投标文件响应内容全面；</w:t>
            </w:r>
          </w:p>
          <w:p w14:paraId="3ABA90B4">
            <w:pPr>
              <w:pStyle w:val="2"/>
              <w:numPr>
                <w:ilvl w:val="0"/>
                <w:numId w:val="0"/>
              </w:numPr>
              <w:ind w:firstLine="480" w:firstLineChars="200"/>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lang w:val="en-US" w:eastAsia="zh-CN"/>
              </w:rPr>
              <w:t>二</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rPr>
              <w:t>投标文件响应内容具体；</w:t>
            </w:r>
          </w:p>
          <w:p w14:paraId="702FDC0F">
            <w:pPr>
              <w:pStyle w:val="2"/>
              <w:numPr>
                <w:ilvl w:val="0"/>
                <w:numId w:val="0"/>
              </w:numPr>
              <w:ind w:firstLine="480" w:firstLineChars="200"/>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（三）</w:t>
            </w:r>
            <w:r>
              <w:rPr>
                <w:rFonts w:hint="eastAsia" w:ascii="仿宋_GB2312" w:hAnsi="仿宋_GB2312" w:eastAsia="仿宋_GB2312" w:cs="仿宋_GB2312"/>
                <w:bCs/>
                <w:snapToGrid w:val="0"/>
                <w:color w:val="auto"/>
                <w:sz w:val="24"/>
                <w:highlight w:val="none"/>
              </w:rPr>
              <w:t>投标文件响应内容针对性强</w:t>
            </w:r>
          </w:p>
          <w:p w14:paraId="0E342137">
            <w:pPr>
              <w:spacing w:line="400" w:lineRule="exact"/>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7304F9CB">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满足以上三项要求的评价为优，得1</w:t>
            </w:r>
            <w:r>
              <w:rPr>
                <w:rFonts w:hint="eastAsia" w:ascii="仿宋_GB2312" w:hAnsi="仿宋_GB2312" w:eastAsia="仿宋_GB2312" w:cs="仿宋_GB2312"/>
                <w:bCs/>
                <w:snapToGrid w:val="0"/>
                <w:color w:val="auto"/>
                <w:sz w:val="24"/>
                <w:highlight w:val="none"/>
                <w:lang w:val="en-US" w:eastAsia="zh-CN"/>
              </w:rPr>
              <w:t>4</w:t>
            </w:r>
            <w:r>
              <w:rPr>
                <w:rFonts w:hint="eastAsia" w:ascii="仿宋_GB2312" w:hAnsi="仿宋_GB2312" w:eastAsia="仿宋_GB2312" w:cs="仿宋_GB2312"/>
                <w:bCs/>
                <w:snapToGrid w:val="0"/>
                <w:color w:val="auto"/>
                <w:sz w:val="24"/>
                <w:highlight w:val="none"/>
              </w:rPr>
              <w:t>分。</w:t>
            </w:r>
          </w:p>
          <w:p w14:paraId="12FABA55">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满足以上二项要求的评价为良，得</w:t>
            </w:r>
            <w:r>
              <w:rPr>
                <w:rFonts w:hint="eastAsia" w:ascii="仿宋_GB2312" w:hAnsi="仿宋_GB2312" w:eastAsia="仿宋_GB2312" w:cs="仿宋_GB2312"/>
                <w:bCs/>
                <w:snapToGrid w:val="0"/>
                <w:color w:val="auto"/>
                <w:sz w:val="24"/>
                <w:highlight w:val="none"/>
                <w:lang w:val="en-US" w:eastAsia="zh-CN"/>
              </w:rPr>
              <w:t>10</w:t>
            </w:r>
            <w:r>
              <w:rPr>
                <w:rFonts w:hint="eastAsia" w:ascii="仿宋_GB2312" w:hAnsi="仿宋_GB2312" w:eastAsia="仿宋_GB2312" w:cs="仿宋_GB2312"/>
                <w:bCs/>
                <w:snapToGrid w:val="0"/>
                <w:color w:val="auto"/>
                <w:sz w:val="24"/>
                <w:highlight w:val="none"/>
              </w:rPr>
              <w:t>分。</w:t>
            </w:r>
          </w:p>
          <w:p w14:paraId="336D480C">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满足以上一项要求的评价为中，得</w:t>
            </w:r>
            <w:r>
              <w:rPr>
                <w:rFonts w:hint="eastAsia" w:ascii="仿宋_GB2312" w:hAnsi="仿宋_GB2312" w:eastAsia="仿宋_GB2312" w:cs="仿宋_GB2312"/>
                <w:bCs/>
                <w:snapToGrid w:val="0"/>
                <w:color w:val="auto"/>
                <w:sz w:val="24"/>
                <w:highlight w:val="none"/>
                <w:lang w:val="en-US" w:eastAsia="zh-CN"/>
              </w:rPr>
              <w:t>6</w:t>
            </w:r>
            <w:r>
              <w:rPr>
                <w:rFonts w:hint="eastAsia" w:ascii="仿宋_GB2312" w:hAnsi="仿宋_GB2312" w:eastAsia="仿宋_GB2312" w:cs="仿宋_GB2312"/>
                <w:bCs/>
                <w:snapToGrid w:val="0"/>
                <w:color w:val="auto"/>
                <w:sz w:val="24"/>
                <w:highlight w:val="none"/>
              </w:rPr>
              <w:t>分。</w:t>
            </w:r>
          </w:p>
          <w:p w14:paraId="51360D43">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rPr>
              <w:t>其它情况的评价为差，不得分。</w:t>
            </w:r>
          </w:p>
        </w:tc>
      </w:tr>
      <w:tr w14:paraId="37AD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noWrap w:val="0"/>
            <w:vAlign w:val="center"/>
          </w:tcPr>
          <w:p w14:paraId="7B502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2844" w:type="dxa"/>
            <w:noWrap w:val="0"/>
            <w:vAlign w:val="center"/>
          </w:tcPr>
          <w:p w14:paraId="28DB9D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lang w:val="en-US" w:eastAsia="zh-CN"/>
              </w:rPr>
              <w:t>质保服务承诺</w:t>
            </w:r>
          </w:p>
        </w:tc>
        <w:tc>
          <w:tcPr>
            <w:tcW w:w="1110" w:type="dxa"/>
            <w:noWrap w:val="0"/>
            <w:vAlign w:val="center"/>
          </w:tcPr>
          <w:p w14:paraId="161A8E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4745" w:type="dxa"/>
            <w:noWrap w:val="0"/>
            <w:vAlign w:val="center"/>
          </w:tcPr>
          <w:p w14:paraId="6FC76B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60DBB99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投标人针对采购车辆提供质保服务的包括但不限于：质保期在一年的基础上，每延长6个月，加3分，最高6分。</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
                <w:bCs/>
                <w:kern w:val="2"/>
                <w:sz w:val="24"/>
                <w:szCs w:val="24"/>
                <w:vertAlign w:val="baseline"/>
                <w:lang w:val="en-US" w:eastAsia="zh-CN" w:bidi="ar-SA"/>
              </w:rPr>
              <w:t>二、评分依据：</w:t>
            </w:r>
          </w:p>
          <w:p w14:paraId="5867004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default" w:ascii="仿宋" w:hAnsi="仿宋" w:eastAsia="仿宋" w:cs="仿宋"/>
                <w:sz w:val="24"/>
                <w:szCs w:val="24"/>
                <w:highlight w:val="none"/>
                <w:vertAlign w:val="baseline"/>
                <w:lang w:val="en-US" w:eastAsia="zh-CN"/>
              </w:rPr>
            </w:pPr>
            <w:r>
              <w:rPr>
                <w:rFonts w:hint="eastAsia" w:ascii="仿宋_GB2312" w:hAnsi="仿宋_GB2312" w:eastAsia="仿宋_GB2312" w:cs="仿宋_GB2312"/>
                <w:kern w:val="2"/>
                <w:sz w:val="24"/>
                <w:szCs w:val="24"/>
                <w:highlight w:val="none"/>
                <w:vertAlign w:val="baseline"/>
                <w:lang w:val="en-US" w:eastAsia="zh-CN" w:bidi="ar-SA"/>
              </w:rPr>
              <w:t>格式自拟。</w:t>
            </w:r>
          </w:p>
        </w:tc>
      </w:tr>
      <w:tr w14:paraId="18B9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noWrap w:val="0"/>
            <w:vAlign w:val="center"/>
          </w:tcPr>
          <w:p w14:paraId="4273A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2844" w:type="dxa"/>
            <w:noWrap w:val="0"/>
            <w:vAlign w:val="center"/>
          </w:tcPr>
          <w:p w14:paraId="61BB55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rPr>
              <w:t>售后服务方案</w:t>
            </w:r>
          </w:p>
        </w:tc>
        <w:tc>
          <w:tcPr>
            <w:tcW w:w="1110" w:type="dxa"/>
            <w:noWrap w:val="0"/>
            <w:vAlign w:val="center"/>
          </w:tcPr>
          <w:p w14:paraId="14FCFA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4745" w:type="dxa"/>
            <w:shd w:val="clear" w:color="auto" w:fill="auto"/>
            <w:noWrap w:val="0"/>
            <w:vAlign w:val="center"/>
          </w:tcPr>
          <w:p w14:paraId="666BC8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0C236AF6">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在保修期内，车辆提供一对一服务，根据各投标人响应便利性，是否方便为采购人提供突发事件、应急处理、项目实施情况等优质服务，对各投标人进行评审：</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（一）售后服务介绍；</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（二）提供常用易损件报价表，并承诺在质保期外以不超过列表内价格为招标人提供易损件；</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w:t>
            </w:r>
            <w:r>
              <w:rPr>
                <w:rFonts w:hint="eastAsia" w:ascii="仿宋_GB2312" w:hAnsi="仿宋_GB2312" w:eastAsia="仿宋_GB2312" w:cs="仿宋_GB2312"/>
                <w:sz w:val="24"/>
                <w:szCs w:val="24"/>
                <w:highlight w:val="none"/>
                <w:vertAlign w:val="baseline"/>
                <w:lang w:val="en-US" w:eastAsia="zh-CN"/>
              </w:rPr>
              <w:t>（三）整车免费保养≥1次；</w:t>
            </w:r>
          </w:p>
          <w:p w14:paraId="36FA50A1">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评分标准：</w:t>
            </w:r>
          </w:p>
          <w:p w14:paraId="0C4E5342">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（一）投标文件响应内容全面；</w:t>
            </w:r>
          </w:p>
          <w:p w14:paraId="21CF66C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（二）投标文件响应内容具体；</w:t>
            </w:r>
          </w:p>
          <w:p w14:paraId="051DB9A7">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（三）投标文件响应内容针对性强</w:t>
            </w:r>
          </w:p>
          <w:p w14:paraId="0C90F017">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51A8D396">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满足以上三项要求的评价为优，得14分。</w:t>
            </w:r>
          </w:p>
          <w:p w14:paraId="254DA161">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满足以上二项要求的评价为良，得10分。</w:t>
            </w:r>
          </w:p>
          <w:p w14:paraId="0141A8DF">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满足以上一项要求的评价为中，得6分。</w:t>
            </w:r>
          </w:p>
          <w:p w14:paraId="679418C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其它情况的评价为差，不得分。</w:t>
            </w:r>
          </w:p>
        </w:tc>
      </w:tr>
      <w:tr w14:paraId="66FE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noWrap w:val="0"/>
            <w:vAlign w:val="center"/>
          </w:tcPr>
          <w:p w14:paraId="03E5F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2844" w:type="dxa"/>
            <w:shd w:val="clear" w:color="auto" w:fill="auto"/>
            <w:noWrap w:val="0"/>
            <w:vAlign w:val="center"/>
          </w:tcPr>
          <w:p w14:paraId="29D30F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_GB2312"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rPr>
              <w:t>售后服务</w:t>
            </w:r>
            <w:r>
              <w:rPr>
                <w:rFonts w:hint="eastAsia" w:ascii="仿宋_GB2312" w:hAnsi="仿宋_GB2312" w:eastAsia="仿宋_GB2312" w:cs="仿宋_GB2312"/>
                <w:bCs/>
                <w:snapToGrid w:val="0"/>
                <w:color w:val="auto"/>
                <w:sz w:val="24"/>
                <w:highlight w:val="none"/>
                <w:lang w:val="en-US" w:eastAsia="zh-CN"/>
              </w:rPr>
              <w:t>承诺</w:t>
            </w:r>
          </w:p>
        </w:tc>
        <w:tc>
          <w:tcPr>
            <w:tcW w:w="1110" w:type="dxa"/>
            <w:shd w:val="clear" w:color="auto" w:fill="auto"/>
            <w:noWrap w:val="0"/>
            <w:vAlign w:val="center"/>
          </w:tcPr>
          <w:p w14:paraId="30247F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10</w:t>
            </w:r>
          </w:p>
        </w:tc>
        <w:tc>
          <w:tcPr>
            <w:tcW w:w="4745" w:type="dxa"/>
            <w:shd w:val="clear" w:color="auto" w:fill="auto"/>
            <w:noWrap w:val="0"/>
            <w:vAlign w:val="center"/>
          </w:tcPr>
          <w:p w14:paraId="2C6B11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669050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在质保期内，对车辆使用质量问题或售后服务中承诺做到；</w:t>
            </w:r>
          </w:p>
          <w:p w14:paraId="15B44C2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（一）1小时响应，2小时到达现场，12小时进行维修或更换，得10分：</w:t>
            </w:r>
          </w:p>
          <w:p w14:paraId="10ABEAF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（二）2小时响应，4小时到达现场，24小时进行维修或更换，得6分；</w:t>
            </w:r>
          </w:p>
          <w:p w14:paraId="44C9956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（三）3小时响应，6小时到达现场，36小时进行维修或更换，得4分；</w:t>
            </w:r>
          </w:p>
          <w:p w14:paraId="5625073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不可累计得分，本项最高得10分</w:t>
            </w:r>
          </w:p>
          <w:p w14:paraId="57CB5EC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61F8FC1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格式自拟。</w:t>
            </w:r>
          </w:p>
        </w:tc>
      </w:tr>
      <w:tr w14:paraId="5F27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shd w:val="clear" w:color="auto" w:fill="auto"/>
            <w:noWrap w:val="0"/>
            <w:vAlign w:val="center"/>
          </w:tcPr>
          <w:p w14:paraId="3A58A9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8</w:t>
            </w:r>
          </w:p>
        </w:tc>
        <w:tc>
          <w:tcPr>
            <w:tcW w:w="2844" w:type="dxa"/>
            <w:shd w:val="clear" w:color="auto" w:fill="auto"/>
            <w:noWrap w:val="0"/>
            <w:vAlign w:val="center"/>
          </w:tcPr>
          <w:p w14:paraId="45215C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rPr>
              <w:t>企业类型</w:t>
            </w:r>
          </w:p>
        </w:tc>
        <w:tc>
          <w:tcPr>
            <w:tcW w:w="1110" w:type="dxa"/>
            <w:shd w:val="clear" w:color="auto" w:fill="auto"/>
            <w:noWrap w:val="0"/>
            <w:vAlign w:val="center"/>
          </w:tcPr>
          <w:p w14:paraId="6426AB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5</w:t>
            </w:r>
          </w:p>
        </w:tc>
        <w:tc>
          <w:tcPr>
            <w:tcW w:w="4745" w:type="dxa"/>
            <w:shd w:val="clear" w:color="auto" w:fill="auto"/>
            <w:noWrap w:val="0"/>
            <w:vAlign w:val="center"/>
          </w:tcPr>
          <w:p w14:paraId="74ADCD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6628A040">
            <w:pPr>
              <w:spacing w:line="400" w:lineRule="exact"/>
              <w:ind w:left="479" w:leftChars="228" w:firstLine="0" w:firstLineChars="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企业为生产制造商的</w:t>
            </w:r>
            <w:r>
              <w:rPr>
                <w:rFonts w:hint="eastAsia" w:ascii="仿宋_GB2312" w:hAnsi="仿宋_GB2312" w:eastAsia="仿宋_GB2312" w:cs="仿宋_GB2312"/>
                <w:bCs/>
                <w:snapToGrid w:val="0"/>
                <w:color w:val="auto"/>
                <w:sz w:val="24"/>
                <w:highlight w:val="none"/>
              </w:rPr>
              <w:t>，得5分</w:t>
            </w:r>
            <w:r>
              <w:rPr>
                <w:rFonts w:hint="eastAsia" w:ascii="仿宋_GB2312" w:hAnsi="仿宋_GB2312" w:eastAsia="仿宋_GB2312" w:cs="仿宋_GB2312"/>
                <w:bCs/>
                <w:snapToGrid w:val="0"/>
                <w:color w:val="auto"/>
                <w:sz w:val="24"/>
                <w:highlight w:val="none"/>
                <w:lang w:eastAsia="zh-CN"/>
              </w:rPr>
              <w:t>；</w:t>
            </w:r>
          </w:p>
          <w:p w14:paraId="7DD73E9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企业为代理经销商的，得2分。</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
                <w:bCs/>
                <w:kern w:val="2"/>
                <w:sz w:val="24"/>
                <w:szCs w:val="24"/>
                <w:vertAlign w:val="baseline"/>
                <w:lang w:val="en-US" w:eastAsia="zh-CN" w:bidi="ar-SA"/>
              </w:rPr>
              <w:t>二、评分依据：</w:t>
            </w:r>
          </w:p>
          <w:p w14:paraId="2F7446B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投标人须提供证明文件附于投标文件并加盖投标人的公章。</w:t>
            </w:r>
          </w:p>
        </w:tc>
      </w:tr>
    </w:tbl>
    <w:p w14:paraId="50060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8EBB8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08A613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798C50BB">
      <w:pPr>
        <w:pStyle w:val="9"/>
        <w:ind w:left="0" w:leftChars="0" w:firstLine="0" w:firstLineChars="0"/>
        <w:rPr>
          <w:rFonts w:hint="eastAsia" w:ascii="仿宋_GB2312" w:hAnsi="仿宋_GB2312" w:eastAsia="仿宋_GB2312" w:cs="仿宋_GB2312"/>
          <w:sz w:val="32"/>
          <w:szCs w:val="32"/>
          <w:highlight w:val="none"/>
          <w:lang w:val="en-US" w:eastAsia="zh-CN"/>
        </w:rPr>
      </w:pPr>
    </w:p>
    <w:p w14:paraId="3A2211B3">
      <w:pPr>
        <w:rPr>
          <w:rFonts w:hint="eastAsia"/>
          <w:lang w:val="en-US" w:eastAsia="zh-CN"/>
        </w:rPr>
      </w:pPr>
    </w:p>
    <w:p w14:paraId="4A6733C5">
      <w:pPr>
        <w:rPr>
          <w:rFonts w:hint="eastAsia"/>
          <w:lang w:val="en-US" w:eastAsia="zh-CN"/>
        </w:rPr>
      </w:pPr>
    </w:p>
    <w:p w14:paraId="42F2F1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▲（二）其他要求</w:t>
      </w:r>
    </w:p>
    <w:tbl>
      <w:tblPr>
        <w:tblStyle w:val="1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7654"/>
      </w:tblGrid>
      <w:tr w14:paraId="1ADD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0"/>
            <w:vAlign w:val="center"/>
          </w:tcPr>
          <w:p w14:paraId="4ADB3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701" w:type="dxa"/>
            <w:noWrap w:val="0"/>
            <w:vAlign w:val="center"/>
          </w:tcPr>
          <w:p w14:paraId="20B12B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项目</w:t>
            </w:r>
          </w:p>
        </w:tc>
        <w:tc>
          <w:tcPr>
            <w:tcW w:w="7654" w:type="dxa"/>
            <w:noWrap w:val="0"/>
            <w:vAlign w:val="center"/>
          </w:tcPr>
          <w:p w14:paraId="09D9C9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具体</w:t>
            </w:r>
            <w:r>
              <w:rPr>
                <w:rFonts w:hint="eastAsia" w:ascii="仿宋" w:hAnsi="仿宋" w:eastAsia="仿宋" w:cs="仿宋"/>
                <w:b/>
                <w:sz w:val="28"/>
                <w:szCs w:val="28"/>
                <w:highlight w:val="none"/>
              </w:rPr>
              <w:t>需求</w:t>
            </w:r>
          </w:p>
        </w:tc>
      </w:tr>
      <w:tr w14:paraId="717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850" w:type="dxa"/>
            <w:noWrap w:val="0"/>
            <w:vAlign w:val="center"/>
          </w:tcPr>
          <w:p w14:paraId="60D4D9C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w:t>
            </w:r>
          </w:p>
        </w:tc>
        <w:tc>
          <w:tcPr>
            <w:tcW w:w="1701" w:type="dxa"/>
            <w:vMerge w:val="restart"/>
            <w:noWrap w:val="0"/>
            <w:vAlign w:val="center"/>
          </w:tcPr>
          <w:p w14:paraId="01BE12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售后要求</w:t>
            </w:r>
          </w:p>
        </w:tc>
        <w:tc>
          <w:tcPr>
            <w:tcW w:w="7654" w:type="dxa"/>
            <w:noWrap w:val="0"/>
            <w:vAlign w:val="center"/>
          </w:tcPr>
          <w:p w14:paraId="173E1B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lang w:val="en-US" w:eastAsia="zh-CN"/>
              </w:rPr>
              <w:t>▲整车质保期不少于1年（如投标人有增加质保期的以投标人承诺为准）。时间自最终验收合格并交付使用之日起计算。在质保期内免费解决非人为造成的质量问题，并按照国家相关法律承担三包责任。整车免费首保。</w:t>
            </w:r>
          </w:p>
        </w:tc>
      </w:tr>
      <w:tr w14:paraId="302A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14:paraId="744ECB8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w:t>
            </w:r>
          </w:p>
        </w:tc>
        <w:tc>
          <w:tcPr>
            <w:tcW w:w="1701" w:type="dxa"/>
            <w:vMerge w:val="continue"/>
            <w:noWrap w:val="0"/>
            <w:vAlign w:val="center"/>
          </w:tcPr>
          <w:p w14:paraId="475CD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p>
        </w:tc>
        <w:tc>
          <w:tcPr>
            <w:tcW w:w="7654" w:type="dxa"/>
            <w:noWrap w:val="0"/>
            <w:vAlign w:val="center"/>
          </w:tcPr>
          <w:p w14:paraId="1EF4A0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整车免费保养至少1次（如投标人有增加免费保养的以投标人承诺为准）。</w:t>
            </w:r>
          </w:p>
        </w:tc>
      </w:tr>
      <w:tr w14:paraId="5818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50" w:type="dxa"/>
            <w:noWrap w:val="0"/>
            <w:vAlign w:val="center"/>
          </w:tcPr>
          <w:p w14:paraId="090C47F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w:t>
            </w:r>
          </w:p>
        </w:tc>
        <w:tc>
          <w:tcPr>
            <w:tcW w:w="1701" w:type="dxa"/>
            <w:vMerge w:val="continue"/>
            <w:noWrap w:val="0"/>
            <w:vAlign w:val="center"/>
          </w:tcPr>
          <w:p w14:paraId="547E3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p>
        </w:tc>
        <w:tc>
          <w:tcPr>
            <w:tcW w:w="7654" w:type="dxa"/>
            <w:noWrap w:val="0"/>
            <w:vAlign w:val="center"/>
          </w:tcPr>
          <w:p w14:paraId="188E84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在保修期内，车辆提供一对一的服务，对车辆使用质量问题或技术咨询，2小时响应，4小时到达现场，投标人保证在接到通知24小时内进行修理或更换，</w:t>
            </w:r>
            <w:r>
              <w:rPr>
                <w:rFonts w:hint="eastAsia" w:ascii="仿宋_GB2312" w:hAnsi="仿宋_GB2312" w:eastAsia="仿宋_GB2312" w:cs="仿宋_GB2312"/>
                <w:bCs/>
                <w:sz w:val="24"/>
                <w:szCs w:val="24"/>
              </w:rPr>
              <w:t>投标人保证在接到通知24小时内进行修理或更换</w:t>
            </w:r>
            <w:r>
              <w:rPr>
                <w:rFonts w:hint="eastAsia" w:ascii="仿宋_GB2312" w:hAnsi="仿宋_GB2312" w:eastAsia="仿宋_GB2312" w:cs="仿宋_GB2312"/>
                <w:bCs/>
                <w:sz w:val="24"/>
                <w:szCs w:val="24"/>
                <w:lang w:val="en-US" w:eastAsia="zh-CN"/>
              </w:rPr>
              <w:t>。</w:t>
            </w:r>
          </w:p>
        </w:tc>
      </w:tr>
      <w:tr w14:paraId="5A4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50" w:type="dxa"/>
            <w:noWrap w:val="0"/>
            <w:vAlign w:val="center"/>
          </w:tcPr>
          <w:p w14:paraId="49BA632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w:t>
            </w:r>
          </w:p>
        </w:tc>
        <w:tc>
          <w:tcPr>
            <w:tcW w:w="1701" w:type="dxa"/>
            <w:vMerge w:val="continue"/>
            <w:noWrap w:val="0"/>
            <w:vAlign w:val="center"/>
          </w:tcPr>
          <w:p w14:paraId="2E493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p>
        </w:tc>
        <w:tc>
          <w:tcPr>
            <w:tcW w:w="7654" w:type="dxa"/>
            <w:noWrap w:val="0"/>
            <w:vAlign w:val="center"/>
          </w:tcPr>
          <w:p w14:paraId="2ACDC1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提供常用易损件报价表，并承诺在质保期外以不超过列表内价格为招标人提供易损件。</w:t>
            </w:r>
          </w:p>
        </w:tc>
      </w:tr>
      <w:tr w14:paraId="703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0" w:type="dxa"/>
            <w:noWrap w:val="0"/>
            <w:vAlign w:val="center"/>
          </w:tcPr>
          <w:p w14:paraId="61C372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c>
          <w:tcPr>
            <w:tcW w:w="1701" w:type="dxa"/>
            <w:vMerge w:val="continue"/>
            <w:noWrap w:val="0"/>
            <w:vAlign w:val="center"/>
          </w:tcPr>
          <w:p w14:paraId="20029C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p>
        </w:tc>
        <w:tc>
          <w:tcPr>
            <w:tcW w:w="7654" w:type="dxa"/>
            <w:noWrap w:val="0"/>
            <w:vAlign w:val="center"/>
          </w:tcPr>
          <w:p w14:paraId="677770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车辆厂家负责首年全额保险（三者险不低于150万元）。并保证保险理赔正常履约。</w:t>
            </w:r>
          </w:p>
        </w:tc>
      </w:tr>
      <w:tr w14:paraId="3F65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0" w:type="dxa"/>
            <w:noWrap w:val="0"/>
            <w:vAlign w:val="center"/>
          </w:tcPr>
          <w:p w14:paraId="4646F1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w:t>
            </w:r>
          </w:p>
        </w:tc>
        <w:tc>
          <w:tcPr>
            <w:tcW w:w="1701" w:type="dxa"/>
            <w:vMerge w:val="restart"/>
            <w:noWrap w:val="0"/>
            <w:vAlign w:val="center"/>
          </w:tcPr>
          <w:p w14:paraId="7A790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交货要求</w:t>
            </w:r>
          </w:p>
        </w:tc>
        <w:tc>
          <w:tcPr>
            <w:tcW w:w="7654" w:type="dxa"/>
            <w:noWrap w:val="0"/>
            <w:vAlign w:val="top"/>
          </w:tcPr>
          <w:p w14:paraId="7E2D79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▲签订合同后20（日历日）内完成交货。交付的车辆均为交付前6个月内生产。</w:t>
            </w:r>
          </w:p>
        </w:tc>
      </w:tr>
      <w:tr w14:paraId="155B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0" w:type="dxa"/>
            <w:noWrap w:val="0"/>
            <w:vAlign w:val="center"/>
          </w:tcPr>
          <w:p w14:paraId="6C133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w:t>
            </w:r>
          </w:p>
        </w:tc>
        <w:tc>
          <w:tcPr>
            <w:tcW w:w="1701" w:type="dxa"/>
            <w:vMerge w:val="continue"/>
            <w:noWrap w:val="0"/>
            <w:vAlign w:val="center"/>
          </w:tcPr>
          <w:p w14:paraId="1B90D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p>
        </w:tc>
        <w:tc>
          <w:tcPr>
            <w:tcW w:w="7654" w:type="dxa"/>
            <w:noWrap w:val="0"/>
            <w:vAlign w:val="top"/>
          </w:tcPr>
          <w:p w14:paraId="7B3C4A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投标人必须承担的设备运输、安装调试、验收检测和提供设备操作说明书、图纸等其他类似的义务</w:t>
            </w:r>
          </w:p>
        </w:tc>
      </w:tr>
      <w:tr w14:paraId="2071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0" w:type="dxa"/>
            <w:noWrap w:val="0"/>
            <w:vAlign w:val="center"/>
          </w:tcPr>
          <w:p w14:paraId="251F9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w:t>
            </w:r>
          </w:p>
        </w:tc>
        <w:tc>
          <w:tcPr>
            <w:tcW w:w="1701" w:type="dxa"/>
            <w:vMerge w:val="restart"/>
            <w:noWrap w:val="0"/>
            <w:vAlign w:val="center"/>
          </w:tcPr>
          <w:p w14:paraId="7C4C03E7">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sz w:val="24"/>
                <w:szCs w:val="24"/>
              </w:rPr>
              <w:t>关于验收</w:t>
            </w:r>
          </w:p>
        </w:tc>
        <w:tc>
          <w:tcPr>
            <w:tcW w:w="7654" w:type="dxa"/>
            <w:noWrap w:val="0"/>
            <w:vAlign w:val="center"/>
          </w:tcPr>
          <w:p w14:paraId="029B2AF7">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投标人货物经过双方检验认可后，签署验收报告，产品保修期自验收合格之日起算，由投标人提供产品保修文件。</w:t>
            </w:r>
            <w:r>
              <w:rPr>
                <w:rFonts w:hint="eastAsia" w:ascii="仿宋_GB2312" w:hAnsi="仿宋_GB2312" w:eastAsia="仿宋_GB2312" w:cs="仿宋_GB2312"/>
                <w:bCs/>
                <w:sz w:val="24"/>
                <w:szCs w:val="24"/>
                <w:lang w:val="en-US" w:eastAsia="zh-CN"/>
              </w:rPr>
              <w:t>验收地点：接车验收在采购方交货地点，最终验收完成。</w:t>
            </w:r>
          </w:p>
        </w:tc>
      </w:tr>
      <w:tr w14:paraId="476E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50" w:type="dxa"/>
            <w:noWrap w:val="0"/>
            <w:vAlign w:val="center"/>
          </w:tcPr>
          <w:p w14:paraId="4E6DA1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w:t>
            </w:r>
          </w:p>
        </w:tc>
        <w:tc>
          <w:tcPr>
            <w:tcW w:w="1701" w:type="dxa"/>
            <w:vMerge w:val="continue"/>
            <w:noWrap w:val="0"/>
            <w:vAlign w:val="top"/>
          </w:tcPr>
          <w:p w14:paraId="18F4CDE1">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sz w:val="24"/>
                <w:szCs w:val="24"/>
                <w:highlight w:val="none"/>
                <w:lang w:val="en-US" w:eastAsia="zh-CN"/>
              </w:rPr>
            </w:pPr>
          </w:p>
        </w:tc>
        <w:tc>
          <w:tcPr>
            <w:tcW w:w="7654" w:type="dxa"/>
            <w:noWrap w:val="0"/>
            <w:vAlign w:val="center"/>
          </w:tcPr>
          <w:p w14:paraId="417BCB73">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当满足以下条件时，采购人才向中标人签发货物验收报告：</w:t>
            </w:r>
          </w:p>
          <w:p w14:paraId="7D7B8EC7">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a、中标人已按照合同规定提供了全部产品及完整的技术资料。</w:t>
            </w:r>
          </w:p>
          <w:p w14:paraId="28426A3A">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b、货物符合招标文件技术规格书的要求，性能满足要求。</w:t>
            </w:r>
          </w:p>
          <w:p w14:paraId="15703EEC">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c、货物具备产品合格证。</w:t>
            </w:r>
          </w:p>
          <w:p w14:paraId="640693FE">
            <w:pPr>
              <w:keepNext w:val="0"/>
              <w:keepLines w:val="0"/>
              <w:suppressLineNumbers w:val="0"/>
              <w:spacing w:before="0" w:beforeAutospacing="0" w:after="0" w:afterAutospacing="0" w:line="340" w:lineRule="exact"/>
              <w:ind w:left="0" w:leftChars="0" w:right="0" w:rightChars="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d、完成保险购买和深圳车牌办理。</w:t>
            </w:r>
          </w:p>
        </w:tc>
      </w:tr>
      <w:tr w14:paraId="5EDE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50" w:type="dxa"/>
            <w:noWrap w:val="0"/>
            <w:vAlign w:val="center"/>
          </w:tcPr>
          <w:p w14:paraId="180B4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w:t>
            </w:r>
          </w:p>
        </w:tc>
        <w:tc>
          <w:tcPr>
            <w:tcW w:w="1701" w:type="dxa"/>
            <w:vMerge w:val="restart"/>
            <w:noWrap w:val="0"/>
            <w:vAlign w:val="center"/>
          </w:tcPr>
          <w:p w14:paraId="56941B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违约责任</w:t>
            </w:r>
          </w:p>
        </w:tc>
        <w:tc>
          <w:tcPr>
            <w:tcW w:w="7654" w:type="dxa"/>
            <w:noWrap w:val="0"/>
            <w:vAlign w:val="top"/>
          </w:tcPr>
          <w:p w14:paraId="004F2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如中标人未按照投标文件中承诺的时间交货或提供服务，中标人应承担延期交货和延期服务的违约责任，并赔偿采购人因此造成的实际经济损失，采购人有权终止合同。</w:t>
            </w:r>
          </w:p>
        </w:tc>
      </w:tr>
      <w:tr w14:paraId="4751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0" w:type="dxa"/>
            <w:noWrap w:val="0"/>
            <w:vAlign w:val="center"/>
          </w:tcPr>
          <w:p w14:paraId="6BBF8F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1701" w:type="dxa"/>
            <w:vMerge w:val="continue"/>
            <w:noWrap w:val="0"/>
            <w:vAlign w:val="top"/>
          </w:tcPr>
          <w:p w14:paraId="123567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Cs/>
                <w:sz w:val="24"/>
                <w:szCs w:val="24"/>
                <w:highlight w:val="none"/>
              </w:rPr>
            </w:pPr>
          </w:p>
        </w:tc>
        <w:tc>
          <w:tcPr>
            <w:tcW w:w="7654" w:type="dxa"/>
            <w:noWrap w:val="0"/>
            <w:vAlign w:val="top"/>
          </w:tcPr>
          <w:p w14:paraId="494224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标人所交设备的品种、型号、规格、质量、功能、技术参数等方面不能实质性满足遴选文件要求的，采购人有权拒绝收货，中标人向采购人偿付项目采购金额【20】%的违约金；造成严重后果的，根据《深圳经济特区政府采购条例》第五十七条第（二）款规定，由主管部门对中标人进行处罚。</w:t>
            </w:r>
          </w:p>
        </w:tc>
      </w:tr>
      <w:tr w14:paraId="6FAA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0" w:type="dxa"/>
            <w:noWrap w:val="0"/>
            <w:vAlign w:val="center"/>
          </w:tcPr>
          <w:p w14:paraId="7432D8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w:t>
            </w:r>
          </w:p>
        </w:tc>
        <w:tc>
          <w:tcPr>
            <w:tcW w:w="1701" w:type="dxa"/>
            <w:vMerge w:val="continue"/>
            <w:noWrap w:val="0"/>
            <w:vAlign w:val="top"/>
          </w:tcPr>
          <w:p w14:paraId="5B071B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Cs/>
                <w:sz w:val="24"/>
                <w:szCs w:val="24"/>
                <w:highlight w:val="none"/>
              </w:rPr>
            </w:pPr>
          </w:p>
        </w:tc>
        <w:tc>
          <w:tcPr>
            <w:tcW w:w="7654" w:type="dxa"/>
            <w:noWrap w:val="0"/>
            <w:vAlign w:val="top"/>
          </w:tcPr>
          <w:p w14:paraId="0BF31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中标人不能交付设备的，中标人向采购人偿付项目采购金额【20】%的违约金并按主管部门相关规定处理。</w:t>
            </w:r>
          </w:p>
        </w:tc>
      </w:tr>
      <w:tr w14:paraId="42A8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0" w:type="dxa"/>
            <w:noWrap w:val="0"/>
            <w:vAlign w:val="center"/>
          </w:tcPr>
          <w:p w14:paraId="768F14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w:t>
            </w:r>
          </w:p>
        </w:tc>
        <w:tc>
          <w:tcPr>
            <w:tcW w:w="1701" w:type="dxa"/>
            <w:vMerge w:val="continue"/>
            <w:noWrap w:val="0"/>
            <w:vAlign w:val="top"/>
          </w:tcPr>
          <w:p w14:paraId="39F33D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Cs/>
                <w:sz w:val="24"/>
                <w:szCs w:val="24"/>
                <w:highlight w:val="none"/>
              </w:rPr>
            </w:pPr>
          </w:p>
        </w:tc>
        <w:tc>
          <w:tcPr>
            <w:tcW w:w="7654" w:type="dxa"/>
            <w:noWrap w:val="0"/>
            <w:vAlign w:val="top"/>
          </w:tcPr>
          <w:p w14:paraId="7A61D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中标人逾期交付货物的，每逾期1天，中标人向采购人偿付逾期交货部分货款总额的【1】‰的滞纳金。如中标人逾期交货达 20 天，采购人有权解除合同。</w:t>
            </w:r>
          </w:p>
        </w:tc>
      </w:tr>
      <w:tr w14:paraId="171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0" w:type="dxa"/>
            <w:noWrap w:val="0"/>
            <w:vAlign w:val="center"/>
          </w:tcPr>
          <w:p w14:paraId="49A2C8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w:t>
            </w:r>
          </w:p>
        </w:tc>
        <w:tc>
          <w:tcPr>
            <w:tcW w:w="1701" w:type="dxa"/>
            <w:vMerge w:val="continue"/>
            <w:noWrap w:val="0"/>
            <w:vAlign w:val="top"/>
          </w:tcPr>
          <w:p w14:paraId="2DD38C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Cs/>
                <w:sz w:val="24"/>
                <w:szCs w:val="24"/>
                <w:highlight w:val="none"/>
              </w:rPr>
            </w:pPr>
          </w:p>
        </w:tc>
        <w:tc>
          <w:tcPr>
            <w:tcW w:w="7654" w:type="dxa"/>
            <w:noWrap w:val="0"/>
            <w:vAlign w:val="top"/>
          </w:tcPr>
          <w:p w14:paraId="4CEA57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14:paraId="2200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0" w:type="dxa"/>
            <w:noWrap w:val="0"/>
            <w:vAlign w:val="center"/>
          </w:tcPr>
          <w:p w14:paraId="3C61FA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Cs/>
                <w:sz w:val="24"/>
                <w:szCs w:val="24"/>
                <w:lang w:val="en-US" w:eastAsia="zh-CN"/>
              </w:rPr>
            </w:pPr>
            <w:r>
              <w:rPr>
                <w:rFonts w:hint="eastAsia" w:ascii="仿宋" w:hAnsi="仿宋" w:eastAsia="仿宋" w:cs="仿宋"/>
                <w:bCs/>
                <w:sz w:val="24"/>
                <w:szCs w:val="24"/>
                <w:highlight w:val="none"/>
                <w:lang w:val="en-US" w:eastAsia="zh-CN"/>
              </w:rPr>
              <w:t>15</w:t>
            </w:r>
          </w:p>
        </w:tc>
        <w:tc>
          <w:tcPr>
            <w:tcW w:w="1701" w:type="dxa"/>
            <w:vMerge w:val="continue"/>
            <w:noWrap w:val="0"/>
            <w:vAlign w:val="top"/>
          </w:tcPr>
          <w:p w14:paraId="4F7FB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p>
        </w:tc>
        <w:tc>
          <w:tcPr>
            <w:tcW w:w="7654" w:type="dxa"/>
            <w:noWrap w:val="0"/>
            <w:vAlign w:val="top"/>
          </w:tcPr>
          <w:p w14:paraId="2A65B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中标人在承担上述一项或多项违约责任后，仍应继续履行合同规定的义务（采购人解除合同的除外）。采购人未能及时追究中标人的任何一项违约责任并不表明采购人放弃追究中标人该项或其他违约责任。</w:t>
            </w:r>
          </w:p>
        </w:tc>
      </w:tr>
    </w:tbl>
    <w:p w14:paraId="1034C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4E873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3C741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4126B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w:t>
      </w:r>
      <w:bookmarkStart w:id="0" w:name="_GoBack"/>
      <w:bookmarkEnd w:id="0"/>
      <w:r>
        <w:rPr>
          <w:rFonts w:hint="eastAsia" w:ascii="黑体" w:hAnsi="黑体" w:eastAsia="黑体" w:cs="黑体"/>
          <w:sz w:val="32"/>
          <w:szCs w:val="32"/>
          <w:highlight w:val="none"/>
          <w:lang w:val="en-US" w:eastAsia="zh-CN"/>
        </w:rPr>
        <w:t>）投标文件组成要求</w:t>
      </w:r>
    </w:p>
    <w:p w14:paraId="0D2D3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60B86A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16269C8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7318398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p w14:paraId="1FAEE7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4.技术规格偏离情况</w:t>
      </w:r>
    </w:p>
    <w:p w14:paraId="4FC237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5.总体服务方案</w:t>
      </w:r>
    </w:p>
    <w:p w14:paraId="082650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6.质保服务方案</w:t>
      </w:r>
    </w:p>
    <w:p w14:paraId="53863F3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7.售后服务方案</w:t>
      </w:r>
    </w:p>
    <w:p w14:paraId="670609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8.售后服务内容</w:t>
      </w:r>
    </w:p>
    <w:p w14:paraId="190287A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9.企业类型</w:t>
      </w:r>
    </w:p>
    <w:p w14:paraId="12035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·报价标</w:t>
      </w:r>
    </w:p>
    <w:p w14:paraId="374F54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项目详细报价</w:t>
      </w:r>
    </w:p>
    <w:p w14:paraId="1D4DF51B">
      <w:pPr>
        <w:pStyle w:val="9"/>
        <w:ind w:left="0" w:leftChars="0" w:firstLine="0" w:firstLineChars="0"/>
        <w:rPr>
          <w:rFonts w:hint="default"/>
          <w:lang w:val="en-US" w:eastAsia="zh-CN"/>
        </w:rPr>
      </w:pPr>
    </w:p>
    <w:p w14:paraId="6FBD5838">
      <w:pPr>
        <w:pStyle w:val="9"/>
        <w:ind w:left="0" w:leftChars="0" w:firstLine="0" w:firstLineChars="0"/>
        <w:rPr>
          <w:rFonts w:hint="default"/>
          <w:lang w:val="en-US" w:eastAsia="zh-CN"/>
        </w:rPr>
      </w:pPr>
    </w:p>
    <w:p w14:paraId="48BFC78A">
      <w:pPr>
        <w:pStyle w:val="9"/>
        <w:ind w:left="0" w:leftChars="0" w:firstLine="0" w:firstLineChars="0"/>
        <w:rPr>
          <w:rFonts w:hint="default"/>
          <w:lang w:val="en-US" w:eastAsia="zh-CN"/>
        </w:rPr>
      </w:pPr>
    </w:p>
    <w:p w14:paraId="450BFF6C">
      <w:pPr>
        <w:pStyle w:val="9"/>
        <w:ind w:left="0" w:leftChars="0" w:firstLine="0" w:firstLineChars="0"/>
        <w:rPr>
          <w:rFonts w:hint="default"/>
          <w:lang w:val="en-US" w:eastAsia="zh-CN"/>
        </w:rPr>
      </w:pPr>
    </w:p>
    <w:p w14:paraId="3E2B0DF3">
      <w:pPr>
        <w:pStyle w:val="9"/>
        <w:ind w:left="0" w:leftChars="0" w:firstLine="0" w:firstLineChars="0"/>
        <w:rPr>
          <w:rFonts w:hint="default"/>
          <w:lang w:val="en-US" w:eastAsia="zh-CN"/>
        </w:rPr>
      </w:pPr>
    </w:p>
    <w:p w14:paraId="37B1A228">
      <w:pPr>
        <w:pStyle w:val="9"/>
        <w:ind w:left="0" w:leftChars="0" w:firstLine="0" w:firstLineChars="0"/>
        <w:rPr>
          <w:rFonts w:hint="default"/>
          <w:lang w:val="en-US" w:eastAsia="zh-CN"/>
        </w:rPr>
      </w:pPr>
    </w:p>
    <w:p w14:paraId="2CB319D2">
      <w:pPr>
        <w:pStyle w:val="9"/>
        <w:ind w:left="0" w:leftChars="0" w:firstLine="0" w:firstLineChars="0"/>
        <w:rPr>
          <w:rFonts w:hint="default"/>
          <w:lang w:val="en-US" w:eastAsia="zh-CN"/>
        </w:rPr>
      </w:pPr>
    </w:p>
    <w:p w14:paraId="467BF0B9">
      <w:pPr>
        <w:pStyle w:val="9"/>
        <w:ind w:left="0" w:leftChars="0" w:firstLine="0" w:firstLineChars="0"/>
        <w:rPr>
          <w:rFonts w:hint="default"/>
          <w:lang w:val="en-US" w:eastAsia="zh-CN"/>
        </w:rPr>
      </w:pPr>
    </w:p>
    <w:p w14:paraId="5618886A">
      <w:pPr>
        <w:pStyle w:val="9"/>
        <w:ind w:left="0" w:leftChars="0" w:firstLine="0" w:firstLineChars="0"/>
        <w:rPr>
          <w:rFonts w:hint="default"/>
          <w:lang w:val="en-US" w:eastAsia="zh-CN"/>
        </w:rPr>
      </w:pPr>
    </w:p>
    <w:p w14:paraId="3581CBE2">
      <w:pPr>
        <w:pStyle w:val="9"/>
        <w:ind w:left="0" w:leftChars="0" w:firstLine="0" w:firstLineChars="0"/>
        <w:rPr>
          <w:rFonts w:hint="default"/>
          <w:lang w:val="en-US" w:eastAsia="zh-CN"/>
        </w:rPr>
      </w:pPr>
    </w:p>
    <w:p w14:paraId="240E3578">
      <w:pPr>
        <w:pStyle w:val="9"/>
        <w:ind w:left="0" w:leftChars="0" w:firstLine="0" w:firstLineChars="0"/>
        <w:rPr>
          <w:rFonts w:hint="default"/>
          <w:lang w:val="en-US" w:eastAsia="zh-CN"/>
        </w:rPr>
      </w:pPr>
    </w:p>
    <w:p w14:paraId="0FB7D9F5">
      <w:pPr>
        <w:pStyle w:val="9"/>
        <w:ind w:left="0" w:leftChars="0" w:firstLine="0" w:firstLineChars="0"/>
        <w:rPr>
          <w:rFonts w:hint="default"/>
          <w:lang w:val="en-US" w:eastAsia="zh-CN"/>
        </w:rPr>
      </w:pPr>
    </w:p>
    <w:p w14:paraId="04922830">
      <w:pPr>
        <w:pStyle w:val="9"/>
        <w:ind w:left="0" w:leftChars="0" w:firstLine="0" w:firstLineChars="0"/>
        <w:rPr>
          <w:rFonts w:hint="default"/>
          <w:lang w:val="en-US" w:eastAsia="zh-CN"/>
        </w:rPr>
      </w:pPr>
    </w:p>
    <w:p w14:paraId="3723E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1A7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6F15C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302445D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5C4068B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3255CCD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3DB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1F88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4EE6340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5F4B68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0E7876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31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4AE00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A8FE1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BF8C95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4B1159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AD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94A998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4D2BE1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1B111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145ED7E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9D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6BD15A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A4D9B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08D0040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81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319FD6A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6E6F7A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A596D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CC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A5C558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18779C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B13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2223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7D747F3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320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4D25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251D9B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70856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1B30C5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1D6B8D1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1285F34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F66D2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42CFD94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扫路机、清洗机采购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5A395F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我方接受《扫路机、清洗机采购公开遴选公告》中确定的计价方式，根据企业自身情况，理性报价，不会以低于成本的报价竞争。 </w:t>
      </w:r>
    </w:p>
    <w:p w14:paraId="3BE196C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2A6CC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515400E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48BFD0E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3ACB32D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E44E5D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2BFED3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p>
    <w:p w14:paraId="1F6D2A2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highlight w:val="none"/>
        </w:rPr>
      </w:pPr>
    </w:p>
    <w:p w14:paraId="4FC301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752B328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04ED5C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2D7C42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1BA664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10"/>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535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75D3246D">
            <w:pPr>
              <w:pStyle w:val="13"/>
            </w:pPr>
            <w:r>
              <w:t>序号</w:t>
            </w:r>
          </w:p>
        </w:tc>
        <w:tc>
          <w:tcPr>
            <w:tcW w:w="1384" w:type="dxa"/>
            <w:noWrap w:val="0"/>
            <w:vAlign w:val="top"/>
          </w:tcPr>
          <w:p w14:paraId="422C02D0">
            <w:pPr>
              <w:pStyle w:val="13"/>
            </w:pPr>
            <w:r>
              <w:t>客户名称</w:t>
            </w:r>
          </w:p>
        </w:tc>
        <w:tc>
          <w:tcPr>
            <w:tcW w:w="1384" w:type="dxa"/>
            <w:noWrap w:val="0"/>
            <w:vAlign w:val="top"/>
          </w:tcPr>
          <w:p w14:paraId="6D84D231">
            <w:pPr>
              <w:pStyle w:val="13"/>
            </w:pPr>
            <w:r>
              <w:t>项目名称及合同金额（万元）</w:t>
            </w:r>
          </w:p>
        </w:tc>
        <w:tc>
          <w:tcPr>
            <w:tcW w:w="1384" w:type="dxa"/>
            <w:noWrap w:val="0"/>
            <w:vAlign w:val="top"/>
          </w:tcPr>
          <w:p w14:paraId="11BF33C8">
            <w:pPr>
              <w:pStyle w:val="13"/>
            </w:pPr>
            <w:r>
              <w:t>签订合同时间</w:t>
            </w:r>
          </w:p>
        </w:tc>
        <w:tc>
          <w:tcPr>
            <w:tcW w:w="1384" w:type="dxa"/>
            <w:noWrap w:val="0"/>
            <w:vAlign w:val="top"/>
          </w:tcPr>
          <w:p w14:paraId="0A45382C">
            <w:pPr>
              <w:pStyle w:val="13"/>
            </w:pPr>
            <w:r>
              <w:t>竣工验收报告时间</w:t>
            </w:r>
          </w:p>
        </w:tc>
        <w:tc>
          <w:tcPr>
            <w:tcW w:w="1384" w:type="dxa"/>
            <w:noWrap w:val="0"/>
            <w:vAlign w:val="top"/>
          </w:tcPr>
          <w:p w14:paraId="2AFB8044">
            <w:pPr>
              <w:pStyle w:val="13"/>
            </w:pPr>
            <w:r>
              <w:t>联系人及电话</w:t>
            </w:r>
          </w:p>
        </w:tc>
      </w:tr>
      <w:tr w14:paraId="61A4F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61BAF3A">
            <w:pPr>
              <w:pStyle w:val="13"/>
            </w:pPr>
            <w:r>
              <w:t>1</w:t>
            </w:r>
          </w:p>
        </w:tc>
        <w:tc>
          <w:tcPr>
            <w:tcW w:w="1384" w:type="dxa"/>
            <w:noWrap w:val="0"/>
            <w:vAlign w:val="top"/>
          </w:tcPr>
          <w:p w14:paraId="5311F6C0"/>
        </w:tc>
        <w:tc>
          <w:tcPr>
            <w:tcW w:w="1384" w:type="dxa"/>
            <w:noWrap w:val="0"/>
            <w:vAlign w:val="top"/>
          </w:tcPr>
          <w:p w14:paraId="695DF055"/>
        </w:tc>
        <w:tc>
          <w:tcPr>
            <w:tcW w:w="1384" w:type="dxa"/>
            <w:noWrap w:val="0"/>
            <w:vAlign w:val="top"/>
          </w:tcPr>
          <w:p w14:paraId="54446A96"/>
        </w:tc>
        <w:tc>
          <w:tcPr>
            <w:tcW w:w="1384" w:type="dxa"/>
            <w:noWrap w:val="0"/>
            <w:vAlign w:val="top"/>
          </w:tcPr>
          <w:p w14:paraId="7BF38E2E"/>
        </w:tc>
        <w:tc>
          <w:tcPr>
            <w:tcW w:w="1384" w:type="dxa"/>
            <w:noWrap w:val="0"/>
            <w:vAlign w:val="top"/>
          </w:tcPr>
          <w:p w14:paraId="7885372B"/>
        </w:tc>
      </w:tr>
      <w:tr w14:paraId="257DC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9DF1BB8">
            <w:pPr>
              <w:pStyle w:val="13"/>
            </w:pPr>
            <w:r>
              <w:t>2</w:t>
            </w:r>
          </w:p>
        </w:tc>
        <w:tc>
          <w:tcPr>
            <w:tcW w:w="1384" w:type="dxa"/>
            <w:noWrap w:val="0"/>
            <w:vAlign w:val="top"/>
          </w:tcPr>
          <w:p w14:paraId="3B113072"/>
        </w:tc>
        <w:tc>
          <w:tcPr>
            <w:tcW w:w="1384" w:type="dxa"/>
            <w:noWrap w:val="0"/>
            <w:vAlign w:val="top"/>
          </w:tcPr>
          <w:p w14:paraId="33B1E754"/>
        </w:tc>
        <w:tc>
          <w:tcPr>
            <w:tcW w:w="1384" w:type="dxa"/>
            <w:noWrap w:val="0"/>
            <w:vAlign w:val="top"/>
          </w:tcPr>
          <w:p w14:paraId="08A7076F"/>
        </w:tc>
        <w:tc>
          <w:tcPr>
            <w:tcW w:w="1384" w:type="dxa"/>
            <w:noWrap w:val="0"/>
            <w:vAlign w:val="top"/>
          </w:tcPr>
          <w:p w14:paraId="138C73DF"/>
        </w:tc>
        <w:tc>
          <w:tcPr>
            <w:tcW w:w="1384" w:type="dxa"/>
            <w:noWrap w:val="0"/>
            <w:vAlign w:val="top"/>
          </w:tcPr>
          <w:p w14:paraId="13BC0E6F"/>
        </w:tc>
      </w:tr>
      <w:tr w14:paraId="5630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272DF393">
            <w:pPr>
              <w:pStyle w:val="13"/>
            </w:pPr>
            <w:r>
              <w:t>3</w:t>
            </w:r>
          </w:p>
        </w:tc>
        <w:tc>
          <w:tcPr>
            <w:tcW w:w="1384" w:type="dxa"/>
            <w:noWrap w:val="0"/>
            <w:vAlign w:val="top"/>
          </w:tcPr>
          <w:p w14:paraId="0A7918BE"/>
        </w:tc>
        <w:tc>
          <w:tcPr>
            <w:tcW w:w="1384" w:type="dxa"/>
            <w:noWrap w:val="0"/>
            <w:vAlign w:val="top"/>
          </w:tcPr>
          <w:p w14:paraId="662B90B7"/>
        </w:tc>
        <w:tc>
          <w:tcPr>
            <w:tcW w:w="1384" w:type="dxa"/>
            <w:noWrap w:val="0"/>
            <w:vAlign w:val="top"/>
          </w:tcPr>
          <w:p w14:paraId="664909DA"/>
        </w:tc>
        <w:tc>
          <w:tcPr>
            <w:tcW w:w="1384" w:type="dxa"/>
            <w:noWrap w:val="0"/>
            <w:vAlign w:val="top"/>
          </w:tcPr>
          <w:p w14:paraId="546646EB"/>
        </w:tc>
        <w:tc>
          <w:tcPr>
            <w:tcW w:w="1384" w:type="dxa"/>
            <w:noWrap w:val="0"/>
            <w:vAlign w:val="top"/>
          </w:tcPr>
          <w:p w14:paraId="5C7E79F1"/>
        </w:tc>
      </w:tr>
      <w:tr w14:paraId="3462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E57FA93">
            <w:pPr>
              <w:pStyle w:val="13"/>
            </w:pPr>
            <w:r>
              <w:t>4</w:t>
            </w:r>
          </w:p>
        </w:tc>
        <w:tc>
          <w:tcPr>
            <w:tcW w:w="1384" w:type="dxa"/>
            <w:noWrap w:val="0"/>
            <w:vAlign w:val="top"/>
          </w:tcPr>
          <w:p w14:paraId="588B8FC4"/>
        </w:tc>
        <w:tc>
          <w:tcPr>
            <w:tcW w:w="1384" w:type="dxa"/>
            <w:noWrap w:val="0"/>
            <w:vAlign w:val="top"/>
          </w:tcPr>
          <w:p w14:paraId="2CBE6D16"/>
        </w:tc>
        <w:tc>
          <w:tcPr>
            <w:tcW w:w="1384" w:type="dxa"/>
            <w:noWrap w:val="0"/>
            <w:vAlign w:val="top"/>
          </w:tcPr>
          <w:p w14:paraId="63FD81D0"/>
        </w:tc>
        <w:tc>
          <w:tcPr>
            <w:tcW w:w="1384" w:type="dxa"/>
            <w:noWrap w:val="0"/>
            <w:vAlign w:val="top"/>
          </w:tcPr>
          <w:p w14:paraId="120A44B4"/>
        </w:tc>
        <w:tc>
          <w:tcPr>
            <w:tcW w:w="1384" w:type="dxa"/>
            <w:noWrap w:val="0"/>
            <w:vAlign w:val="top"/>
          </w:tcPr>
          <w:p w14:paraId="4E436145"/>
        </w:tc>
      </w:tr>
      <w:tr w14:paraId="2A5B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5C106A34">
            <w:pPr>
              <w:pStyle w:val="13"/>
              <w:rPr>
                <w:rFonts w:hint="eastAsia" w:eastAsia="宋体"/>
                <w:lang w:eastAsia="zh-CN"/>
              </w:rPr>
            </w:pPr>
            <w:r>
              <w:rPr>
                <w:rFonts w:hint="eastAsia"/>
                <w:lang w:val="en-US" w:eastAsia="zh-CN"/>
              </w:rPr>
              <w:t>5</w:t>
            </w:r>
          </w:p>
        </w:tc>
        <w:tc>
          <w:tcPr>
            <w:tcW w:w="1384" w:type="dxa"/>
            <w:noWrap w:val="0"/>
            <w:vAlign w:val="top"/>
          </w:tcPr>
          <w:p w14:paraId="607330D1"/>
        </w:tc>
        <w:tc>
          <w:tcPr>
            <w:tcW w:w="1384" w:type="dxa"/>
            <w:noWrap w:val="0"/>
            <w:vAlign w:val="top"/>
          </w:tcPr>
          <w:p w14:paraId="76AA4CBD"/>
        </w:tc>
        <w:tc>
          <w:tcPr>
            <w:tcW w:w="1384" w:type="dxa"/>
            <w:noWrap w:val="0"/>
            <w:vAlign w:val="top"/>
          </w:tcPr>
          <w:p w14:paraId="53AC6D85"/>
        </w:tc>
        <w:tc>
          <w:tcPr>
            <w:tcW w:w="1384" w:type="dxa"/>
            <w:noWrap w:val="0"/>
            <w:vAlign w:val="top"/>
          </w:tcPr>
          <w:p w14:paraId="058A0341"/>
        </w:tc>
        <w:tc>
          <w:tcPr>
            <w:tcW w:w="1384" w:type="dxa"/>
            <w:noWrap w:val="0"/>
            <w:vAlign w:val="top"/>
          </w:tcPr>
          <w:p w14:paraId="280747A5"/>
        </w:tc>
      </w:tr>
    </w:tbl>
    <w:p w14:paraId="2210AF73">
      <w:pPr>
        <w:pStyle w:val="13"/>
        <w:ind w:firstLine="480"/>
      </w:pPr>
      <w:r>
        <w:t>（以下格式文件由供应商根据需要选用）</w:t>
      </w:r>
    </w:p>
    <w:p w14:paraId="0F84CFF6">
      <w:pPr>
        <w:pStyle w:val="13"/>
        <w:jc w:val="center"/>
        <w:outlineLvl w:val="3"/>
      </w:pPr>
      <w:r>
        <w:rPr>
          <w:b/>
          <w:sz w:val="24"/>
        </w:rPr>
        <w:t>投标人业绩情况表</w:t>
      </w:r>
    </w:p>
    <w:p w14:paraId="323C956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t>根据上述业绩情况，按招标文件要求附销售或服务合同复印件及评审标准要求的证明材料</w:t>
      </w:r>
    </w:p>
    <w:p w14:paraId="60F593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4.</w:t>
      </w:r>
      <w:r>
        <w:rPr>
          <w:rFonts w:hint="eastAsia" w:ascii="楷体_GB2312" w:hAnsi="楷体_GB2312" w:eastAsia="楷体_GB2312" w:cs="楷体_GB2312"/>
          <w:sz w:val="32"/>
          <w:szCs w:val="32"/>
          <w:highlight w:val="none"/>
          <w:lang w:val="en-US" w:eastAsia="zh-CN"/>
        </w:rPr>
        <w:t>技术规格偏离情况</w:t>
      </w:r>
    </w:p>
    <w:p w14:paraId="361593D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E10EF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5.总体服务方案</w:t>
      </w:r>
    </w:p>
    <w:p w14:paraId="089B316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2B982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6.</w:t>
      </w:r>
      <w:r>
        <w:rPr>
          <w:rFonts w:hint="eastAsia" w:ascii="楷体_GB2312" w:hAnsi="楷体_GB2312" w:eastAsia="楷体_GB2312" w:cs="楷体_GB2312"/>
          <w:sz w:val="32"/>
          <w:szCs w:val="32"/>
          <w:highlight w:val="none"/>
          <w:lang w:val="en-US" w:eastAsia="zh-CN"/>
        </w:rPr>
        <w:t>质保服务方案</w:t>
      </w:r>
    </w:p>
    <w:p w14:paraId="0E53069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CB75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7.</w:t>
      </w:r>
      <w:r>
        <w:rPr>
          <w:rFonts w:hint="eastAsia" w:ascii="楷体_GB2312" w:hAnsi="楷体_GB2312" w:eastAsia="楷体_GB2312" w:cs="楷体_GB2312"/>
          <w:sz w:val="32"/>
          <w:szCs w:val="32"/>
          <w:highlight w:val="none"/>
          <w:lang w:val="en-US" w:eastAsia="zh-CN"/>
        </w:rPr>
        <w:t>售后服务方案</w:t>
      </w:r>
    </w:p>
    <w:p w14:paraId="4850C33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707DE0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8.</w:t>
      </w:r>
      <w:r>
        <w:rPr>
          <w:rFonts w:hint="eastAsia" w:ascii="楷体_GB2312" w:hAnsi="楷体_GB2312" w:eastAsia="楷体_GB2312" w:cs="楷体_GB2312"/>
          <w:sz w:val="32"/>
          <w:szCs w:val="32"/>
          <w:highlight w:val="none"/>
          <w:lang w:val="en-US" w:eastAsia="zh-CN"/>
        </w:rPr>
        <w:t>售后服务内容</w:t>
      </w:r>
    </w:p>
    <w:p w14:paraId="498207A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30FC5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9.</w:t>
      </w:r>
      <w:r>
        <w:rPr>
          <w:rFonts w:hint="eastAsia" w:ascii="楷体_GB2312" w:hAnsi="楷体_GB2312" w:eastAsia="楷体_GB2312" w:cs="楷体_GB2312"/>
          <w:sz w:val="32"/>
          <w:szCs w:val="32"/>
          <w:highlight w:val="none"/>
          <w:lang w:val="en-US" w:eastAsia="zh-CN"/>
        </w:rPr>
        <w:t>企业类型</w:t>
      </w:r>
    </w:p>
    <w:p w14:paraId="3A90919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99BD17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6D7C3D26">
      <w:pPr>
        <w:pStyle w:val="9"/>
        <w:rPr>
          <w:rFonts w:hint="eastAsia" w:ascii="楷体_GB2312" w:hAnsi="楷体_GB2312" w:eastAsia="楷体_GB2312" w:cs="楷体_GB2312"/>
          <w:sz w:val="32"/>
          <w:szCs w:val="32"/>
          <w:highlight w:val="none"/>
          <w:lang w:val="en-US" w:eastAsia="zh-CN"/>
        </w:rPr>
      </w:pPr>
    </w:p>
    <w:p w14:paraId="4BB77E39">
      <w:pPr>
        <w:rPr>
          <w:rFonts w:hint="eastAsia" w:ascii="楷体_GB2312" w:hAnsi="楷体_GB2312" w:eastAsia="楷体_GB2312" w:cs="楷体_GB2312"/>
          <w:sz w:val="32"/>
          <w:szCs w:val="32"/>
          <w:highlight w:val="none"/>
          <w:lang w:val="en-US" w:eastAsia="zh-CN"/>
        </w:rPr>
      </w:pPr>
    </w:p>
    <w:p w14:paraId="228F3F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10.车辆技术参数响应情况</w:t>
      </w:r>
    </w:p>
    <w:p w14:paraId="2080150C">
      <w:pPr>
        <w:pStyle w:val="6"/>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技术参数响应情况表</w:t>
      </w:r>
    </w:p>
    <w:tbl>
      <w:tblPr>
        <w:tblStyle w:val="1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479"/>
        <w:gridCol w:w="3464"/>
        <w:gridCol w:w="2025"/>
        <w:gridCol w:w="1490"/>
        <w:gridCol w:w="895"/>
      </w:tblGrid>
      <w:tr w14:paraId="203C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157E0793">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479" w:type="dxa"/>
            <w:noWrap w:val="0"/>
            <w:vAlign w:val="center"/>
          </w:tcPr>
          <w:p w14:paraId="68D09D0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464" w:type="dxa"/>
            <w:noWrap w:val="0"/>
            <w:vAlign w:val="center"/>
          </w:tcPr>
          <w:p w14:paraId="1E689B3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2025" w:type="dxa"/>
            <w:noWrap w:val="0"/>
            <w:vAlign w:val="center"/>
          </w:tcPr>
          <w:p w14:paraId="3E6E7EE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所投产品参数</w:t>
            </w:r>
          </w:p>
        </w:tc>
        <w:tc>
          <w:tcPr>
            <w:tcW w:w="1490" w:type="dxa"/>
            <w:noWrap w:val="0"/>
            <w:vAlign w:val="center"/>
          </w:tcPr>
          <w:p w14:paraId="646876B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偏离情况</w:t>
            </w:r>
          </w:p>
        </w:tc>
        <w:tc>
          <w:tcPr>
            <w:tcW w:w="895" w:type="dxa"/>
            <w:noWrap w:val="0"/>
            <w:vAlign w:val="center"/>
          </w:tcPr>
          <w:p w14:paraId="2AE1B9D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5DD9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0" w:type="auto"/>
            <w:noWrap w:val="0"/>
            <w:vAlign w:val="center"/>
          </w:tcPr>
          <w:p w14:paraId="5B2E6828">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479" w:type="dxa"/>
            <w:vMerge w:val="restart"/>
            <w:noWrap w:val="0"/>
            <w:vAlign w:val="center"/>
          </w:tcPr>
          <w:p w14:paraId="7EE87AD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扫路机</w:t>
            </w:r>
          </w:p>
        </w:tc>
        <w:tc>
          <w:tcPr>
            <w:tcW w:w="3464" w:type="dxa"/>
            <w:noWrap w:val="0"/>
            <w:vAlign w:val="center"/>
          </w:tcPr>
          <w:p w14:paraId="2642CD9F">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2"/>
                <w:szCs w:val="22"/>
                <w:highlight w:val="none"/>
                <w:lang w:val="en-US" w:eastAsia="zh-CN"/>
              </w:rPr>
              <w:t>▲尺寸：车身宽度尺寸≥1米，且满足正常通行间距＜1.4m；</w:t>
            </w:r>
          </w:p>
        </w:tc>
        <w:tc>
          <w:tcPr>
            <w:tcW w:w="2025" w:type="dxa"/>
            <w:noWrap w:val="0"/>
            <w:vAlign w:val="center"/>
          </w:tcPr>
          <w:p w14:paraId="7973914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1C4BB52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6AE1FD7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26FA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0" w:type="auto"/>
            <w:noWrap w:val="0"/>
            <w:vAlign w:val="center"/>
          </w:tcPr>
          <w:p w14:paraId="139CE1B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479" w:type="dxa"/>
            <w:vMerge w:val="continue"/>
            <w:noWrap w:val="0"/>
            <w:vAlign w:val="center"/>
          </w:tcPr>
          <w:p w14:paraId="42EE7F5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7C56D03D">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连续工作时间：≥6小时；</w:t>
            </w:r>
          </w:p>
        </w:tc>
        <w:tc>
          <w:tcPr>
            <w:tcW w:w="2025" w:type="dxa"/>
            <w:noWrap w:val="0"/>
            <w:vAlign w:val="center"/>
          </w:tcPr>
          <w:p w14:paraId="366D135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7E212498">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26170D62">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05E0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0" w:type="auto"/>
            <w:noWrap w:val="0"/>
            <w:vAlign w:val="center"/>
          </w:tcPr>
          <w:p w14:paraId="546648E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479" w:type="dxa"/>
            <w:vMerge w:val="continue"/>
            <w:noWrap w:val="0"/>
            <w:vAlign w:val="center"/>
          </w:tcPr>
          <w:p w14:paraId="580B4D1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645305CF">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充电时长：≤6小时；</w:t>
            </w:r>
          </w:p>
        </w:tc>
        <w:tc>
          <w:tcPr>
            <w:tcW w:w="2025" w:type="dxa"/>
            <w:noWrap w:val="0"/>
            <w:vAlign w:val="center"/>
          </w:tcPr>
          <w:p w14:paraId="1A07C840">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58E172A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66BC49A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7247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noWrap w:val="0"/>
            <w:vAlign w:val="center"/>
          </w:tcPr>
          <w:p w14:paraId="752E3BC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479" w:type="dxa"/>
            <w:vMerge w:val="continue"/>
            <w:noWrap w:val="0"/>
            <w:vAlign w:val="center"/>
          </w:tcPr>
          <w:p w14:paraId="3CD8DE2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1E98F195">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2"/>
                <w:szCs w:val="22"/>
                <w:highlight w:val="none"/>
                <w:lang w:val="en-US" w:eastAsia="zh-CN"/>
              </w:rPr>
              <w:t>电池电量：≥10.24kwh</w:t>
            </w:r>
          </w:p>
        </w:tc>
        <w:tc>
          <w:tcPr>
            <w:tcW w:w="2025" w:type="dxa"/>
            <w:noWrap w:val="0"/>
            <w:vAlign w:val="center"/>
          </w:tcPr>
          <w:p w14:paraId="77D694A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6EF1DB7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07971EF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43E8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6F5BD4B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479" w:type="dxa"/>
            <w:vMerge w:val="continue"/>
            <w:noWrap w:val="0"/>
            <w:vAlign w:val="center"/>
          </w:tcPr>
          <w:p w14:paraId="6883B0E8">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591A4096">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水箱容量：≥120L；</w:t>
            </w:r>
          </w:p>
        </w:tc>
        <w:tc>
          <w:tcPr>
            <w:tcW w:w="2025" w:type="dxa"/>
            <w:noWrap w:val="0"/>
            <w:vAlign w:val="center"/>
          </w:tcPr>
          <w:p w14:paraId="30B45D8A">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7E00923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4C7252B7">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73D4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0" w:type="auto"/>
            <w:noWrap w:val="0"/>
            <w:vAlign w:val="center"/>
          </w:tcPr>
          <w:p w14:paraId="69A2BD0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479" w:type="dxa"/>
            <w:vMerge w:val="continue"/>
            <w:noWrap w:val="0"/>
            <w:vAlign w:val="center"/>
          </w:tcPr>
          <w:p w14:paraId="528157F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7044C8CA">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垃圾箱容量：≥180L；</w:t>
            </w:r>
          </w:p>
        </w:tc>
        <w:tc>
          <w:tcPr>
            <w:tcW w:w="2025" w:type="dxa"/>
            <w:noWrap w:val="0"/>
            <w:vAlign w:val="center"/>
          </w:tcPr>
          <w:p w14:paraId="5277477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3988771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25E278F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6CC3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3C2D9B8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479" w:type="dxa"/>
            <w:vMerge w:val="continue"/>
            <w:noWrap w:val="0"/>
            <w:vAlign w:val="center"/>
          </w:tcPr>
          <w:p w14:paraId="0291FE9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5505DC12">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四轮：实心轮胎*4</w:t>
            </w:r>
          </w:p>
        </w:tc>
        <w:tc>
          <w:tcPr>
            <w:tcW w:w="2025" w:type="dxa"/>
            <w:noWrap w:val="0"/>
            <w:vAlign w:val="center"/>
          </w:tcPr>
          <w:p w14:paraId="5C1627B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1D2C4FA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134D4D3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63E0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6E073CC3">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479" w:type="dxa"/>
            <w:vMerge w:val="continue"/>
            <w:noWrap w:val="0"/>
            <w:vAlign w:val="center"/>
          </w:tcPr>
          <w:p w14:paraId="655FC39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34AE82F9">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b w:val="0"/>
                <w:bCs w:val="0"/>
                <w:color w:val="auto"/>
                <w:kern w:val="2"/>
                <w:sz w:val="24"/>
                <w:szCs w:val="24"/>
                <w:highlight w:val="none"/>
                <w:lang w:val="en-US" w:eastAsia="zh-CN"/>
              </w:rPr>
              <w:t>提供第三方机构出具的具有CMA或CNAS标识检测报告；</w:t>
            </w:r>
          </w:p>
        </w:tc>
        <w:tc>
          <w:tcPr>
            <w:tcW w:w="2025" w:type="dxa"/>
            <w:noWrap w:val="0"/>
            <w:vAlign w:val="center"/>
          </w:tcPr>
          <w:p w14:paraId="6F04F8A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3C186F06">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6F31CEF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7018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3A4832C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9</w:t>
            </w:r>
          </w:p>
        </w:tc>
        <w:tc>
          <w:tcPr>
            <w:tcW w:w="1479" w:type="dxa"/>
            <w:vMerge w:val="continue"/>
            <w:noWrap w:val="0"/>
            <w:vAlign w:val="center"/>
          </w:tcPr>
          <w:p w14:paraId="4447977E">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5C6B7F0E">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b w:val="0"/>
                <w:bCs w:val="0"/>
                <w:color w:val="auto"/>
                <w:kern w:val="2"/>
                <w:sz w:val="24"/>
                <w:szCs w:val="24"/>
                <w:highlight w:val="none"/>
                <w:lang w:val="en-US" w:eastAsia="zh-CN"/>
              </w:rPr>
              <w:t>具备《专用车生产企业》许可（提供国家工信部颁发的证明截图或复印件），或具有《专用车生产企业》许可生产企业授权证明文件。</w:t>
            </w:r>
          </w:p>
        </w:tc>
        <w:tc>
          <w:tcPr>
            <w:tcW w:w="2025" w:type="dxa"/>
            <w:noWrap w:val="0"/>
            <w:vAlign w:val="center"/>
          </w:tcPr>
          <w:p w14:paraId="7A6B4000">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0684D79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5EE38777">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6D4F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0" w:type="auto"/>
            <w:noWrap w:val="0"/>
            <w:vAlign w:val="center"/>
          </w:tcPr>
          <w:p w14:paraId="6774CC2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479" w:type="dxa"/>
            <w:vMerge w:val="restart"/>
            <w:noWrap w:val="0"/>
            <w:vAlign w:val="center"/>
          </w:tcPr>
          <w:p w14:paraId="2494DCB2">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清洗机</w:t>
            </w:r>
          </w:p>
          <w:p w14:paraId="5929BACE">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0A406456">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2"/>
                <w:szCs w:val="22"/>
                <w:highlight w:val="none"/>
                <w:lang w:val="en-US" w:eastAsia="zh-CN"/>
              </w:rPr>
              <w:t>▲</w:t>
            </w:r>
            <w:r>
              <w:rPr>
                <w:rFonts w:hint="eastAsia" w:ascii="仿宋_GB2312" w:hAnsi="仿宋_GB2312" w:eastAsia="仿宋_GB2312" w:cs="仿宋_GB2312"/>
                <w:sz w:val="24"/>
                <w:szCs w:val="24"/>
                <w:highlight w:val="none"/>
                <w:vertAlign w:val="baseline"/>
                <w:lang w:val="en-US" w:eastAsia="zh-CN"/>
              </w:rPr>
              <w:t>尺寸：车身宽度尺寸≥1米，且满足正常通行间距＜1.4m；</w:t>
            </w:r>
          </w:p>
        </w:tc>
        <w:tc>
          <w:tcPr>
            <w:tcW w:w="2025" w:type="dxa"/>
            <w:noWrap w:val="0"/>
            <w:vAlign w:val="center"/>
          </w:tcPr>
          <w:p w14:paraId="39711530">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46A47CE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01B2E37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6D0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noWrap w:val="0"/>
            <w:vAlign w:val="center"/>
          </w:tcPr>
          <w:p w14:paraId="41D3204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479" w:type="dxa"/>
            <w:vMerge w:val="continue"/>
            <w:noWrap w:val="0"/>
            <w:vAlign w:val="center"/>
          </w:tcPr>
          <w:p w14:paraId="1F844DC2">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4FD9C99F">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连续工作时间：≥5小时；</w:t>
            </w:r>
          </w:p>
        </w:tc>
        <w:tc>
          <w:tcPr>
            <w:tcW w:w="2025" w:type="dxa"/>
            <w:noWrap w:val="0"/>
            <w:vAlign w:val="center"/>
          </w:tcPr>
          <w:p w14:paraId="76EB98E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43BDBDB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3BCEF39A">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120A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0" w:type="auto"/>
            <w:noWrap w:val="0"/>
            <w:vAlign w:val="center"/>
          </w:tcPr>
          <w:p w14:paraId="2F8C612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479" w:type="dxa"/>
            <w:vMerge w:val="continue"/>
            <w:noWrap w:val="0"/>
            <w:vAlign w:val="center"/>
          </w:tcPr>
          <w:p w14:paraId="03C6747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23BD29EB">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充电时长：≤6小时；</w:t>
            </w:r>
          </w:p>
        </w:tc>
        <w:tc>
          <w:tcPr>
            <w:tcW w:w="2025" w:type="dxa"/>
            <w:noWrap w:val="0"/>
            <w:vAlign w:val="center"/>
          </w:tcPr>
          <w:p w14:paraId="4913337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5E1695E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6D895DF0">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75B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0" w:type="auto"/>
            <w:noWrap w:val="0"/>
            <w:vAlign w:val="center"/>
          </w:tcPr>
          <w:p w14:paraId="02091F8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479" w:type="dxa"/>
            <w:vMerge w:val="continue"/>
            <w:noWrap w:val="0"/>
            <w:vAlign w:val="center"/>
          </w:tcPr>
          <w:p w14:paraId="159516A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3D41E1AE">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配备长柄高压冲洗枪：≥15m；</w:t>
            </w:r>
          </w:p>
        </w:tc>
        <w:tc>
          <w:tcPr>
            <w:tcW w:w="2025" w:type="dxa"/>
            <w:noWrap w:val="0"/>
            <w:vAlign w:val="center"/>
          </w:tcPr>
          <w:p w14:paraId="37B169B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40A5D0F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2427B61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28D7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214462A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479" w:type="dxa"/>
            <w:vMerge w:val="continue"/>
            <w:noWrap w:val="0"/>
            <w:vAlign w:val="center"/>
          </w:tcPr>
          <w:p w14:paraId="7CAFE0EF">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432BAC0E">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蓄电池：60V/240AH 锂电池；</w:t>
            </w:r>
          </w:p>
        </w:tc>
        <w:tc>
          <w:tcPr>
            <w:tcW w:w="2025" w:type="dxa"/>
            <w:noWrap w:val="0"/>
            <w:vAlign w:val="center"/>
          </w:tcPr>
          <w:p w14:paraId="50419A4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3A6F8B9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51221FB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1E3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noWrap w:val="0"/>
            <w:vAlign w:val="center"/>
          </w:tcPr>
          <w:p w14:paraId="714C13F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479" w:type="dxa"/>
            <w:vMerge w:val="continue"/>
            <w:noWrap w:val="0"/>
            <w:vAlign w:val="center"/>
          </w:tcPr>
          <w:p w14:paraId="628553E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noWrap w:val="0"/>
            <w:vAlign w:val="center"/>
          </w:tcPr>
          <w:p w14:paraId="5E6247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水箱容积：≥700L；</w:t>
            </w:r>
          </w:p>
        </w:tc>
        <w:tc>
          <w:tcPr>
            <w:tcW w:w="2025" w:type="dxa"/>
            <w:noWrap w:val="0"/>
            <w:vAlign w:val="center"/>
          </w:tcPr>
          <w:p w14:paraId="6B4B99D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337A0AA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7F037233">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519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6F427C5E">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479" w:type="dxa"/>
            <w:vMerge w:val="continue"/>
            <w:noWrap w:val="0"/>
            <w:vAlign w:val="center"/>
          </w:tcPr>
          <w:p w14:paraId="70502BCD">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shd w:val="clear" w:color="auto" w:fill="auto"/>
            <w:noWrap w:val="0"/>
            <w:vAlign w:val="center"/>
          </w:tcPr>
          <w:p w14:paraId="1B351CB3">
            <w:pPr>
              <w:keepNext w:val="0"/>
              <w:keepLines w:val="0"/>
              <w:widowControl/>
              <w:numPr>
                <w:ilvl w:val="-1"/>
                <w:numId w:val="0"/>
              </w:numPr>
              <w:suppressLineNumbers w:val="0"/>
              <w:ind w:left="0" w:leftChars="0" w:firstLine="0" w:firstLineChars="0"/>
              <w:jc w:val="left"/>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提供第三方机构出具的具有CMA或CNAS标识检测报告；</w:t>
            </w:r>
          </w:p>
        </w:tc>
        <w:tc>
          <w:tcPr>
            <w:tcW w:w="2025" w:type="dxa"/>
            <w:noWrap w:val="0"/>
            <w:vAlign w:val="center"/>
          </w:tcPr>
          <w:p w14:paraId="6D5E4597">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3A39555E">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5F082C6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r w14:paraId="742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noWrap w:val="0"/>
            <w:vAlign w:val="center"/>
          </w:tcPr>
          <w:p w14:paraId="57EAD992">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479" w:type="dxa"/>
            <w:vMerge w:val="continue"/>
            <w:noWrap w:val="0"/>
            <w:vAlign w:val="center"/>
          </w:tcPr>
          <w:p w14:paraId="47BB633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3464" w:type="dxa"/>
            <w:shd w:val="clear" w:color="auto" w:fill="auto"/>
            <w:noWrap w:val="0"/>
            <w:vAlign w:val="center"/>
          </w:tcPr>
          <w:p w14:paraId="6CD061A9">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w:t>
            </w:r>
            <w:r>
              <w:rPr>
                <w:rFonts w:hint="eastAsia" w:ascii="仿宋_GB2312" w:hAnsi="仿宋_GB2312" w:eastAsia="仿宋_GB2312" w:cs="仿宋_GB2312"/>
                <w:sz w:val="24"/>
                <w:szCs w:val="24"/>
                <w:highlight w:val="none"/>
                <w:vertAlign w:val="baseline"/>
                <w:lang w:val="en-US" w:eastAsia="zh-CN"/>
              </w:rPr>
              <w:t>具备《专用车生产企业》许可（提供国家工信部颁发的证明截图或复印件），或具有《专用车生产企业》许可生产企业授权证明文件。</w:t>
            </w:r>
          </w:p>
        </w:tc>
        <w:tc>
          <w:tcPr>
            <w:tcW w:w="2025" w:type="dxa"/>
            <w:noWrap w:val="0"/>
            <w:vAlign w:val="center"/>
          </w:tcPr>
          <w:p w14:paraId="11081E1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1490" w:type="dxa"/>
            <w:noWrap w:val="0"/>
            <w:vAlign w:val="center"/>
          </w:tcPr>
          <w:p w14:paraId="2ECAC0EC">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c>
          <w:tcPr>
            <w:tcW w:w="895" w:type="dxa"/>
            <w:noWrap w:val="0"/>
            <w:vAlign w:val="center"/>
          </w:tcPr>
          <w:p w14:paraId="38388D18">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4"/>
                <w:highlight w:val="none"/>
                <w:lang w:val="en-US" w:eastAsia="zh-CN"/>
              </w:rPr>
            </w:pPr>
          </w:p>
        </w:tc>
      </w:tr>
    </w:tbl>
    <w:p w14:paraId="2F8323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楷体_GB2312" w:hAnsi="楷体_GB2312" w:eastAsia="楷体_GB2312" w:cs="楷体_GB2312"/>
          <w:sz w:val="24"/>
          <w:szCs w:val="24"/>
          <w:highlight w:val="none"/>
          <w:lang w:val="en-US" w:eastAsia="zh-CN"/>
        </w:rPr>
      </w:pPr>
      <w:r>
        <w:rPr>
          <w:rFonts w:hint="eastAsia" w:ascii="仿宋" w:hAnsi="仿宋" w:eastAsia="仿宋" w:cs="仿宋"/>
          <w:sz w:val="24"/>
          <w:szCs w:val="24"/>
          <w:highlight w:val="none"/>
          <w:lang w:val="en-US" w:eastAsia="zh-CN"/>
        </w:rPr>
        <w:t>注：带▲符合的为重点技术参数。根据投标车辆的技术参数指标，投标人应后附</w:t>
      </w:r>
      <w:r>
        <w:rPr>
          <w:rFonts w:hint="eastAsia" w:ascii="仿宋" w:hAnsi="仿宋" w:eastAsia="仿宋" w:cs="仿宋"/>
          <w:b/>
          <w:bCs w:val="0"/>
          <w:sz w:val="24"/>
          <w:szCs w:val="24"/>
          <w:highlight w:val="none"/>
          <w:lang w:val="en-US" w:eastAsia="zh-CN"/>
        </w:rPr>
        <w:t>工信部公告参数报告或截图</w:t>
      </w:r>
      <w:r>
        <w:rPr>
          <w:rFonts w:hint="eastAsia" w:ascii="仿宋" w:hAnsi="仿宋" w:eastAsia="仿宋" w:cs="仿宋"/>
          <w:b/>
          <w:bCs/>
          <w:sz w:val="24"/>
          <w:szCs w:val="24"/>
          <w:highlight w:val="none"/>
          <w:lang w:val="en-US" w:eastAsia="zh-CN"/>
        </w:rPr>
        <w:t>，并在相应参数处做重点标注</w:t>
      </w:r>
      <w:r>
        <w:rPr>
          <w:rFonts w:hint="eastAsia" w:ascii="仿宋" w:hAnsi="仿宋" w:eastAsia="仿宋" w:cs="仿宋"/>
          <w:sz w:val="24"/>
          <w:szCs w:val="24"/>
          <w:highlight w:val="none"/>
          <w:lang w:val="en-US" w:eastAsia="zh-CN"/>
        </w:rPr>
        <w:t>，若工信部公告未体现的参数，投标人应提供第三方机构检测报告进行证明，否则视为不满足。</w:t>
      </w:r>
    </w:p>
    <w:p w14:paraId="4F3C561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672B719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241D1DC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5F6DBB6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6164CE2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00C69E7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617F286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343178B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3B24588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71A3C08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237A919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01CCF11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19F7E0E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楷体_GB2312" w:hAnsi="楷体_GB2312" w:eastAsia="楷体_GB2312" w:cs="楷体_GB2312"/>
          <w:sz w:val="32"/>
          <w:szCs w:val="32"/>
          <w:highlight w:val="none"/>
          <w:lang w:val="en-US" w:eastAsia="zh-CN"/>
        </w:rPr>
      </w:pPr>
    </w:p>
    <w:p w14:paraId="09CF808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default" w:ascii="楷体_GB2312" w:hAnsi="楷体_GB2312" w:eastAsia="楷体_GB2312" w:cs="楷体_GB2312"/>
          <w:sz w:val="32"/>
          <w:szCs w:val="32"/>
          <w:highlight w:val="none"/>
          <w:lang w:val="en-US" w:eastAsia="zh-CN"/>
        </w:rPr>
      </w:pP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F7E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2376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32376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248A"/>
    <w:multiLevelType w:val="singleLevel"/>
    <w:tmpl w:val="5E5C248A"/>
    <w:lvl w:ilvl="0" w:tentative="0">
      <w:start w:val="1"/>
      <w:numFmt w:val="chineseCounting"/>
      <w:suff w:val="nothing"/>
      <w:lvlText w:val="%1．"/>
      <w:lvlJc w:val="left"/>
      <w:rPr>
        <w:rFonts w:hint="eastAsia"/>
      </w:rPr>
    </w:lvl>
  </w:abstractNum>
  <w:abstractNum w:abstractNumId="1">
    <w:nsid w:val="641972C7"/>
    <w:multiLevelType w:val="singleLevel"/>
    <w:tmpl w:val="641972C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3361"/>
    <w:rsid w:val="02A50880"/>
    <w:rsid w:val="180D17D5"/>
    <w:rsid w:val="20FB2099"/>
    <w:rsid w:val="3004036E"/>
    <w:rsid w:val="368303AA"/>
    <w:rsid w:val="37122244"/>
    <w:rsid w:val="3C535809"/>
    <w:rsid w:val="5701513C"/>
    <w:rsid w:val="5EE42774"/>
    <w:rsid w:val="65B25333"/>
    <w:rsid w:val="68A96965"/>
    <w:rsid w:val="6A49642D"/>
    <w:rsid w:val="6B8D460D"/>
    <w:rsid w:val="7394519D"/>
    <w:rsid w:val="77E83C99"/>
    <w:rsid w:val="7E9478B0"/>
    <w:rsid w:val="7FE5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line="360" w:lineRule="auto"/>
      <w:ind w:firstLine="42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Plain Text"/>
    <w:basedOn w:val="1"/>
    <w:qFormat/>
    <w:uiPriority w:val="0"/>
    <w:rPr>
      <w:rFonts w:hAnsi="Courier New" w:cs="Courier New"/>
      <w:szCs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3"/>
    <w:next w:val="1"/>
    <w:qFormat/>
    <w:uiPriority w:val="99"/>
    <w:pPr>
      <w:spacing w:after="120" w:line="24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3787</Words>
  <Characters>3895</Characters>
  <Lines>0</Lines>
  <Paragraphs>0</Paragraphs>
  <TotalTime>0</TotalTime>
  <ScaleCrop>false</ScaleCrop>
  <LinksUpToDate>false</LinksUpToDate>
  <CharactersWithSpaces>4006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2025-07-10T01:43:00Z</dcterms:created>
  <dc:creator>SBB</dc:creator>
  <cp:lastModifiedBy>龙华环境</cp:lastModifiedBy>
  <dcterms:modified xsi:type="dcterms:W3CDTF">2025-07-25T01:59:52Z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eyJoZGlkIjoiNjc5MTlkNDZkNjliMzhkMjQzNDJkY2ViN2E2ZjVlYzUiLCJ1c2VySWQiOiIyNDgxMzU4NjEifQ==</vt:lpwstr>
  </property>
  <property fmtid="{D5CDD505-2E9C-101B-9397-08002B2CF9AE}" pid="4" name="ICV">
    <vt:lpwstr>4F1AAFDF78C640FB90C1933605E30D5C_12</vt:lpwstr>
  </property>
</Properties>
</file>