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CA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龙华区福龙和布龙路清扫保洁项目租用北斗智能手环</w:t>
      </w:r>
      <w:r>
        <w:rPr>
          <w:rFonts w:hint="eastAsia" w:ascii="方正小标宋简体" w:hAnsi="方正小标宋简体" w:eastAsia="方正小标宋简体" w:cs="方正小标宋简体"/>
          <w:sz w:val="44"/>
          <w:szCs w:val="44"/>
          <w:highlight w:val="none"/>
        </w:rPr>
        <w:t>公开遴选</w:t>
      </w:r>
      <w:r>
        <w:rPr>
          <w:rFonts w:hint="eastAsia" w:ascii="方正小标宋简体" w:hAnsi="方正小标宋简体" w:eastAsia="方正小标宋简体" w:cs="方正小标宋简体"/>
          <w:sz w:val="44"/>
          <w:szCs w:val="44"/>
          <w:highlight w:val="none"/>
          <w:lang w:val="en-US" w:eastAsia="zh-CN"/>
        </w:rPr>
        <w:t>方案</w:t>
      </w:r>
    </w:p>
    <w:bookmarkEnd w:id="0"/>
    <w:p w14:paraId="5379344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7"/>
        <w:gridCol w:w="930"/>
        <w:gridCol w:w="90"/>
        <w:gridCol w:w="711"/>
        <w:gridCol w:w="6632"/>
      </w:tblGrid>
      <w:tr w14:paraId="19E0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5"/>
            <w:noWrap w:val="0"/>
            <w:vAlign w:val="center"/>
          </w:tcPr>
          <w:p w14:paraId="5AED4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93300F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1ED9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5"/>
            <w:noWrap w:val="0"/>
            <w:vAlign w:val="center"/>
          </w:tcPr>
          <w:p w14:paraId="3E3A5F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470EE457">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165ECD7C">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p>
          <w:p w14:paraId="513B23AF">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1367D0FD">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0551E682">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p>
          <w:p w14:paraId="5F1CDA5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0195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5"/>
            <w:shd w:val="clear" w:color="auto" w:fill="auto"/>
            <w:noWrap w:val="0"/>
            <w:vAlign w:val="center"/>
          </w:tcPr>
          <w:p w14:paraId="332AD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70503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31分</w:t>
            </w:r>
          </w:p>
        </w:tc>
      </w:tr>
      <w:tr w14:paraId="340C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19C230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1097" w:type="dxa"/>
            <w:gridSpan w:val="3"/>
            <w:noWrap w:val="0"/>
            <w:vAlign w:val="center"/>
          </w:tcPr>
          <w:p w14:paraId="562411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评分内容</w:t>
            </w:r>
          </w:p>
        </w:tc>
        <w:tc>
          <w:tcPr>
            <w:tcW w:w="711" w:type="dxa"/>
            <w:noWrap w:val="0"/>
            <w:vAlign w:val="center"/>
          </w:tcPr>
          <w:p w14:paraId="2E020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权重（%）</w:t>
            </w:r>
          </w:p>
        </w:tc>
        <w:tc>
          <w:tcPr>
            <w:tcW w:w="6632" w:type="dxa"/>
            <w:noWrap w:val="0"/>
            <w:vAlign w:val="center"/>
          </w:tcPr>
          <w:p w14:paraId="2E25E7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评分细则</w:t>
            </w:r>
          </w:p>
        </w:tc>
      </w:tr>
      <w:tr w14:paraId="252C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634" w:type="dxa"/>
            <w:noWrap w:val="0"/>
            <w:vAlign w:val="center"/>
          </w:tcPr>
          <w:p w14:paraId="71CD2E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097" w:type="dxa"/>
            <w:gridSpan w:val="3"/>
            <w:noWrap w:val="0"/>
            <w:vAlign w:val="center"/>
          </w:tcPr>
          <w:p w14:paraId="088595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企业综合实力</w:t>
            </w:r>
          </w:p>
        </w:tc>
        <w:tc>
          <w:tcPr>
            <w:tcW w:w="711" w:type="dxa"/>
            <w:noWrap w:val="0"/>
            <w:vAlign w:val="center"/>
          </w:tcPr>
          <w:p w14:paraId="3872A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5分</w:t>
            </w:r>
          </w:p>
        </w:tc>
        <w:tc>
          <w:tcPr>
            <w:tcW w:w="6632" w:type="dxa"/>
            <w:noWrap w:val="0"/>
            <w:vAlign w:val="center"/>
          </w:tcPr>
          <w:p w14:paraId="506777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kern w:val="2"/>
                <w:sz w:val="24"/>
                <w:szCs w:val="24"/>
                <w:vertAlign w:val="baseline"/>
                <w:lang w:val="en-US" w:eastAsia="zh-CN" w:bidi="ar-SA"/>
              </w:rPr>
              <w:t>一、</w:t>
            </w:r>
            <w:r>
              <w:rPr>
                <w:rFonts w:hint="eastAsia" w:ascii="仿宋_GB2312" w:hAnsi="仿宋_GB2312" w:eastAsia="仿宋_GB2312" w:cs="仿宋_GB2312"/>
                <w:b/>
                <w:bCs/>
                <w:sz w:val="24"/>
                <w:szCs w:val="24"/>
                <w:highlight w:val="none"/>
                <w:vertAlign w:val="baseline"/>
                <w:lang w:val="en-US" w:eastAsia="zh-CN"/>
              </w:rPr>
              <w:t>评分内容：</w:t>
            </w:r>
          </w:p>
          <w:p w14:paraId="0B192FF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投标企业通过：</w:t>
            </w:r>
          </w:p>
          <w:p w14:paraId="10F4984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w:t>
            </w:r>
            <w:r>
              <w:rPr>
                <w:rFonts w:hint="eastAsia" w:ascii="仿宋_GB2312" w:hAnsi="仿宋_GB2312" w:eastAsia="仿宋_GB2312" w:cs="仿宋_GB2312"/>
                <w:kern w:val="2"/>
                <w:sz w:val="24"/>
                <w:szCs w:val="24"/>
                <w:highlight w:val="none"/>
                <w:vertAlign w:val="baseline"/>
                <w:lang w:val="en-US" w:eastAsia="zh-CN" w:bidi="ar-SA"/>
              </w:rPr>
              <w:t>ISO质量管理体系认证；</w:t>
            </w:r>
          </w:p>
          <w:p w14:paraId="24E066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w:t>
            </w:r>
            <w:r>
              <w:rPr>
                <w:rFonts w:hint="eastAsia" w:ascii="仿宋_GB2312" w:hAnsi="仿宋_GB2312" w:eastAsia="仿宋_GB2312" w:cs="仿宋_GB2312"/>
                <w:kern w:val="2"/>
                <w:sz w:val="24"/>
                <w:szCs w:val="24"/>
                <w:highlight w:val="none"/>
                <w:vertAlign w:val="baseline"/>
                <w:lang w:val="en-US" w:eastAsia="zh-CN" w:bidi="ar-SA"/>
              </w:rPr>
              <w:t>ISO环境管理体系认证；</w:t>
            </w:r>
          </w:p>
          <w:p w14:paraId="0AF19B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r>
              <w:rPr>
                <w:rFonts w:hint="eastAsia" w:ascii="仿宋_GB2312" w:hAnsi="仿宋_GB2312" w:eastAsia="仿宋_GB2312" w:cs="仿宋_GB2312"/>
                <w:kern w:val="2"/>
                <w:sz w:val="24"/>
                <w:szCs w:val="24"/>
                <w:highlight w:val="none"/>
                <w:vertAlign w:val="baseline"/>
                <w:lang w:val="en-US" w:eastAsia="zh-CN" w:bidi="ar-SA"/>
              </w:rPr>
              <w:t>ISO职业健康安全管理体系认证；</w:t>
            </w:r>
          </w:p>
          <w:p w14:paraId="63488E8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kern w:val="2"/>
                <w:sz w:val="24"/>
                <w:szCs w:val="24"/>
                <w:highlight w:val="none"/>
                <w:vertAlign w:val="baseline"/>
                <w:lang w:val="en-US" w:eastAsia="zh-CN" w:bidi="ar-SA"/>
              </w:rPr>
              <w:t>4.</w:t>
            </w:r>
            <w:r>
              <w:rPr>
                <w:rFonts w:hint="eastAsia" w:ascii="仿宋_GB2312" w:hAnsi="仿宋_GB2312" w:eastAsia="仿宋_GB2312" w:cs="仿宋_GB2312"/>
                <w:bCs/>
                <w:snapToGrid w:val="0"/>
                <w:color w:val="auto"/>
                <w:sz w:val="24"/>
                <w:highlight w:val="none"/>
              </w:rPr>
              <w:t>具有国家高新技术企业认定证书</w:t>
            </w:r>
            <w:r>
              <w:rPr>
                <w:rFonts w:hint="eastAsia" w:ascii="仿宋_GB2312" w:hAnsi="仿宋_GB2312" w:eastAsia="仿宋_GB2312" w:cs="仿宋_GB2312"/>
                <w:bCs/>
                <w:snapToGrid w:val="0"/>
                <w:color w:val="auto"/>
                <w:sz w:val="24"/>
                <w:highlight w:val="none"/>
                <w:lang w:eastAsia="zh-CN"/>
              </w:rPr>
              <w:t>；</w:t>
            </w:r>
          </w:p>
          <w:p w14:paraId="386714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5.</w:t>
            </w:r>
            <w:r>
              <w:rPr>
                <w:rFonts w:hint="eastAsia" w:ascii="仿宋_GB2312" w:hAnsi="仿宋_GB2312" w:eastAsia="仿宋_GB2312" w:cs="仿宋_GB2312"/>
                <w:bCs/>
                <w:snapToGrid w:val="0"/>
                <w:color w:val="auto"/>
                <w:sz w:val="24"/>
                <w:highlight w:val="none"/>
              </w:rPr>
              <w:t>信息系统建设和服务能力等级证书</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每提供一项证书得1分，以上证书全部提供得5分；（须提供清晰扫描件附于投标文件并加盖投标人的公章，否则不得分）。</w:t>
            </w:r>
          </w:p>
          <w:p w14:paraId="0C9B122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二、评分依据：</w:t>
            </w:r>
          </w:p>
          <w:p w14:paraId="264B5FC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投标人须提供有效的清晰扫描件附于投标文件并加盖投标人的公章。</w:t>
            </w:r>
          </w:p>
        </w:tc>
      </w:tr>
      <w:tr w14:paraId="0012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64E555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097" w:type="dxa"/>
            <w:gridSpan w:val="3"/>
            <w:noWrap w:val="0"/>
            <w:vAlign w:val="center"/>
          </w:tcPr>
          <w:p w14:paraId="361FE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711" w:type="dxa"/>
            <w:noWrap w:val="0"/>
            <w:vAlign w:val="center"/>
          </w:tcPr>
          <w:p w14:paraId="08AF70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6632" w:type="dxa"/>
            <w:noWrap w:val="0"/>
            <w:vAlign w:val="center"/>
          </w:tcPr>
          <w:p w14:paraId="12D9FD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186CE2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人近三年内（自2022年7月1日至投标截止日，以合同签订时间为准）承担过同类项目业绩（同类项目是指本项目相关的智能手环租用、销售或服务合同），以客户为单位，每提供1个服务客户单位业绩案例得2分，本项满分得10分，有效合同业绩需提供5项，超过5项的只取前5项。</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b/>
                <w:bCs/>
                <w:kern w:val="2"/>
                <w:sz w:val="24"/>
                <w:szCs w:val="24"/>
                <w:highlight w:val="none"/>
                <w:vertAlign w:val="baseline"/>
                <w:lang w:val="en-US" w:eastAsia="zh-CN" w:bidi="ar-SA"/>
              </w:rPr>
              <w:t>二、</w:t>
            </w:r>
            <w:r>
              <w:rPr>
                <w:rFonts w:hint="eastAsia" w:ascii="仿宋_GB2312" w:hAnsi="仿宋_GB2312" w:eastAsia="仿宋_GB2312" w:cs="仿宋_GB2312"/>
                <w:b/>
                <w:bCs/>
                <w:sz w:val="24"/>
                <w:szCs w:val="24"/>
                <w:highlight w:val="none"/>
                <w:vertAlign w:val="baseline"/>
                <w:lang w:val="en-US" w:eastAsia="zh-CN"/>
              </w:rPr>
              <w:t>评分依据：</w:t>
            </w:r>
          </w:p>
          <w:p w14:paraId="0C0331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6B23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shd w:val="clear" w:color="auto" w:fill="auto"/>
            <w:noWrap w:val="0"/>
            <w:vAlign w:val="center"/>
          </w:tcPr>
          <w:p w14:paraId="0ED7A3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3</w:t>
            </w:r>
          </w:p>
        </w:tc>
        <w:tc>
          <w:tcPr>
            <w:tcW w:w="1097" w:type="dxa"/>
            <w:gridSpan w:val="3"/>
            <w:shd w:val="clear" w:color="auto" w:fill="auto"/>
            <w:noWrap w:val="0"/>
            <w:vAlign w:val="center"/>
          </w:tcPr>
          <w:p w14:paraId="2D9082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应急服务方案</w:t>
            </w:r>
          </w:p>
        </w:tc>
        <w:tc>
          <w:tcPr>
            <w:tcW w:w="711" w:type="dxa"/>
            <w:shd w:val="clear" w:color="auto" w:fill="auto"/>
            <w:noWrap w:val="0"/>
            <w:vAlign w:val="center"/>
          </w:tcPr>
          <w:p w14:paraId="1EE634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6分</w:t>
            </w:r>
          </w:p>
        </w:tc>
        <w:tc>
          <w:tcPr>
            <w:tcW w:w="6632" w:type="dxa"/>
            <w:shd w:val="clear" w:color="auto" w:fill="auto"/>
            <w:noWrap w:val="0"/>
            <w:vAlign w:val="center"/>
          </w:tcPr>
          <w:p w14:paraId="1CF357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6F74F7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针对城市管家履约监管以及市考核要求，提供系统数据稳定的应急服务，并承诺做到；</w:t>
            </w:r>
          </w:p>
          <w:p w14:paraId="6C31323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1.1小时响应，2小时到达现场，12小时进行维修或更换，得6分：</w:t>
            </w:r>
          </w:p>
          <w:p w14:paraId="75BFC8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2.2小时响应，4小时到达现场，24小时进行维修或更换，得4分；</w:t>
            </w:r>
          </w:p>
          <w:p w14:paraId="5B5DC0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3.3小时响应，6小时到达现场，36小时进行维修或更换，得2分；</w:t>
            </w:r>
          </w:p>
          <w:p w14:paraId="753E3D7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不可累计得分，本项最高得6分</w:t>
            </w:r>
          </w:p>
          <w:p w14:paraId="61D6805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2A696B9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格式自拟。</w:t>
            </w:r>
          </w:p>
        </w:tc>
      </w:tr>
      <w:tr w14:paraId="3DFA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shd w:val="clear" w:color="auto" w:fill="auto"/>
            <w:noWrap w:val="0"/>
            <w:vAlign w:val="center"/>
          </w:tcPr>
          <w:p w14:paraId="3C7A3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4</w:t>
            </w:r>
          </w:p>
        </w:tc>
        <w:tc>
          <w:tcPr>
            <w:tcW w:w="1097" w:type="dxa"/>
            <w:gridSpan w:val="3"/>
            <w:shd w:val="clear" w:color="auto" w:fill="auto"/>
            <w:noWrap w:val="0"/>
            <w:vAlign w:val="center"/>
          </w:tcPr>
          <w:p w14:paraId="28E49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运维服务方案</w:t>
            </w:r>
          </w:p>
        </w:tc>
        <w:tc>
          <w:tcPr>
            <w:tcW w:w="711" w:type="dxa"/>
            <w:shd w:val="clear" w:color="auto" w:fill="auto"/>
            <w:noWrap w:val="0"/>
            <w:vAlign w:val="center"/>
          </w:tcPr>
          <w:p w14:paraId="2D37BD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10分</w:t>
            </w:r>
          </w:p>
        </w:tc>
        <w:tc>
          <w:tcPr>
            <w:tcW w:w="6632" w:type="dxa"/>
            <w:shd w:val="clear" w:color="auto" w:fill="auto"/>
            <w:noWrap w:val="0"/>
            <w:vAlign w:val="center"/>
          </w:tcPr>
          <w:p w14:paraId="2F23E3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4A89201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（一）投标人提供北斗智能手环服务方案，包括以下内容：每包括一项得1分，最高得5分：    </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Cs/>
                <w:snapToGrid w:val="0"/>
                <w:color w:val="auto"/>
                <w:sz w:val="24"/>
                <w:highlight w:val="none"/>
                <w:lang w:val="en-US" w:eastAsia="zh-CN"/>
              </w:rPr>
              <w:t xml:space="preserve">    1.安全生产管理；</w:t>
            </w:r>
          </w:p>
          <w:p w14:paraId="3B61F3E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2.服务流程规范；</w:t>
            </w:r>
          </w:p>
          <w:p w14:paraId="7BEA4A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3.质量检验措施；</w:t>
            </w:r>
          </w:p>
          <w:p w14:paraId="1C0BD14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4.北斗智能手环档案管理；</w:t>
            </w:r>
          </w:p>
          <w:p w14:paraId="56B94821">
            <w:pPr>
              <w:keepNext w:val="0"/>
              <w:keepLines w:val="0"/>
              <w:pageBreakBefore w:val="0"/>
              <w:widowControl w:val="0"/>
              <w:kinsoku/>
              <w:wordWrap/>
              <w:overflowPunct/>
              <w:topLinePunct w:val="0"/>
              <w:autoSpaceDE/>
              <w:autoSpaceDN/>
              <w:bidi w:val="0"/>
              <w:adjustRightInd/>
              <w:snapToGrid/>
              <w:spacing w:line="320" w:lineRule="exact"/>
              <w:ind w:left="239" w:leftChars="114" w:firstLine="240" w:firstLineChars="1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5.应急处理措施。</w:t>
            </w:r>
          </w:p>
          <w:p w14:paraId="6F05981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（二）在此基础上，评委针对各投标人提供的运维服务方案进行进阶评审：（此项满分5分）</w:t>
            </w:r>
          </w:p>
          <w:p w14:paraId="4A1DBED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1.具备完善的安全生产管理制度和业务流程操作规范，具备完善的检修措施，确保运维质量，且承诺正常工作时间（8：00-18：00）内，在招标人项目范围的指定场所内提供定人定点上门运维服务且不收取额外费用的。评价为优，得5分；</w:t>
            </w:r>
          </w:p>
          <w:p w14:paraId="0107292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2.具备比较完善的安全生产管理制度和业务流程操作规范，具备比较完善的检修措施以确保运维质量，评价为良，得3分；</w:t>
            </w:r>
          </w:p>
          <w:p w14:paraId="2DC5167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3.具备安全生产管理制度、业务流程操作规范和检修措施，评价为中，得1分；</w:t>
            </w:r>
          </w:p>
          <w:p w14:paraId="70FC44C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4.其他情况，评价为差，不得分。</w:t>
            </w:r>
          </w:p>
          <w:p w14:paraId="605C5FD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2"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1C93B4C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投标人自拟方案，未提供方案或专家无法凭所提供资料判断是否得分的情况，一律做不得分处理。</w:t>
            </w:r>
          </w:p>
        </w:tc>
      </w:tr>
      <w:tr w14:paraId="19C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5"/>
            <w:noWrap w:val="0"/>
            <w:vAlign w:val="center"/>
          </w:tcPr>
          <w:p w14:paraId="292C1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5FBBC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39分</w:t>
            </w:r>
          </w:p>
        </w:tc>
      </w:tr>
      <w:tr w14:paraId="5258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1" w:type="dxa"/>
            <w:gridSpan w:val="2"/>
            <w:noWrap w:val="0"/>
            <w:vAlign w:val="center"/>
          </w:tcPr>
          <w:p w14:paraId="7DA48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4"/>
                <w:szCs w:val="24"/>
                <w:highlight w:val="none"/>
                <w:vertAlign w:val="baseline"/>
                <w:lang w:val="en-US" w:eastAsia="zh-CN"/>
              </w:rPr>
              <w:t>1</w:t>
            </w:r>
          </w:p>
        </w:tc>
        <w:tc>
          <w:tcPr>
            <w:tcW w:w="930" w:type="dxa"/>
            <w:shd w:val="clear" w:color="auto" w:fill="auto"/>
            <w:noWrap w:val="0"/>
            <w:vAlign w:val="center"/>
          </w:tcPr>
          <w:p w14:paraId="4A7D5D9A">
            <w:pPr>
              <w:spacing w:line="400" w:lineRule="exact"/>
              <w:jc w:val="center"/>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kern w:val="2"/>
                <w:sz w:val="24"/>
                <w:szCs w:val="24"/>
                <w:highlight w:val="none"/>
                <w:lang w:val="en-US" w:eastAsia="zh-CN" w:bidi="ar-SA"/>
              </w:rPr>
              <w:t>拟安排的项目团队情况</w:t>
            </w:r>
          </w:p>
        </w:tc>
        <w:tc>
          <w:tcPr>
            <w:tcW w:w="801" w:type="dxa"/>
            <w:gridSpan w:val="2"/>
            <w:shd w:val="clear" w:color="auto" w:fill="auto"/>
            <w:noWrap w:val="0"/>
            <w:vAlign w:val="center"/>
          </w:tcPr>
          <w:p w14:paraId="55D767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6分</w:t>
            </w:r>
          </w:p>
        </w:tc>
        <w:tc>
          <w:tcPr>
            <w:tcW w:w="6632" w:type="dxa"/>
            <w:shd w:val="clear" w:color="auto" w:fill="auto"/>
            <w:noWrap w:val="0"/>
            <w:vAlign w:val="center"/>
          </w:tcPr>
          <w:p w14:paraId="18A21C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53353A1B">
            <w:p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rPr>
              <w:t>根据投标人拟安排的项目负责人进行评分</w:t>
            </w:r>
            <w:r>
              <w:rPr>
                <w:rFonts w:hint="eastAsia" w:ascii="仿宋_GB2312" w:hAnsi="仿宋_GB2312" w:eastAsia="仿宋_GB2312" w:cs="仿宋_GB2312"/>
                <w:bCs/>
                <w:snapToGrid w:val="0"/>
                <w:color w:val="auto"/>
                <w:sz w:val="24"/>
                <w:highlight w:val="none"/>
                <w:lang w:eastAsia="zh-CN"/>
              </w:rPr>
              <w:t>：</w:t>
            </w:r>
          </w:p>
          <w:p w14:paraId="4BC27F81">
            <w:pPr>
              <w:numPr>
                <w:ilvl w:val="0"/>
                <w:numId w:val="0"/>
              </w:num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kern w:val="2"/>
                <w:sz w:val="24"/>
                <w:szCs w:val="24"/>
                <w:lang w:val="en-US" w:eastAsia="zh-CN" w:bidi="ar-SA"/>
              </w:rPr>
              <w:t>1.</w:t>
            </w:r>
            <w:r>
              <w:rPr>
                <w:rFonts w:hint="eastAsia" w:ascii="仿宋_GB2312" w:hAnsi="仿宋_GB2312" w:eastAsia="仿宋_GB2312" w:cs="仿宋_GB2312"/>
                <w:bCs/>
                <w:snapToGrid w:val="0"/>
                <w:color w:val="auto"/>
                <w:sz w:val="24"/>
                <w:highlight w:val="none"/>
                <w:lang w:eastAsia="zh-CN"/>
              </w:rPr>
              <w:t>项目负责人具有本科及以上学历，得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分；专科学历的，得1分；专科以下学历，不得分。此项不累计计分，仅计算最高学历，此单项最高得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w:t>
            </w:r>
          </w:p>
          <w:p w14:paraId="526607CF">
            <w:pPr>
              <w:numPr>
                <w:ilvl w:val="0"/>
                <w:numId w:val="0"/>
              </w:num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项目负责人具备资质类高级职称，</w:t>
            </w:r>
            <w:r>
              <w:rPr>
                <w:rFonts w:hint="eastAsia" w:ascii="仿宋_GB2312" w:hAnsi="仿宋_GB2312" w:eastAsia="仿宋_GB2312" w:cs="仿宋_GB2312"/>
                <w:bCs/>
                <w:snapToGrid w:val="0"/>
                <w:color w:val="auto"/>
                <w:sz w:val="24"/>
                <w:highlight w:val="none"/>
                <w:lang w:val="en-US" w:eastAsia="zh-CN"/>
              </w:rPr>
              <w:t>得2</w:t>
            </w:r>
            <w:r>
              <w:rPr>
                <w:rFonts w:hint="eastAsia" w:ascii="仿宋_GB2312" w:hAnsi="仿宋_GB2312" w:eastAsia="仿宋_GB2312" w:cs="仿宋_GB2312"/>
                <w:bCs/>
                <w:snapToGrid w:val="0"/>
                <w:color w:val="auto"/>
                <w:sz w:val="24"/>
                <w:highlight w:val="none"/>
                <w:lang w:eastAsia="zh-CN"/>
              </w:rPr>
              <w:t>分；具备资质类中级职称，得1分；其它不得分。此单项最高得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w:t>
            </w:r>
          </w:p>
          <w:p w14:paraId="70B202C0">
            <w:pPr>
              <w:numPr>
                <w:ilvl w:val="0"/>
                <w:numId w:val="0"/>
              </w:num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3.</w:t>
            </w:r>
            <w:r>
              <w:rPr>
                <w:rFonts w:hint="eastAsia" w:ascii="仿宋_GB2312" w:hAnsi="仿宋_GB2312" w:eastAsia="仿宋_GB2312" w:cs="仿宋_GB2312"/>
                <w:bCs/>
                <w:snapToGrid w:val="0"/>
                <w:color w:val="auto"/>
                <w:sz w:val="24"/>
                <w:highlight w:val="none"/>
                <w:lang w:eastAsia="zh-CN"/>
              </w:rPr>
              <w:t>项目负责人参与过不少于3个信息化类项目案例经验的，得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分；参与过1-2个信息化类项目案例经验的，得1分；其它不得分。此单项最高得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w:t>
            </w:r>
          </w:p>
          <w:p w14:paraId="68E5CCFB">
            <w:pPr>
              <w:spacing w:line="400" w:lineRule="exact"/>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1521EB26">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拟安排的项目负责人需为投标人自有员工，提供相关人员开标日前由投标人为其缴交的载有政府部门公章的近1年社保缴交证明材料，如开标日上一个月的社保材料因政府部门原因暂时无法取得，则可以往前顺延一个月；社保资料必须至少显示缴交医疗保险信息，未显示该信息的该社保资料则不符合要求，原件备查。</w:t>
            </w:r>
          </w:p>
          <w:p w14:paraId="292F3FD9">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rPr>
              <w:t>2.证明人员学历的，提供毕业证书复印件及学历信息在学信网查询结果截图</w:t>
            </w:r>
            <w:r>
              <w:rPr>
                <w:rFonts w:hint="eastAsia" w:ascii="仿宋_GB2312" w:hAnsi="仿宋_GB2312" w:eastAsia="仿宋_GB2312" w:cs="仿宋_GB2312"/>
                <w:bCs/>
                <w:snapToGrid w:val="0"/>
                <w:color w:val="auto"/>
                <w:sz w:val="24"/>
                <w:highlight w:val="none"/>
              </w:rPr>
              <w:br w:type="textWrapping"/>
            </w:r>
            <w:r>
              <w:rPr>
                <w:rFonts w:hint="eastAsia" w:ascii="仿宋_GB2312" w:hAnsi="仿宋_GB2312" w:eastAsia="仿宋_GB2312" w:cs="仿宋_GB2312"/>
                <w:bCs/>
                <w:snapToGrid w:val="0"/>
                <w:color w:val="auto"/>
                <w:sz w:val="24"/>
                <w:highlight w:val="none"/>
              </w:rPr>
              <w:t>（https://www.chsi.com.cn/xlcx/index.jsp），由于于日期较早无法查询的，需提供毕业院校出具的证明，国外学历证书提供教育部留学服务中心出具的国外学历认证书以及教育部留学服务中心官网查询截图（查询网址</w:t>
            </w:r>
            <w:r>
              <w:rPr>
                <w:rFonts w:hint="eastAsia" w:ascii="仿宋_GB2312" w:hAnsi="仿宋_GB2312" w:eastAsia="仿宋_GB2312" w:cs="仿宋_GB2312"/>
                <w:bCs/>
                <w:snapToGrid w:val="0"/>
                <w:color w:val="auto"/>
                <w:sz w:val="24"/>
                <w:highlight w:val="none"/>
              </w:rPr>
              <w:br w:type="textWrapping"/>
            </w:r>
            <w:r>
              <w:rPr>
                <w:rFonts w:hint="eastAsia" w:ascii="仿宋_GB2312" w:hAnsi="仿宋_GB2312" w:eastAsia="仿宋_GB2312" w:cs="仿宋_GB2312"/>
                <w:bCs/>
                <w:snapToGrid w:val="0"/>
                <w:color w:val="auto"/>
                <w:sz w:val="24"/>
                <w:highlight w:val="none"/>
              </w:rPr>
              <w:t>h</w:t>
            </w:r>
            <w:r>
              <w:rPr>
                <w:rFonts w:hint="eastAsia" w:ascii="仿宋_GB2312" w:hAnsi="仿宋_GB2312" w:eastAsia="仿宋_GB2312" w:cs="仿宋_GB2312"/>
                <w:kern w:val="2"/>
                <w:sz w:val="24"/>
                <w:szCs w:val="24"/>
                <w:highlight w:val="none"/>
                <w:vertAlign w:val="baseline"/>
                <w:lang w:val="en-US" w:eastAsia="zh-CN" w:bidi="ar-SA"/>
              </w:rPr>
              <w:t>ttps://zwfw.cscse.edu.cn/）；</w:t>
            </w:r>
          </w:p>
          <w:p w14:paraId="2AF5EFAD">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3.资质类职称提供清晰扫描件附于投标文件并加盖投标人的公章。</w:t>
            </w:r>
          </w:p>
          <w:p w14:paraId="5A7BF239">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4.投标人未提供证明资料或专家无法凭所提供资料判断是否得分的情况，一律作不得分处理。</w:t>
            </w:r>
          </w:p>
        </w:tc>
      </w:tr>
      <w:tr w14:paraId="2254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1" w:type="dxa"/>
            <w:gridSpan w:val="2"/>
            <w:shd w:val="clear" w:color="auto" w:fill="auto"/>
            <w:noWrap w:val="0"/>
            <w:vAlign w:val="center"/>
          </w:tcPr>
          <w:p w14:paraId="0C8C90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2</w:t>
            </w:r>
          </w:p>
        </w:tc>
        <w:tc>
          <w:tcPr>
            <w:tcW w:w="930" w:type="dxa"/>
            <w:shd w:val="clear" w:color="auto" w:fill="auto"/>
            <w:noWrap w:val="0"/>
            <w:vAlign w:val="center"/>
          </w:tcPr>
          <w:p w14:paraId="3A70D5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_GB2312" w:hAnsi="仿宋_GB2312" w:eastAsia="仿宋_GB2312" w:cs="仿宋_GB2312"/>
                <w:bCs/>
                <w:snapToGrid w:val="0"/>
                <w:color w:val="auto"/>
                <w:sz w:val="24"/>
                <w:highlight w:val="none"/>
              </w:rPr>
              <w:t>技术参数响应情况</w:t>
            </w:r>
          </w:p>
        </w:tc>
        <w:tc>
          <w:tcPr>
            <w:tcW w:w="801" w:type="dxa"/>
            <w:gridSpan w:val="2"/>
            <w:shd w:val="clear" w:color="auto" w:fill="auto"/>
            <w:noWrap w:val="0"/>
            <w:vAlign w:val="center"/>
          </w:tcPr>
          <w:p w14:paraId="729FF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33分</w:t>
            </w:r>
          </w:p>
        </w:tc>
        <w:tc>
          <w:tcPr>
            <w:tcW w:w="6632" w:type="dxa"/>
            <w:shd w:val="clear" w:color="auto" w:fill="auto"/>
            <w:noWrap w:val="0"/>
            <w:vAlign w:val="center"/>
          </w:tcPr>
          <w:p w14:paraId="4EEA008F">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bCs/>
                <w:kern w:val="2"/>
                <w:sz w:val="24"/>
                <w:szCs w:val="24"/>
                <w:vertAlign w:val="baseline"/>
                <w:lang w:val="en-US" w:eastAsia="zh-CN" w:bidi="ar-SA"/>
              </w:rPr>
              <w:t>评分内容：</w:t>
            </w:r>
          </w:p>
          <w:p w14:paraId="15D64106">
            <w:pPr>
              <w:keepNext w:val="0"/>
              <w:keepLines w:val="0"/>
              <w:widowControl/>
              <w:numPr>
                <w:ilvl w:val="0"/>
                <w:numId w:val="0"/>
              </w:numPr>
              <w:suppressLineNumbers w:val="0"/>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投标人提供产品的技术规格响应情况（格式详见投标文件组成要求）进行打分</w:t>
            </w:r>
            <w:r>
              <w:rPr>
                <w:rFonts w:hint="eastAsia" w:ascii="仿宋_GB2312" w:hAnsi="仿宋_GB2312" w:eastAsia="仿宋_GB2312" w:cs="仿宋_GB2312"/>
                <w:bCs/>
                <w:snapToGrid w:val="0"/>
                <w:color w:val="auto"/>
                <w:sz w:val="24"/>
                <w:highlight w:val="none"/>
                <w:lang w:eastAsia="zh-CN"/>
              </w:rPr>
              <w:t>，每一项为</w:t>
            </w:r>
            <w:r>
              <w:rPr>
                <w:rFonts w:hint="eastAsia" w:ascii="仿宋_GB2312" w:hAnsi="仿宋_GB2312" w:eastAsia="仿宋_GB2312" w:cs="仿宋_GB2312"/>
                <w:bCs/>
                <w:snapToGrid w:val="0"/>
                <w:color w:val="auto"/>
                <w:sz w:val="24"/>
                <w:highlight w:val="none"/>
                <w:lang w:val="en-US" w:eastAsia="zh-CN"/>
              </w:rPr>
              <w:t>3</w:t>
            </w:r>
            <w:r>
              <w:rPr>
                <w:rFonts w:hint="eastAsia" w:ascii="仿宋_GB2312" w:hAnsi="仿宋_GB2312" w:eastAsia="仿宋_GB2312" w:cs="仿宋_GB2312"/>
                <w:bCs/>
                <w:snapToGrid w:val="0"/>
                <w:color w:val="auto"/>
                <w:sz w:val="24"/>
                <w:highlight w:val="none"/>
                <w:lang w:eastAsia="zh-CN"/>
              </w:rPr>
              <w:t>分，本项最高得</w:t>
            </w:r>
            <w:r>
              <w:rPr>
                <w:rFonts w:hint="eastAsia" w:ascii="仿宋_GB2312" w:hAnsi="仿宋_GB2312" w:eastAsia="仿宋_GB2312" w:cs="仿宋_GB2312"/>
                <w:bCs/>
                <w:snapToGrid w:val="0"/>
                <w:color w:val="auto"/>
                <w:sz w:val="24"/>
                <w:highlight w:val="none"/>
                <w:lang w:val="en-US" w:eastAsia="zh-CN"/>
              </w:rPr>
              <w:t>33</w:t>
            </w:r>
            <w:r>
              <w:rPr>
                <w:rFonts w:hint="eastAsia" w:ascii="仿宋_GB2312" w:hAnsi="仿宋_GB2312" w:eastAsia="仿宋_GB2312" w:cs="仿宋_GB2312"/>
                <w:bCs/>
                <w:snapToGrid w:val="0"/>
                <w:color w:val="auto"/>
                <w:sz w:val="24"/>
                <w:highlight w:val="none"/>
                <w:lang w:eastAsia="zh-CN"/>
              </w:rPr>
              <w:t>分，对负偏离进行扣分，扣完为止，重点技术参数▲项若有负偏离则扣</w:t>
            </w:r>
            <w:r>
              <w:rPr>
                <w:rFonts w:hint="eastAsia" w:ascii="仿宋_GB2312" w:hAnsi="仿宋_GB2312" w:eastAsia="仿宋_GB2312" w:cs="仿宋_GB2312"/>
                <w:bCs/>
                <w:snapToGrid w:val="0"/>
                <w:color w:val="auto"/>
                <w:sz w:val="24"/>
                <w:highlight w:val="none"/>
                <w:lang w:val="en-US" w:eastAsia="zh-CN"/>
              </w:rPr>
              <w:t>33</w:t>
            </w:r>
            <w:r>
              <w:rPr>
                <w:rFonts w:hint="eastAsia" w:ascii="仿宋_GB2312" w:hAnsi="仿宋_GB2312" w:eastAsia="仿宋_GB2312" w:cs="仿宋_GB2312"/>
                <w:bCs/>
                <w:snapToGrid w:val="0"/>
                <w:color w:val="auto"/>
                <w:sz w:val="24"/>
                <w:highlight w:val="none"/>
                <w:lang w:eastAsia="zh-CN"/>
              </w:rPr>
              <w:t>分。</w:t>
            </w:r>
            <w:r>
              <w:rPr>
                <w:rFonts w:hint="eastAsia" w:ascii="仿宋_GB2312" w:hAnsi="仿宋_GB2312" w:eastAsia="仿宋_GB2312" w:cs="仿宋_GB2312"/>
                <w:bCs/>
                <w:snapToGrid w:val="0"/>
                <w:color w:val="auto"/>
                <w:sz w:val="24"/>
                <w:highlight w:val="none"/>
              </w:rPr>
              <w:br w:type="textWrapping"/>
            </w:r>
            <w:r>
              <w:rPr>
                <w:rFonts w:hint="eastAsia" w:ascii="仿宋_GB2312" w:hAnsi="仿宋_GB2312" w:eastAsia="仿宋_GB2312" w:cs="仿宋_GB2312"/>
                <w:b/>
                <w:bCs/>
                <w:kern w:val="2"/>
                <w:sz w:val="24"/>
                <w:szCs w:val="24"/>
                <w:highlight w:val="none"/>
                <w:vertAlign w:val="baseline"/>
                <w:lang w:val="en-US" w:eastAsia="zh-CN" w:bidi="ar-SA"/>
              </w:rPr>
              <w:t>二、评分依据：</w:t>
            </w:r>
          </w:p>
          <w:p w14:paraId="1F9BB15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b/>
                <w:bCs/>
                <w:kern w:val="2"/>
                <w:sz w:val="28"/>
                <w:szCs w:val="28"/>
                <w:highlight w:val="none"/>
                <w:lang w:val="en-US" w:eastAsia="zh-CN" w:bidi="ar-SA"/>
              </w:rPr>
            </w:pPr>
            <w:r>
              <w:rPr>
                <w:rFonts w:hint="eastAsia" w:ascii="仿宋_GB2312" w:hAnsi="仿宋_GB2312" w:eastAsia="仿宋_GB2312" w:cs="仿宋_GB2312"/>
                <w:bCs/>
                <w:snapToGrid w:val="0"/>
                <w:color w:val="auto"/>
                <w:sz w:val="24"/>
                <w:highlight w:val="none"/>
              </w:rPr>
              <w:t>投标人未提供证明资料或专家无法凭所提供资料判断是否得分的情况，一律作不得分处理</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rPr>
              <w:t>。</w:t>
            </w:r>
          </w:p>
        </w:tc>
      </w:tr>
    </w:tbl>
    <w:p w14:paraId="32CF1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47D35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316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7DA6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412EA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255B9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3C5D736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5960D6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37EA1E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p w14:paraId="531459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4.应急服务方案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5.运维服务方案</w:t>
      </w:r>
    </w:p>
    <w:p w14:paraId="6191A2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6.拟安排的项目团队情况</w:t>
      </w:r>
    </w:p>
    <w:p w14:paraId="1853372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7.技术参数响应情况</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8.标报价一览表</w:t>
      </w:r>
    </w:p>
    <w:p w14:paraId="52AD639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3723E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1A7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6F15C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302445D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5C4068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3255CCD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3DB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1F88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4EE6340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5F4B68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0E7876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31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4AE003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A8FE1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BF8C95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4B1159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AD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94A99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4D2BE1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1B111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145ED7E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9D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6BD15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A4D9B7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08D0040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81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319FD6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6E6F7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A596D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CC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A5C55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18779C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B13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22230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7D747F3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320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4D2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251D9B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70856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1B30C5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1D6B8D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1285F3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F66D21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42CFD94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龙华区福龙和布龙路清扫保洁项目租用北斗智能手环</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1DD1513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我方接受《龙华区福龙和布龙路清扫保洁项目租用北斗智能手环公开遴选公告》中确定的计价方式，根据企业自身情况，理性报价，不会以低于成本的报价竞争。 </w:t>
      </w:r>
    </w:p>
    <w:p w14:paraId="3E71CCA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0D67A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1DD57F6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D0655B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4664854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4B94EC1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0134856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7F9E59C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4FC301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752B32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04ED5CC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2D7C42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1BA664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9"/>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535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75D3246D">
            <w:pPr>
              <w:pStyle w:val="12"/>
            </w:pPr>
            <w:r>
              <w:t>序号</w:t>
            </w:r>
          </w:p>
        </w:tc>
        <w:tc>
          <w:tcPr>
            <w:tcW w:w="1384" w:type="dxa"/>
            <w:noWrap w:val="0"/>
            <w:vAlign w:val="top"/>
          </w:tcPr>
          <w:p w14:paraId="422C02D0">
            <w:pPr>
              <w:pStyle w:val="12"/>
            </w:pPr>
            <w:r>
              <w:t>客户名称</w:t>
            </w:r>
          </w:p>
        </w:tc>
        <w:tc>
          <w:tcPr>
            <w:tcW w:w="1384" w:type="dxa"/>
            <w:noWrap w:val="0"/>
            <w:vAlign w:val="top"/>
          </w:tcPr>
          <w:p w14:paraId="6D84D231">
            <w:pPr>
              <w:pStyle w:val="12"/>
            </w:pPr>
            <w:r>
              <w:t>项目名称及合同金额（万元）</w:t>
            </w:r>
          </w:p>
        </w:tc>
        <w:tc>
          <w:tcPr>
            <w:tcW w:w="1384" w:type="dxa"/>
            <w:noWrap w:val="0"/>
            <w:vAlign w:val="top"/>
          </w:tcPr>
          <w:p w14:paraId="11BF33C8">
            <w:pPr>
              <w:pStyle w:val="12"/>
            </w:pPr>
            <w:r>
              <w:t>签订合同时间</w:t>
            </w:r>
          </w:p>
        </w:tc>
        <w:tc>
          <w:tcPr>
            <w:tcW w:w="1384" w:type="dxa"/>
            <w:noWrap w:val="0"/>
            <w:vAlign w:val="top"/>
          </w:tcPr>
          <w:p w14:paraId="0A45382C">
            <w:pPr>
              <w:pStyle w:val="12"/>
            </w:pPr>
            <w:r>
              <w:t>竣工验收报告时间</w:t>
            </w:r>
          </w:p>
        </w:tc>
        <w:tc>
          <w:tcPr>
            <w:tcW w:w="1384" w:type="dxa"/>
            <w:noWrap w:val="0"/>
            <w:vAlign w:val="top"/>
          </w:tcPr>
          <w:p w14:paraId="2AFB8044">
            <w:pPr>
              <w:pStyle w:val="12"/>
            </w:pPr>
            <w:r>
              <w:t>联系人及电话</w:t>
            </w:r>
          </w:p>
        </w:tc>
      </w:tr>
      <w:tr w14:paraId="61A4F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61BAF3A">
            <w:pPr>
              <w:pStyle w:val="12"/>
            </w:pPr>
            <w:r>
              <w:t>1</w:t>
            </w:r>
          </w:p>
        </w:tc>
        <w:tc>
          <w:tcPr>
            <w:tcW w:w="1384" w:type="dxa"/>
            <w:noWrap w:val="0"/>
            <w:vAlign w:val="top"/>
          </w:tcPr>
          <w:p w14:paraId="5311F6C0"/>
        </w:tc>
        <w:tc>
          <w:tcPr>
            <w:tcW w:w="1384" w:type="dxa"/>
            <w:noWrap w:val="0"/>
            <w:vAlign w:val="top"/>
          </w:tcPr>
          <w:p w14:paraId="695DF055"/>
        </w:tc>
        <w:tc>
          <w:tcPr>
            <w:tcW w:w="1384" w:type="dxa"/>
            <w:noWrap w:val="0"/>
            <w:vAlign w:val="top"/>
          </w:tcPr>
          <w:p w14:paraId="54446A96"/>
        </w:tc>
        <w:tc>
          <w:tcPr>
            <w:tcW w:w="1384" w:type="dxa"/>
            <w:noWrap w:val="0"/>
            <w:vAlign w:val="top"/>
          </w:tcPr>
          <w:p w14:paraId="7BF38E2E"/>
        </w:tc>
        <w:tc>
          <w:tcPr>
            <w:tcW w:w="1384" w:type="dxa"/>
            <w:noWrap w:val="0"/>
            <w:vAlign w:val="top"/>
          </w:tcPr>
          <w:p w14:paraId="7885372B"/>
        </w:tc>
      </w:tr>
      <w:tr w14:paraId="257DC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9DF1BB8">
            <w:pPr>
              <w:pStyle w:val="12"/>
            </w:pPr>
            <w:r>
              <w:t>2</w:t>
            </w:r>
          </w:p>
        </w:tc>
        <w:tc>
          <w:tcPr>
            <w:tcW w:w="1384" w:type="dxa"/>
            <w:noWrap w:val="0"/>
            <w:vAlign w:val="top"/>
          </w:tcPr>
          <w:p w14:paraId="3B113072"/>
        </w:tc>
        <w:tc>
          <w:tcPr>
            <w:tcW w:w="1384" w:type="dxa"/>
            <w:noWrap w:val="0"/>
            <w:vAlign w:val="top"/>
          </w:tcPr>
          <w:p w14:paraId="33B1E754"/>
        </w:tc>
        <w:tc>
          <w:tcPr>
            <w:tcW w:w="1384" w:type="dxa"/>
            <w:noWrap w:val="0"/>
            <w:vAlign w:val="top"/>
          </w:tcPr>
          <w:p w14:paraId="08A7076F"/>
        </w:tc>
        <w:tc>
          <w:tcPr>
            <w:tcW w:w="1384" w:type="dxa"/>
            <w:noWrap w:val="0"/>
            <w:vAlign w:val="top"/>
          </w:tcPr>
          <w:p w14:paraId="138C73DF"/>
        </w:tc>
        <w:tc>
          <w:tcPr>
            <w:tcW w:w="1384" w:type="dxa"/>
            <w:noWrap w:val="0"/>
            <w:vAlign w:val="top"/>
          </w:tcPr>
          <w:p w14:paraId="13BC0E6F"/>
        </w:tc>
      </w:tr>
      <w:tr w14:paraId="5630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272DF393">
            <w:pPr>
              <w:pStyle w:val="12"/>
            </w:pPr>
            <w:r>
              <w:t>3</w:t>
            </w:r>
          </w:p>
        </w:tc>
        <w:tc>
          <w:tcPr>
            <w:tcW w:w="1384" w:type="dxa"/>
            <w:noWrap w:val="0"/>
            <w:vAlign w:val="top"/>
          </w:tcPr>
          <w:p w14:paraId="0A7918BE"/>
        </w:tc>
        <w:tc>
          <w:tcPr>
            <w:tcW w:w="1384" w:type="dxa"/>
            <w:noWrap w:val="0"/>
            <w:vAlign w:val="top"/>
          </w:tcPr>
          <w:p w14:paraId="662B90B7"/>
        </w:tc>
        <w:tc>
          <w:tcPr>
            <w:tcW w:w="1384" w:type="dxa"/>
            <w:noWrap w:val="0"/>
            <w:vAlign w:val="top"/>
          </w:tcPr>
          <w:p w14:paraId="664909DA"/>
        </w:tc>
        <w:tc>
          <w:tcPr>
            <w:tcW w:w="1384" w:type="dxa"/>
            <w:noWrap w:val="0"/>
            <w:vAlign w:val="top"/>
          </w:tcPr>
          <w:p w14:paraId="546646EB"/>
        </w:tc>
        <w:tc>
          <w:tcPr>
            <w:tcW w:w="1384" w:type="dxa"/>
            <w:noWrap w:val="0"/>
            <w:vAlign w:val="top"/>
          </w:tcPr>
          <w:p w14:paraId="5C7E79F1"/>
        </w:tc>
      </w:tr>
      <w:tr w14:paraId="3462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E57FA93">
            <w:pPr>
              <w:pStyle w:val="12"/>
            </w:pPr>
            <w:r>
              <w:t>4</w:t>
            </w:r>
          </w:p>
        </w:tc>
        <w:tc>
          <w:tcPr>
            <w:tcW w:w="1384" w:type="dxa"/>
            <w:noWrap w:val="0"/>
            <w:vAlign w:val="top"/>
          </w:tcPr>
          <w:p w14:paraId="588B8FC4"/>
        </w:tc>
        <w:tc>
          <w:tcPr>
            <w:tcW w:w="1384" w:type="dxa"/>
            <w:noWrap w:val="0"/>
            <w:vAlign w:val="top"/>
          </w:tcPr>
          <w:p w14:paraId="2CBE6D16"/>
        </w:tc>
        <w:tc>
          <w:tcPr>
            <w:tcW w:w="1384" w:type="dxa"/>
            <w:noWrap w:val="0"/>
            <w:vAlign w:val="top"/>
          </w:tcPr>
          <w:p w14:paraId="63FD81D0"/>
        </w:tc>
        <w:tc>
          <w:tcPr>
            <w:tcW w:w="1384" w:type="dxa"/>
            <w:noWrap w:val="0"/>
            <w:vAlign w:val="top"/>
          </w:tcPr>
          <w:p w14:paraId="120A44B4"/>
        </w:tc>
        <w:tc>
          <w:tcPr>
            <w:tcW w:w="1384" w:type="dxa"/>
            <w:noWrap w:val="0"/>
            <w:vAlign w:val="top"/>
          </w:tcPr>
          <w:p w14:paraId="4E436145"/>
        </w:tc>
      </w:tr>
      <w:tr w14:paraId="2A5B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5C106A34">
            <w:pPr>
              <w:pStyle w:val="12"/>
              <w:rPr>
                <w:rFonts w:hint="eastAsia" w:eastAsia="宋体"/>
                <w:lang w:eastAsia="zh-CN"/>
              </w:rPr>
            </w:pPr>
            <w:r>
              <w:rPr>
                <w:rFonts w:hint="eastAsia"/>
                <w:lang w:val="en-US" w:eastAsia="zh-CN"/>
              </w:rPr>
              <w:t>5</w:t>
            </w:r>
          </w:p>
        </w:tc>
        <w:tc>
          <w:tcPr>
            <w:tcW w:w="1384" w:type="dxa"/>
            <w:noWrap w:val="0"/>
            <w:vAlign w:val="top"/>
          </w:tcPr>
          <w:p w14:paraId="607330D1"/>
        </w:tc>
        <w:tc>
          <w:tcPr>
            <w:tcW w:w="1384" w:type="dxa"/>
            <w:noWrap w:val="0"/>
            <w:vAlign w:val="top"/>
          </w:tcPr>
          <w:p w14:paraId="76AA4CBD"/>
        </w:tc>
        <w:tc>
          <w:tcPr>
            <w:tcW w:w="1384" w:type="dxa"/>
            <w:noWrap w:val="0"/>
            <w:vAlign w:val="top"/>
          </w:tcPr>
          <w:p w14:paraId="53AC6D85"/>
        </w:tc>
        <w:tc>
          <w:tcPr>
            <w:tcW w:w="1384" w:type="dxa"/>
            <w:noWrap w:val="0"/>
            <w:vAlign w:val="top"/>
          </w:tcPr>
          <w:p w14:paraId="058A0341"/>
        </w:tc>
        <w:tc>
          <w:tcPr>
            <w:tcW w:w="1384" w:type="dxa"/>
            <w:noWrap w:val="0"/>
            <w:vAlign w:val="top"/>
          </w:tcPr>
          <w:p w14:paraId="280747A5"/>
        </w:tc>
      </w:tr>
    </w:tbl>
    <w:p w14:paraId="2210AF73">
      <w:pPr>
        <w:pStyle w:val="12"/>
        <w:ind w:firstLine="480"/>
      </w:pPr>
      <w:r>
        <w:t>（以下格式文件由供应商根据需要选用）</w:t>
      </w:r>
    </w:p>
    <w:p w14:paraId="0F84CFF6">
      <w:pPr>
        <w:pStyle w:val="12"/>
        <w:jc w:val="center"/>
        <w:outlineLvl w:val="3"/>
      </w:pPr>
      <w:r>
        <w:rPr>
          <w:b/>
          <w:sz w:val="24"/>
        </w:rPr>
        <w:t>投标人业绩情况表</w:t>
      </w:r>
    </w:p>
    <w:p w14:paraId="323C956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t>根据上述业绩情况，按招标文件要求附销售或服务合同复印件及评审标准要求的证明材料</w:t>
      </w:r>
    </w:p>
    <w:p w14:paraId="1D33C3FE">
      <w:pPr>
        <w:pStyle w:val="2"/>
        <w:numPr>
          <w:ilvl w:val="0"/>
          <w:numId w:val="0"/>
        </w:numPr>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4.</w:t>
      </w:r>
      <w:r>
        <w:rPr>
          <w:rFonts w:hint="eastAsia" w:ascii="楷体_GB2312" w:hAnsi="楷体_GB2312" w:eastAsia="楷体_GB2312" w:cs="楷体_GB2312"/>
          <w:sz w:val="32"/>
          <w:szCs w:val="32"/>
          <w:highlight w:val="none"/>
          <w:lang w:val="en-US" w:eastAsia="zh-CN"/>
        </w:rPr>
        <w:t>应急服务方案</w:t>
      </w:r>
    </w:p>
    <w:p w14:paraId="34F4FE21">
      <w:pPr>
        <w:pStyle w:val="2"/>
        <w:numPr>
          <w:ilvl w:val="0"/>
          <w:numId w:val="0"/>
        </w:numPr>
        <w:ind w:firstLine="3200" w:firstLineChars="10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BFFD7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5.运维服务方案</w:t>
      </w:r>
    </w:p>
    <w:p w14:paraId="39B76F5B">
      <w:pPr>
        <w:pStyle w:val="2"/>
        <w:numPr>
          <w:ilvl w:val="0"/>
          <w:numId w:val="0"/>
        </w:numPr>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A924A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6.拟安排的项目团队情况</w:t>
      </w:r>
    </w:p>
    <w:p w14:paraId="27C04124">
      <w:pPr>
        <w:pStyle w:val="2"/>
        <w:numPr>
          <w:ilvl w:val="0"/>
          <w:numId w:val="0"/>
        </w:numPr>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87B3ED9">
      <w:pPr>
        <w:pStyle w:val="2"/>
        <w:numPr>
          <w:ilvl w:val="0"/>
          <w:numId w:val="0"/>
        </w:numPr>
        <w:jc w:val="both"/>
        <w:rPr>
          <w:rFonts w:hint="eastAsia" w:ascii="楷体_GB2312" w:hAnsi="楷体_GB2312" w:eastAsia="楷体_GB2312" w:cs="楷体_GB2312"/>
          <w:sz w:val="32"/>
          <w:szCs w:val="32"/>
          <w:highlight w:val="none"/>
          <w:lang w:val="en-US" w:eastAsia="zh-CN"/>
        </w:rPr>
      </w:pPr>
    </w:p>
    <w:p w14:paraId="5613289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highlight w:val="none"/>
          <w:lang w:val="en-US" w:eastAsia="zh-CN"/>
        </w:rPr>
      </w:pPr>
    </w:p>
    <w:p w14:paraId="1D5A7A8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highlight w:val="none"/>
          <w:lang w:val="en-US" w:eastAsia="zh-CN"/>
        </w:rPr>
        <w:sectPr>
          <w:pgSz w:w="11906" w:h="16838"/>
          <w:pgMar w:top="2098" w:right="1417" w:bottom="1984" w:left="1587" w:header="851" w:footer="992" w:gutter="0"/>
          <w:cols w:space="425" w:num="1"/>
          <w:docGrid w:type="lines" w:linePitch="312" w:charSpace="0"/>
        </w:sectPr>
      </w:pPr>
    </w:p>
    <w:p w14:paraId="2F2709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7.技术参数响应情况</w:t>
      </w:r>
    </w:p>
    <w:p w14:paraId="17343599">
      <w:pPr>
        <w:pStyle w:val="5"/>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技术参数响应情况表</w:t>
      </w:r>
    </w:p>
    <w:tbl>
      <w:tblPr>
        <w:tblStyle w:val="10"/>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307"/>
        <w:gridCol w:w="3066"/>
        <w:gridCol w:w="2041"/>
        <w:gridCol w:w="1474"/>
        <w:gridCol w:w="1134"/>
      </w:tblGrid>
      <w:tr w14:paraId="5250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26A7F5B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307" w:type="dxa"/>
            <w:noWrap w:val="0"/>
            <w:vAlign w:val="center"/>
          </w:tcPr>
          <w:p w14:paraId="448B70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066" w:type="dxa"/>
            <w:noWrap w:val="0"/>
            <w:vAlign w:val="center"/>
          </w:tcPr>
          <w:p w14:paraId="53FB380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2041" w:type="dxa"/>
            <w:noWrap w:val="0"/>
            <w:vAlign w:val="center"/>
          </w:tcPr>
          <w:p w14:paraId="1B909C4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所投产品参数</w:t>
            </w:r>
          </w:p>
        </w:tc>
        <w:tc>
          <w:tcPr>
            <w:tcW w:w="1474" w:type="dxa"/>
            <w:noWrap w:val="0"/>
            <w:vAlign w:val="center"/>
          </w:tcPr>
          <w:p w14:paraId="01FAA7E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偏离情况</w:t>
            </w:r>
          </w:p>
        </w:tc>
        <w:tc>
          <w:tcPr>
            <w:tcW w:w="1134" w:type="dxa"/>
            <w:noWrap w:val="0"/>
            <w:vAlign w:val="center"/>
          </w:tcPr>
          <w:p w14:paraId="554821C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5D92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1" w:type="dxa"/>
            <w:noWrap w:val="0"/>
            <w:vAlign w:val="center"/>
          </w:tcPr>
          <w:p w14:paraId="08A994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307" w:type="dxa"/>
            <w:vMerge w:val="restart"/>
            <w:noWrap w:val="0"/>
            <w:vAlign w:val="center"/>
          </w:tcPr>
          <w:p w14:paraId="19CC97F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_GB2312" w:hAnsi="仿宋_GB2312" w:eastAsia="仿宋_GB2312" w:cs="仿宋_GB2312"/>
                <w:sz w:val="32"/>
                <w:szCs w:val="32"/>
                <w:highlight w:val="none"/>
                <w:lang w:val="en-US" w:eastAsia="zh-CN"/>
              </w:rPr>
              <w:t>北斗智能手环</w:t>
            </w:r>
          </w:p>
        </w:tc>
        <w:tc>
          <w:tcPr>
            <w:tcW w:w="3066" w:type="dxa"/>
            <w:noWrap w:val="0"/>
            <w:vAlign w:val="center"/>
          </w:tcPr>
          <w:p w14:paraId="299E5781">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1.定位方式：北斗；</w:t>
            </w:r>
          </w:p>
        </w:tc>
        <w:tc>
          <w:tcPr>
            <w:tcW w:w="2041" w:type="dxa"/>
            <w:noWrap w:val="0"/>
            <w:vAlign w:val="center"/>
          </w:tcPr>
          <w:p w14:paraId="073A0B4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860FC6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187F20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F15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1" w:type="dxa"/>
            <w:noWrap w:val="0"/>
            <w:vAlign w:val="center"/>
          </w:tcPr>
          <w:p w14:paraId="32A461C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307" w:type="dxa"/>
            <w:vMerge w:val="continue"/>
            <w:noWrap w:val="0"/>
            <w:vAlign w:val="center"/>
          </w:tcPr>
          <w:p w14:paraId="6C66BFD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3066" w:type="dxa"/>
            <w:noWrap w:val="0"/>
            <w:vAlign w:val="center"/>
          </w:tcPr>
          <w:p w14:paraId="24125E4C">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2.通信网络：4G；</w:t>
            </w:r>
          </w:p>
        </w:tc>
        <w:tc>
          <w:tcPr>
            <w:tcW w:w="2041" w:type="dxa"/>
            <w:noWrap w:val="0"/>
            <w:vAlign w:val="center"/>
          </w:tcPr>
          <w:p w14:paraId="08D7B10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5F23EBC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B7FF67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32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1" w:type="dxa"/>
            <w:noWrap w:val="0"/>
            <w:vAlign w:val="center"/>
          </w:tcPr>
          <w:p w14:paraId="0C50514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307" w:type="dxa"/>
            <w:vMerge w:val="continue"/>
            <w:noWrap w:val="0"/>
            <w:vAlign w:val="center"/>
          </w:tcPr>
          <w:p w14:paraId="14F89715">
            <w:pPr>
              <w:widowControl w:val="0"/>
              <w:jc w:val="center"/>
              <w:rPr>
                <w:sz w:val="28"/>
                <w:szCs w:val="28"/>
                <w:highlight w:val="none"/>
              </w:rPr>
            </w:pPr>
          </w:p>
        </w:tc>
        <w:tc>
          <w:tcPr>
            <w:tcW w:w="3066" w:type="dxa"/>
            <w:noWrap w:val="0"/>
            <w:vAlign w:val="center"/>
          </w:tcPr>
          <w:p w14:paraId="5073CDB4">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3.具备打卡功能；</w:t>
            </w:r>
          </w:p>
        </w:tc>
        <w:tc>
          <w:tcPr>
            <w:tcW w:w="2041" w:type="dxa"/>
            <w:noWrap w:val="0"/>
            <w:vAlign w:val="center"/>
          </w:tcPr>
          <w:p w14:paraId="7DF4404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40747B1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84F9B6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352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5FAD7D3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307" w:type="dxa"/>
            <w:vMerge w:val="continue"/>
            <w:noWrap w:val="0"/>
            <w:vAlign w:val="center"/>
          </w:tcPr>
          <w:p w14:paraId="4F935F69">
            <w:pPr>
              <w:widowControl w:val="0"/>
              <w:jc w:val="center"/>
              <w:rPr>
                <w:sz w:val="28"/>
                <w:szCs w:val="28"/>
                <w:highlight w:val="none"/>
              </w:rPr>
            </w:pPr>
          </w:p>
        </w:tc>
        <w:tc>
          <w:tcPr>
            <w:tcW w:w="3066" w:type="dxa"/>
            <w:noWrap w:val="0"/>
            <w:vAlign w:val="center"/>
          </w:tcPr>
          <w:p w14:paraId="3AC8AD25">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4.定位信息及轨迹：实时获取位置数据并支持最少1分钟数据上传，且支持离线存储及位置信息轨迹回放；</w:t>
            </w:r>
          </w:p>
        </w:tc>
        <w:tc>
          <w:tcPr>
            <w:tcW w:w="2041" w:type="dxa"/>
            <w:noWrap w:val="0"/>
            <w:vAlign w:val="center"/>
          </w:tcPr>
          <w:p w14:paraId="6E635F1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B1B813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0CCE44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B1D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91" w:type="dxa"/>
            <w:noWrap w:val="0"/>
            <w:vAlign w:val="center"/>
          </w:tcPr>
          <w:p w14:paraId="0E9876F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307" w:type="dxa"/>
            <w:vMerge w:val="continue"/>
            <w:noWrap w:val="0"/>
            <w:vAlign w:val="center"/>
          </w:tcPr>
          <w:p w14:paraId="429B4E6D">
            <w:pPr>
              <w:widowControl w:val="0"/>
              <w:jc w:val="center"/>
              <w:rPr>
                <w:sz w:val="28"/>
                <w:szCs w:val="28"/>
                <w:highlight w:val="none"/>
              </w:rPr>
            </w:pPr>
          </w:p>
        </w:tc>
        <w:tc>
          <w:tcPr>
            <w:tcW w:w="3066" w:type="dxa"/>
            <w:noWrap w:val="0"/>
            <w:vAlign w:val="center"/>
          </w:tcPr>
          <w:p w14:paraId="62EBB10F">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5.具备视频通话、语音播报功能；</w:t>
            </w:r>
          </w:p>
        </w:tc>
        <w:tc>
          <w:tcPr>
            <w:tcW w:w="2041" w:type="dxa"/>
            <w:noWrap w:val="0"/>
            <w:vAlign w:val="center"/>
          </w:tcPr>
          <w:p w14:paraId="351633E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74A7CB4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C08ABC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5C0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91" w:type="dxa"/>
            <w:noWrap w:val="0"/>
            <w:vAlign w:val="center"/>
          </w:tcPr>
          <w:p w14:paraId="5495054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307" w:type="dxa"/>
            <w:vMerge w:val="continue"/>
            <w:noWrap w:val="0"/>
            <w:vAlign w:val="center"/>
          </w:tcPr>
          <w:p w14:paraId="732402B7">
            <w:pPr>
              <w:widowControl w:val="0"/>
              <w:jc w:val="center"/>
              <w:rPr>
                <w:sz w:val="28"/>
                <w:szCs w:val="28"/>
                <w:highlight w:val="none"/>
              </w:rPr>
            </w:pPr>
          </w:p>
        </w:tc>
        <w:tc>
          <w:tcPr>
            <w:tcW w:w="3066" w:type="dxa"/>
            <w:noWrap w:val="0"/>
            <w:vAlign w:val="center"/>
          </w:tcPr>
          <w:p w14:paraId="630F293D">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6.防水等级≥IP66；</w:t>
            </w:r>
          </w:p>
        </w:tc>
        <w:tc>
          <w:tcPr>
            <w:tcW w:w="2041" w:type="dxa"/>
            <w:noWrap w:val="0"/>
            <w:vAlign w:val="center"/>
          </w:tcPr>
          <w:p w14:paraId="4190260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465BE9A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371DE2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5D3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91" w:type="dxa"/>
            <w:noWrap w:val="0"/>
            <w:vAlign w:val="center"/>
          </w:tcPr>
          <w:p w14:paraId="4737473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307" w:type="dxa"/>
            <w:vMerge w:val="continue"/>
            <w:noWrap w:val="0"/>
            <w:vAlign w:val="center"/>
          </w:tcPr>
          <w:p w14:paraId="5F5B3F51">
            <w:pPr>
              <w:widowControl w:val="0"/>
              <w:jc w:val="center"/>
              <w:rPr>
                <w:sz w:val="28"/>
                <w:szCs w:val="28"/>
                <w:highlight w:val="none"/>
              </w:rPr>
            </w:pPr>
          </w:p>
        </w:tc>
        <w:tc>
          <w:tcPr>
            <w:tcW w:w="3066" w:type="dxa"/>
            <w:noWrap w:val="0"/>
            <w:vAlign w:val="center"/>
          </w:tcPr>
          <w:p w14:paraId="2B4D6C77">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rPr>
              <w:t>7.电池容量≥800mAh；续航时间≥20小时；</w:t>
            </w:r>
          </w:p>
        </w:tc>
        <w:tc>
          <w:tcPr>
            <w:tcW w:w="2041" w:type="dxa"/>
            <w:noWrap w:val="0"/>
            <w:vAlign w:val="center"/>
          </w:tcPr>
          <w:p w14:paraId="434287C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17AC7D0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CDCC99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2D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1" w:type="dxa"/>
            <w:noWrap w:val="0"/>
            <w:vAlign w:val="center"/>
          </w:tcPr>
          <w:p w14:paraId="554878E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307" w:type="dxa"/>
            <w:vMerge w:val="continue"/>
            <w:noWrap w:val="0"/>
            <w:vAlign w:val="center"/>
          </w:tcPr>
          <w:p w14:paraId="7E6A6BA2">
            <w:pPr>
              <w:widowControl w:val="0"/>
              <w:jc w:val="center"/>
              <w:rPr>
                <w:sz w:val="28"/>
                <w:szCs w:val="28"/>
                <w:highlight w:val="none"/>
              </w:rPr>
            </w:pPr>
          </w:p>
        </w:tc>
        <w:tc>
          <w:tcPr>
            <w:tcW w:w="3066" w:type="dxa"/>
            <w:noWrap w:val="0"/>
            <w:vAlign w:val="center"/>
          </w:tcPr>
          <w:p w14:paraId="03E9A55D">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8.支持人员体温实时监测；</w:t>
            </w:r>
          </w:p>
        </w:tc>
        <w:tc>
          <w:tcPr>
            <w:tcW w:w="2041" w:type="dxa"/>
            <w:noWrap w:val="0"/>
            <w:vAlign w:val="center"/>
          </w:tcPr>
          <w:p w14:paraId="17B8F8F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1C75F75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0A3FD2C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46B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6226F5E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9</w:t>
            </w:r>
          </w:p>
        </w:tc>
        <w:tc>
          <w:tcPr>
            <w:tcW w:w="1307" w:type="dxa"/>
            <w:vMerge w:val="continue"/>
            <w:noWrap w:val="0"/>
            <w:vAlign w:val="center"/>
          </w:tcPr>
          <w:p w14:paraId="297FD84A">
            <w:pPr>
              <w:widowControl w:val="0"/>
              <w:jc w:val="center"/>
              <w:rPr>
                <w:sz w:val="28"/>
                <w:szCs w:val="28"/>
                <w:highlight w:val="none"/>
              </w:rPr>
            </w:pPr>
          </w:p>
        </w:tc>
        <w:tc>
          <w:tcPr>
            <w:tcW w:w="3066" w:type="dxa"/>
            <w:noWrap w:val="0"/>
            <w:vAlign w:val="center"/>
          </w:tcPr>
          <w:p w14:paraId="7C2AFB00">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9.盲区补传：设备定位且不在线，可暂存不低于300条数据，有信号正常上线时上传；</w:t>
            </w:r>
          </w:p>
        </w:tc>
        <w:tc>
          <w:tcPr>
            <w:tcW w:w="2041" w:type="dxa"/>
            <w:noWrap w:val="0"/>
            <w:vAlign w:val="center"/>
          </w:tcPr>
          <w:p w14:paraId="5A1DC2F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w:t>
            </w:r>
          </w:p>
        </w:tc>
        <w:tc>
          <w:tcPr>
            <w:tcW w:w="1474" w:type="dxa"/>
            <w:noWrap w:val="0"/>
            <w:vAlign w:val="center"/>
          </w:tcPr>
          <w:p w14:paraId="5C60B30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31D054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2D30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0588924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10</w:t>
            </w:r>
          </w:p>
        </w:tc>
        <w:tc>
          <w:tcPr>
            <w:tcW w:w="1307" w:type="dxa"/>
            <w:vMerge w:val="continue"/>
            <w:noWrap w:val="0"/>
            <w:vAlign w:val="center"/>
          </w:tcPr>
          <w:p w14:paraId="5E785505">
            <w:pPr>
              <w:widowControl w:val="0"/>
              <w:jc w:val="center"/>
              <w:rPr>
                <w:sz w:val="28"/>
                <w:szCs w:val="28"/>
                <w:highlight w:val="none"/>
              </w:rPr>
            </w:pPr>
          </w:p>
        </w:tc>
        <w:tc>
          <w:tcPr>
            <w:tcW w:w="3066" w:type="dxa"/>
            <w:noWrap w:val="0"/>
            <w:vAlign w:val="center"/>
          </w:tcPr>
          <w:p w14:paraId="3EC02B86">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10.整机通过国家安全标准认证GB4943，电池原料通过国家安全标准认证GB31241。</w:t>
            </w:r>
          </w:p>
        </w:tc>
        <w:tc>
          <w:tcPr>
            <w:tcW w:w="2041" w:type="dxa"/>
            <w:noWrap w:val="0"/>
            <w:vAlign w:val="center"/>
          </w:tcPr>
          <w:p w14:paraId="7EB85F6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33A3CE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5FF329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E0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5B7469B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11</w:t>
            </w:r>
          </w:p>
        </w:tc>
        <w:tc>
          <w:tcPr>
            <w:tcW w:w="1307" w:type="dxa"/>
            <w:vMerge w:val="continue"/>
            <w:noWrap w:val="0"/>
            <w:vAlign w:val="center"/>
          </w:tcPr>
          <w:p w14:paraId="5E3F21E0">
            <w:pPr>
              <w:widowControl w:val="0"/>
              <w:jc w:val="center"/>
              <w:rPr>
                <w:sz w:val="28"/>
                <w:szCs w:val="28"/>
                <w:highlight w:val="none"/>
              </w:rPr>
            </w:pPr>
          </w:p>
        </w:tc>
        <w:tc>
          <w:tcPr>
            <w:tcW w:w="3066" w:type="dxa"/>
            <w:noWrap w:val="0"/>
            <w:vAlign w:val="center"/>
          </w:tcPr>
          <w:p w14:paraId="7100ED41">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rPr>
              <w:t>11.能够接入龙华区相关环卫管理系统（平台）及城管智慧化管理平台共享方案，并确保在网时间不少于一年</w:t>
            </w:r>
          </w:p>
        </w:tc>
        <w:tc>
          <w:tcPr>
            <w:tcW w:w="2041" w:type="dxa"/>
            <w:noWrap w:val="0"/>
            <w:vAlign w:val="center"/>
          </w:tcPr>
          <w:p w14:paraId="14FF443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D4A412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771680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bl>
    <w:p w14:paraId="34463A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楷体_GB2312" w:hAnsi="楷体_GB2312" w:eastAsia="楷体_GB2312" w:cs="楷体_GB2312"/>
          <w:sz w:val="24"/>
          <w:szCs w:val="24"/>
          <w:highlight w:val="none"/>
          <w:lang w:val="en-US" w:eastAsia="zh-CN"/>
        </w:rPr>
      </w:pPr>
      <w:r>
        <w:rPr>
          <w:rFonts w:hint="eastAsia" w:ascii="仿宋" w:hAnsi="仿宋" w:eastAsia="仿宋" w:cs="仿宋"/>
          <w:sz w:val="24"/>
          <w:szCs w:val="24"/>
          <w:highlight w:val="none"/>
          <w:lang w:val="en-US" w:eastAsia="zh-CN"/>
        </w:rPr>
        <w:t>注：带▲符合的为重点技术参数。根据投标车辆的技术参数指标，投标人应后附</w:t>
      </w:r>
      <w:r>
        <w:rPr>
          <w:rFonts w:hint="eastAsia" w:ascii="仿宋" w:hAnsi="仿宋" w:eastAsia="仿宋" w:cs="仿宋"/>
          <w:b/>
          <w:bCs w:val="0"/>
          <w:sz w:val="24"/>
          <w:szCs w:val="24"/>
          <w:highlight w:val="none"/>
          <w:lang w:val="en-US" w:eastAsia="zh-CN"/>
        </w:rPr>
        <w:t>工信部公告参数报告或截图</w:t>
      </w:r>
      <w:r>
        <w:rPr>
          <w:rFonts w:hint="eastAsia" w:ascii="仿宋" w:hAnsi="仿宋" w:eastAsia="仿宋" w:cs="仿宋"/>
          <w:b/>
          <w:bCs/>
          <w:sz w:val="24"/>
          <w:szCs w:val="24"/>
          <w:highlight w:val="none"/>
          <w:lang w:val="en-US" w:eastAsia="zh-CN"/>
        </w:rPr>
        <w:t>，并在相应参数处做重点标注</w:t>
      </w:r>
      <w:r>
        <w:rPr>
          <w:rFonts w:hint="eastAsia" w:ascii="仿宋" w:hAnsi="仿宋" w:eastAsia="仿宋" w:cs="仿宋"/>
          <w:sz w:val="24"/>
          <w:szCs w:val="24"/>
          <w:highlight w:val="none"/>
          <w:lang w:val="en-US" w:eastAsia="zh-CN"/>
        </w:rPr>
        <w:t>，若工信部公告未体现的参数，投标人应提供第三方机构检测报告进行证明，否则视为不满足。</w:t>
      </w:r>
    </w:p>
    <w:p w14:paraId="28FBD42B">
      <w:pPr>
        <w:pStyle w:val="8"/>
        <w:rPr>
          <w:rFonts w:hint="eastAsia"/>
          <w:lang w:val="en-US" w:eastAsia="zh-CN"/>
        </w:rPr>
        <w:sectPr>
          <w:pgSz w:w="11906" w:h="16838"/>
          <w:pgMar w:top="2098" w:right="1417" w:bottom="1984" w:left="1587" w:header="851" w:footer="992" w:gutter="0"/>
          <w:cols w:space="425" w:num="1"/>
          <w:docGrid w:type="lines" w:linePitch="312" w:charSpace="0"/>
        </w:sectPr>
      </w:pPr>
    </w:p>
    <w:p w14:paraId="0F360D82">
      <w:pPr>
        <w:pStyle w:val="8"/>
        <w:ind w:left="0" w:leftChars="0" w:firstLine="0" w:firstLineChars="0"/>
        <w:rPr>
          <w:rFonts w:hint="eastAsia"/>
          <w:highlight w:val="none"/>
          <w:lang w:val="en-US" w:eastAsia="zh-CN"/>
        </w:rPr>
      </w:pPr>
      <w:r>
        <w:rPr>
          <w:rFonts w:hint="eastAsia" w:ascii="楷体_GB2312" w:hAnsi="楷体_GB2312" w:eastAsia="楷体_GB2312" w:cs="楷体_GB2312"/>
          <w:sz w:val="32"/>
          <w:szCs w:val="32"/>
          <w:highlight w:val="none"/>
          <w:lang w:val="en-US" w:eastAsia="zh-CN"/>
        </w:rPr>
        <w:t>8.投标报价一览表</w:t>
      </w:r>
    </w:p>
    <w:p w14:paraId="5AB5DF44">
      <w:pPr>
        <w:pStyle w:val="4"/>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7BFC68C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龙华区福龙和布龙路清扫保洁项目租用北斗智能手环</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091"/>
        <w:gridCol w:w="1954"/>
        <w:gridCol w:w="945"/>
        <w:gridCol w:w="1995"/>
        <w:gridCol w:w="1532"/>
      </w:tblGrid>
      <w:tr w14:paraId="798F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709" w:type="dxa"/>
            <w:gridSpan w:val="2"/>
            <w:noWrap w:val="0"/>
            <w:vAlign w:val="center"/>
          </w:tcPr>
          <w:p w14:paraId="361AE6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采购项目</w:t>
            </w:r>
          </w:p>
        </w:tc>
        <w:tc>
          <w:tcPr>
            <w:tcW w:w="1954" w:type="dxa"/>
            <w:noWrap w:val="0"/>
            <w:vAlign w:val="center"/>
          </w:tcPr>
          <w:p w14:paraId="47D30E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含税投标单价</w:t>
            </w:r>
          </w:p>
          <w:p w14:paraId="1DC55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（元</w:t>
            </w:r>
            <w:r>
              <w:rPr>
                <w:rFonts w:hint="eastAsia" w:ascii="仿宋_GB2312" w:hAnsi="仿宋_GB2312" w:eastAsia="仿宋_GB2312" w:cs="仿宋_GB2312"/>
                <w:b/>
                <w:bCs/>
                <w:sz w:val="28"/>
                <w:szCs w:val="28"/>
                <w:highlight w:val="none"/>
                <w:lang w:val="en-US" w:eastAsia="zh-CN"/>
              </w:rPr>
              <w:t>/台</w:t>
            </w:r>
            <w:r>
              <w:rPr>
                <w:rFonts w:hint="eastAsia" w:ascii="仿宋_GB2312" w:hAnsi="仿宋_GB2312" w:eastAsia="仿宋_GB2312" w:cs="仿宋_GB2312"/>
                <w:b/>
                <w:bCs/>
                <w:sz w:val="28"/>
                <w:szCs w:val="28"/>
                <w:highlight w:val="none"/>
              </w:rPr>
              <w:t>）</w:t>
            </w:r>
          </w:p>
        </w:tc>
        <w:tc>
          <w:tcPr>
            <w:tcW w:w="945" w:type="dxa"/>
            <w:noWrap w:val="0"/>
            <w:vAlign w:val="center"/>
          </w:tcPr>
          <w:p w14:paraId="3FF69D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数量</w:t>
            </w:r>
          </w:p>
        </w:tc>
        <w:tc>
          <w:tcPr>
            <w:tcW w:w="1995" w:type="dxa"/>
            <w:noWrap w:val="0"/>
            <w:vAlign w:val="center"/>
          </w:tcPr>
          <w:p w14:paraId="629B38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含税</w:t>
            </w:r>
            <w:r>
              <w:rPr>
                <w:rFonts w:hint="eastAsia" w:ascii="仿宋_GB2312" w:hAnsi="仿宋_GB2312" w:eastAsia="仿宋_GB2312" w:cs="仿宋_GB2312"/>
                <w:b/>
                <w:bCs/>
                <w:sz w:val="28"/>
                <w:szCs w:val="28"/>
                <w:highlight w:val="none"/>
              </w:rPr>
              <w:t>投标</w:t>
            </w:r>
            <w:r>
              <w:rPr>
                <w:rFonts w:hint="eastAsia" w:ascii="仿宋_GB2312" w:hAnsi="仿宋_GB2312" w:eastAsia="仿宋_GB2312" w:cs="仿宋_GB2312"/>
                <w:b/>
                <w:bCs/>
                <w:sz w:val="28"/>
                <w:szCs w:val="28"/>
                <w:highlight w:val="none"/>
                <w:lang w:val="en-US" w:eastAsia="zh-CN"/>
              </w:rPr>
              <w:t>总</w:t>
            </w:r>
            <w:r>
              <w:rPr>
                <w:rFonts w:hint="eastAsia" w:ascii="仿宋_GB2312" w:hAnsi="仿宋_GB2312" w:eastAsia="仿宋_GB2312" w:cs="仿宋_GB2312"/>
                <w:b/>
                <w:bCs/>
                <w:sz w:val="28"/>
                <w:szCs w:val="28"/>
                <w:highlight w:val="none"/>
              </w:rPr>
              <w:t>价</w:t>
            </w:r>
          </w:p>
          <w:p w14:paraId="5D8A83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（元）</w:t>
            </w:r>
          </w:p>
        </w:tc>
        <w:tc>
          <w:tcPr>
            <w:tcW w:w="1532" w:type="dxa"/>
            <w:noWrap w:val="0"/>
            <w:vAlign w:val="center"/>
          </w:tcPr>
          <w:p w14:paraId="58BE4F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tc>
      </w:tr>
      <w:tr w14:paraId="330F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618" w:type="dxa"/>
            <w:vMerge w:val="restart"/>
            <w:noWrap w:val="0"/>
            <w:vAlign w:val="center"/>
          </w:tcPr>
          <w:p w14:paraId="11A1A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北斗智能手环</w:t>
            </w:r>
          </w:p>
        </w:tc>
        <w:tc>
          <w:tcPr>
            <w:tcW w:w="1091" w:type="dxa"/>
            <w:noWrap w:val="0"/>
            <w:vAlign w:val="center"/>
          </w:tcPr>
          <w:p w14:paraId="222A92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押金</w:t>
            </w:r>
          </w:p>
        </w:tc>
        <w:tc>
          <w:tcPr>
            <w:tcW w:w="1954" w:type="dxa"/>
            <w:noWrap w:val="0"/>
            <w:vAlign w:val="center"/>
          </w:tcPr>
          <w:p w14:paraId="60E431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p>
        </w:tc>
        <w:tc>
          <w:tcPr>
            <w:tcW w:w="945" w:type="dxa"/>
            <w:vMerge w:val="restart"/>
            <w:noWrap w:val="0"/>
            <w:vAlign w:val="center"/>
          </w:tcPr>
          <w:p w14:paraId="7EF4EE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53台</w:t>
            </w:r>
          </w:p>
        </w:tc>
        <w:tc>
          <w:tcPr>
            <w:tcW w:w="1995" w:type="dxa"/>
            <w:noWrap w:val="0"/>
            <w:vAlign w:val="center"/>
          </w:tcPr>
          <w:p w14:paraId="22A39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p>
        </w:tc>
        <w:tc>
          <w:tcPr>
            <w:tcW w:w="1532" w:type="dxa"/>
            <w:vMerge w:val="restart"/>
            <w:noWrap w:val="0"/>
            <w:vAlign w:val="center"/>
          </w:tcPr>
          <w:p w14:paraId="579E01D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lang w:val="en-US" w:eastAsia="zh-CN"/>
              </w:rPr>
              <w:t>增值税率：</w:t>
            </w:r>
            <w:r>
              <w:rPr>
                <w:rFonts w:hint="eastAsia" w:ascii="仿宋_GB2312" w:hAnsi="仿宋_GB2312" w:eastAsia="仿宋_GB2312" w:cs="仿宋_GB2312"/>
                <w:kern w:val="0"/>
                <w:sz w:val="28"/>
                <w:szCs w:val="28"/>
                <w:lang w:val="en-US" w:eastAsia="zh-CN"/>
              </w:rPr>
              <w:br w:type="textWrapping"/>
            </w:r>
            <w:r>
              <w:rPr>
                <w:rFonts w:hint="eastAsia" w:ascii="仿宋_GB2312" w:hAnsi="仿宋_GB2312" w:eastAsia="仿宋_GB2312" w:cs="仿宋_GB2312"/>
                <w:bCs/>
                <w:kern w:val="2"/>
                <w:sz w:val="28"/>
                <w:szCs w:val="28"/>
                <w:u w:val="single"/>
                <w:lang w:val="en-US" w:eastAsia="zh-CN" w:bidi="ar-SA"/>
              </w:rPr>
              <w:t xml:space="preserve">        </w:t>
            </w:r>
            <w:r>
              <w:rPr>
                <w:rFonts w:hint="eastAsia" w:ascii="仿宋_GB2312" w:hAnsi="仿宋_GB2312" w:eastAsia="仿宋_GB2312" w:cs="仿宋_GB2312"/>
                <w:bCs/>
                <w:kern w:val="2"/>
                <w:sz w:val="28"/>
                <w:szCs w:val="28"/>
                <w:lang w:val="en-US" w:eastAsia="zh-CN" w:bidi="ar-SA"/>
              </w:rPr>
              <w:t>%</w:t>
            </w:r>
          </w:p>
        </w:tc>
      </w:tr>
      <w:tr w14:paraId="4EAE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18" w:type="dxa"/>
            <w:vMerge w:val="continue"/>
            <w:noWrap w:val="0"/>
            <w:vAlign w:val="center"/>
          </w:tcPr>
          <w:p w14:paraId="602E00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8"/>
                <w:szCs w:val="28"/>
                <w:highlight w:val="none"/>
                <w:lang w:val="en-US" w:eastAsia="zh-CN"/>
              </w:rPr>
            </w:pPr>
          </w:p>
        </w:tc>
        <w:tc>
          <w:tcPr>
            <w:tcW w:w="1091" w:type="dxa"/>
            <w:noWrap w:val="0"/>
            <w:vAlign w:val="center"/>
          </w:tcPr>
          <w:p w14:paraId="497CC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服务费</w:t>
            </w:r>
          </w:p>
        </w:tc>
        <w:tc>
          <w:tcPr>
            <w:tcW w:w="1954" w:type="dxa"/>
            <w:noWrap w:val="0"/>
            <w:vAlign w:val="center"/>
          </w:tcPr>
          <w:p w14:paraId="585F0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c>
          <w:tcPr>
            <w:tcW w:w="945" w:type="dxa"/>
            <w:vMerge w:val="continue"/>
            <w:noWrap w:val="0"/>
            <w:vAlign w:val="center"/>
          </w:tcPr>
          <w:p w14:paraId="0E28DB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b w:val="0"/>
                <w:bCs w:val="0"/>
                <w:sz w:val="28"/>
                <w:szCs w:val="28"/>
                <w:highlight w:val="none"/>
                <w:lang w:val="en-US" w:eastAsia="zh-CN"/>
              </w:rPr>
            </w:pPr>
          </w:p>
        </w:tc>
        <w:tc>
          <w:tcPr>
            <w:tcW w:w="1995" w:type="dxa"/>
            <w:noWrap w:val="0"/>
            <w:vAlign w:val="center"/>
          </w:tcPr>
          <w:p w14:paraId="06C54E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p>
        </w:tc>
        <w:tc>
          <w:tcPr>
            <w:tcW w:w="1532" w:type="dxa"/>
            <w:vMerge w:val="continue"/>
            <w:noWrap w:val="0"/>
            <w:vAlign w:val="center"/>
          </w:tcPr>
          <w:p w14:paraId="03C2E8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highlight w:val="none"/>
                <w:lang w:val="en-US" w:eastAsia="zh-CN"/>
              </w:rPr>
            </w:pPr>
          </w:p>
        </w:tc>
      </w:tr>
      <w:tr w14:paraId="714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09" w:type="dxa"/>
            <w:gridSpan w:val="2"/>
            <w:noWrap w:val="0"/>
            <w:vAlign w:val="center"/>
          </w:tcPr>
          <w:p w14:paraId="0F2F49A7">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总计</w:t>
            </w:r>
          </w:p>
        </w:tc>
        <w:tc>
          <w:tcPr>
            <w:tcW w:w="1954" w:type="dxa"/>
            <w:noWrap w:val="0"/>
            <w:vAlign w:val="center"/>
          </w:tcPr>
          <w:p w14:paraId="0FAA8C67">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w:t>
            </w:r>
          </w:p>
        </w:tc>
        <w:tc>
          <w:tcPr>
            <w:tcW w:w="945" w:type="dxa"/>
            <w:noWrap w:val="0"/>
            <w:vAlign w:val="center"/>
          </w:tcPr>
          <w:p w14:paraId="459BFD6D">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w:t>
            </w:r>
          </w:p>
        </w:tc>
        <w:tc>
          <w:tcPr>
            <w:tcW w:w="1995" w:type="dxa"/>
            <w:noWrap w:val="0"/>
            <w:vAlign w:val="center"/>
          </w:tcPr>
          <w:p w14:paraId="48A11DBC">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8"/>
                <w:szCs w:val="28"/>
                <w:lang w:val="en-US" w:eastAsia="zh-CN"/>
              </w:rPr>
            </w:pPr>
          </w:p>
        </w:tc>
        <w:tc>
          <w:tcPr>
            <w:tcW w:w="1532" w:type="dxa"/>
            <w:noWrap w:val="0"/>
            <w:vAlign w:val="center"/>
          </w:tcPr>
          <w:p w14:paraId="38DEA4B0">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8"/>
                <w:szCs w:val="28"/>
                <w:lang w:val="en-US" w:eastAsia="zh-CN"/>
              </w:rPr>
            </w:pPr>
          </w:p>
        </w:tc>
      </w:tr>
      <w:tr w14:paraId="6D9E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09" w:type="dxa"/>
            <w:gridSpan w:val="2"/>
            <w:shd w:val="clear" w:color="auto" w:fill="auto"/>
            <w:noWrap w:val="0"/>
            <w:vAlign w:val="center"/>
          </w:tcPr>
          <w:p w14:paraId="47247A70">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招标上限价（元）</w:t>
            </w:r>
          </w:p>
        </w:tc>
        <w:tc>
          <w:tcPr>
            <w:tcW w:w="6426" w:type="dxa"/>
            <w:gridSpan w:val="4"/>
            <w:noWrap w:val="0"/>
            <w:vAlign w:val="center"/>
          </w:tcPr>
          <w:p w14:paraId="7267C790">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58830</w:t>
            </w:r>
          </w:p>
        </w:tc>
      </w:tr>
    </w:tbl>
    <w:p w14:paraId="3DB11B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31922C6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E1C721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12C4C55A">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以上报价包括供货方设计、标配工具、运输费、运输保险、调试、培训、质保期服务、购置税及其他各项税费等，包含可视可听要求，且设备要求能够接入龙华区相关环卫管理系统（平台）及城管智慧化管理平台，并确保在网时间不少于一年。</w:t>
      </w:r>
      <w:r>
        <w:rPr>
          <w:rFonts w:hint="eastAsia" w:ascii="仿宋" w:hAnsi="仿宋" w:eastAsia="仿宋" w:cs="仿宋"/>
          <w:b/>
          <w:bCs/>
          <w:sz w:val="24"/>
          <w:szCs w:val="24"/>
          <w:highlight w:val="none"/>
          <w:lang w:eastAsia="zh-CN"/>
        </w:rPr>
        <w:t>本项目所有费用一次性包定，不再追加。请各报价供应商在报价时请充分考虑各种因素</w:t>
      </w:r>
      <w:r>
        <w:rPr>
          <w:rFonts w:hint="eastAsia" w:ascii="仿宋" w:hAnsi="仿宋" w:eastAsia="仿宋" w:cs="仿宋"/>
          <w:b/>
          <w:bCs/>
          <w:sz w:val="24"/>
          <w:szCs w:val="24"/>
          <w:highlight w:val="none"/>
          <w:lang w:val="en-US" w:eastAsia="zh-CN"/>
        </w:rPr>
        <w:t>。</w:t>
      </w:r>
    </w:p>
    <w:p w14:paraId="3A34546D">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楷体_GB2312" w:hAnsi="楷体_GB2312" w:eastAsia="楷体_GB2312" w:cs="楷体_GB2312"/>
          <w:sz w:val="32"/>
          <w:szCs w:val="32"/>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6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850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2850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248A"/>
    <w:multiLevelType w:val="singleLevel"/>
    <w:tmpl w:val="5E5C24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F73B2"/>
    <w:rsid w:val="014322F4"/>
    <w:rsid w:val="19F12D60"/>
    <w:rsid w:val="1AC2453B"/>
    <w:rsid w:val="1B8B187A"/>
    <w:rsid w:val="1EFF7CD1"/>
    <w:rsid w:val="20042C9E"/>
    <w:rsid w:val="20E25A74"/>
    <w:rsid w:val="26CE6042"/>
    <w:rsid w:val="386F2564"/>
    <w:rsid w:val="3FD54CB2"/>
    <w:rsid w:val="45BE7BC4"/>
    <w:rsid w:val="4BE9470C"/>
    <w:rsid w:val="4EB52EAD"/>
    <w:rsid w:val="4F2F2A4B"/>
    <w:rsid w:val="531B5014"/>
    <w:rsid w:val="58330C98"/>
    <w:rsid w:val="59654212"/>
    <w:rsid w:val="70B14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99"/>
    <w:pPr>
      <w:spacing w:after="120" w:line="240" w:lineRule="auto"/>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4801</Words>
  <Characters>5033</Characters>
  <Lines>0</Lines>
  <Paragraphs>0</Paragraphs>
  <TotalTime>5</TotalTime>
  <ScaleCrop>false</ScaleCrop>
  <LinksUpToDate>false</LinksUpToDate>
  <CharactersWithSpaces>5094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龙华环境</cp:lastModifiedBy>
  <dcterms:modified xsi:type="dcterms:W3CDTF">2025-08-15T07:48:40Z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eyJoZGlkIjoiNjc5MTlkNDZkNjliMzhkMjQzNDJkY2ViN2E2ZjVlYzUiLCJ1c2VySWQiOiIyNDgxMzU4NjEifQ==</vt:lpwstr>
  </property>
  <property fmtid="{D5CDD505-2E9C-101B-9397-08002B2CF9AE}" pid="4" name="ICV">
    <vt:lpwstr>C057CA60BBFF45C6AFE7836183E85E68_12</vt:lpwstr>
  </property>
</Properties>
</file>