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B1F74">
      <w:pPr>
        <w:adjustRightInd w:val="0"/>
        <w:snapToGrid w:val="0"/>
        <w:spacing w:after="200" w:line="360" w:lineRule="auto"/>
        <w:outlineLvl w:val="2"/>
        <w:rPr>
          <w:rFonts w:hint="eastAsia" w:ascii="仿宋" w:hAnsi="仿宋" w:eastAsia="仿宋" w:cs="仿宋"/>
          <w:b/>
          <w:bCs w:val="0"/>
          <w:color w:val="auto"/>
          <w:sz w:val="28"/>
          <w:szCs w:val="28"/>
          <w:highlight w:val="none"/>
          <w:lang w:eastAsia="zh-CN"/>
        </w:rPr>
      </w:pPr>
      <w:bookmarkStart w:id="2" w:name="_GoBack"/>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2</w:t>
      </w:r>
      <w:r>
        <w:rPr>
          <w:rFonts w:hint="eastAsia" w:ascii="仿宋" w:hAnsi="仿宋" w:eastAsia="仿宋" w:cs="仿宋"/>
          <w:b/>
          <w:bCs w:val="0"/>
          <w:color w:val="auto"/>
          <w:sz w:val="28"/>
          <w:szCs w:val="28"/>
          <w:highlight w:val="none"/>
          <w:lang w:eastAsia="zh-CN"/>
        </w:rPr>
        <w:t>：</w:t>
      </w:r>
      <w:r>
        <w:rPr>
          <w:rFonts w:hint="eastAsia" w:ascii="仿宋" w:hAnsi="仿宋" w:eastAsia="仿宋" w:cs="仿宋"/>
          <w:b/>
          <w:bCs w:val="0"/>
          <w:color w:val="auto"/>
          <w:sz w:val="28"/>
          <w:szCs w:val="28"/>
          <w:highlight w:val="none"/>
          <w:lang w:val="en-US" w:eastAsia="zh-CN"/>
        </w:rPr>
        <w:t>合同范本</w:t>
      </w:r>
    </w:p>
    <w:bookmarkEnd w:id="2"/>
    <w:p w14:paraId="631CC6C9">
      <w:pPr>
        <w:spacing w:line="540" w:lineRule="exact"/>
        <w:jc w:val="center"/>
        <w:rPr>
          <w:rFonts w:hint="eastAsia" w:ascii="宋体" w:hAnsi="宋体" w:eastAsia="宋体" w:cs="宋体"/>
          <w:b/>
          <w:bCs/>
          <w:sz w:val="44"/>
          <w:szCs w:val="44"/>
        </w:rPr>
      </w:pPr>
      <w:bookmarkStart w:id="0" w:name="_Hlk173157487"/>
    </w:p>
    <w:p w14:paraId="0F519C05">
      <w:pPr>
        <w:keepNext w:val="0"/>
        <w:keepLines w:val="0"/>
        <w:pageBreakBefore w:val="0"/>
        <w:widowControl w:val="0"/>
        <w:kinsoku/>
        <w:wordWrap/>
        <w:overflowPunct/>
        <w:topLinePunct w:val="0"/>
        <w:autoSpaceDE/>
        <w:autoSpaceDN/>
        <w:bidi w:val="0"/>
        <w:adjustRightInd/>
        <w:snapToGrid/>
        <w:spacing w:line="530" w:lineRule="exact"/>
        <w:jc w:val="center"/>
        <w:rPr>
          <w:rFonts w:ascii="宋体" w:hAnsi="宋体" w:eastAsia="宋体" w:cs="宋体"/>
          <w:b/>
          <w:bCs/>
          <w:sz w:val="10"/>
          <w:szCs w:val="10"/>
        </w:rPr>
      </w:pPr>
      <w:r>
        <w:rPr>
          <w:rFonts w:hint="eastAsia" w:ascii="宋体" w:hAnsi="宋体" w:eastAsia="宋体" w:cs="宋体"/>
          <w:b/>
          <w:bCs/>
          <w:sz w:val="44"/>
          <w:szCs w:val="44"/>
        </w:rPr>
        <w:t>消防设施维修保养</w:t>
      </w:r>
      <w:bookmarkEnd w:id="0"/>
      <w:r>
        <w:rPr>
          <w:rFonts w:hint="eastAsia" w:ascii="宋体" w:hAnsi="宋体" w:eastAsia="宋体" w:cs="宋体"/>
          <w:b/>
          <w:bCs/>
          <w:sz w:val="44"/>
          <w:szCs w:val="44"/>
        </w:rPr>
        <w:t>合同</w:t>
      </w:r>
    </w:p>
    <w:p w14:paraId="3597FB92">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宋体" w:hAnsi="宋体" w:eastAsia="宋体" w:cs="宋体"/>
          <w:sz w:val="10"/>
          <w:szCs w:val="10"/>
        </w:rPr>
      </w:pPr>
    </w:p>
    <w:p w14:paraId="1A556425">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kern w:val="0"/>
          <w:sz w:val="28"/>
          <w:szCs w:val="28"/>
          <w:u w:val="single"/>
        </w:rPr>
      </w:pPr>
      <w:r>
        <w:rPr>
          <w:rFonts w:hint="eastAsia" w:ascii="宋体" w:hAnsi="宋体" w:eastAsia="宋体" w:cs="宋体"/>
          <w:b/>
          <w:bCs/>
          <w:sz w:val="28"/>
          <w:szCs w:val="28"/>
        </w:rPr>
        <w:t xml:space="preserve">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kern w:val="0"/>
          <w:sz w:val="28"/>
          <w:szCs w:val="28"/>
        </w:rPr>
        <w:t>委托方（甲方）：</w:t>
      </w:r>
    </w:p>
    <w:p w14:paraId="58EF929E">
      <w:pPr>
        <w:keepNext w:val="0"/>
        <w:keepLines w:val="0"/>
        <w:pageBreakBefore w:val="0"/>
        <w:widowControl w:val="0"/>
        <w:kinsoku/>
        <w:wordWrap/>
        <w:overflowPunct/>
        <w:topLinePunct w:val="0"/>
        <w:autoSpaceDE/>
        <w:autoSpaceDN/>
        <w:bidi w:val="0"/>
        <w:adjustRightInd/>
        <w:snapToGrid/>
        <w:spacing w:line="530" w:lineRule="exact"/>
        <w:ind w:firstLine="562" w:firstLineChars="200"/>
        <w:rPr>
          <w:rFonts w:hint="eastAsia" w:ascii="仿宋_GB2312" w:hAnsi="仿宋_GB2312" w:eastAsia="仿宋_GB2312" w:cs="仿宋_GB2312"/>
          <w:kern w:val="0"/>
          <w:sz w:val="28"/>
          <w:szCs w:val="28"/>
          <w:u w:val="single"/>
        </w:rPr>
      </w:pPr>
      <w:r>
        <w:rPr>
          <w:rFonts w:hint="eastAsia" w:ascii="仿宋_GB2312" w:hAnsi="仿宋_GB2312" w:eastAsia="仿宋_GB2312" w:cs="仿宋_GB2312"/>
          <w:b/>
          <w:bCs/>
          <w:kern w:val="0"/>
          <w:sz w:val="28"/>
          <w:szCs w:val="28"/>
        </w:rPr>
        <w:t>受托方（乙方）：</w:t>
      </w:r>
    </w:p>
    <w:p w14:paraId="79D8938F">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p>
    <w:p w14:paraId="4C227174">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根据《中华人民共和国民法典</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中华人民共和国消防法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广东省实施〈中华人民共和国消防法〉办法》和国家标准《建筑消防设施的维护管理》（GB25201-2010）、《广东省公安厅关于建筑消防设施维护保养工作的管理办法》等有关法律、法规和技术标准的规定，并结合本项目设施具体情况，甲乙双方遵循平等、自愿、公平和诚信原则，就甲方委托乙方负责本项目消防设施维修保养相关事宜协商一致，签订本合同，达成协议如下：</w:t>
      </w:r>
    </w:p>
    <w:p w14:paraId="60674FF2">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第一条    维修保养项目</w:t>
      </w:r>
    </w:p>
    <w:p w14:paraId="7672EAD3">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 项目名称：</w:t>
      </w:r>
      <w:r>
        <w:rPr>
          <w:rFonts w:hint="eastAsia" w:ascii="仿宋_GB2312" w:hAnsi="仿宋_GB2312" w:eastAsia="仿宋_GB2312" w:cs="仿宋_GB2312"/>
          <w:kern w:val="0"/>
          <w:sz w:val="28"/>
          <w:szCs w:val="28"/>
          <w:u w:val="single"/>
        </w:rPr>
        <w:t xml:space="preserve">消防设施维修保养项目  </w:t>
      </w:r>
    </w:p>
    <w:p w14:paraId="31A7A0C8">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地    点：</w:t>
      </w:r>
      <w:r>
        <w:rPr>
          <w:rFonts w:hint="eastAsia" w:ascii="仿宋_GB2312" w:hAnsi="仿宋_GB2312" w:eastAsia="仿宋_GB2312" w:cs="仿宋_GB2312"/>
          <w:kern w:val="0"/>
          <w:sz w:val="28"/>
          <w:szCs w:val="28"/>
          <w:u w:val="single"/>
        </w:rPr>
        <w:t>深圳市龙华区华富市场、观澜市场、福民市场、龙华市场、龙华水果市场、观澜综合市场1-2楼。</w:t>
      </w:r>
    </w:p>
    <w:p w14:paraId="7057DDAC">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 消防维修设施的内容及范围（6间市场）：</w:t>
      </w:r>
    </w:p>
    <w:p w14:paraId="75DFFB74">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u w:val="single"/>
        </w:rPr>
        <w:t>华富市场：消火栓系统、自动喷淋系统、火灾自动报警系统。</w:t>
      </w:r>
    </w:p>
    <w:p w14:paraId="2CBE879B">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u w:val="single"/>
        </w:rPr>
        <w:t>观澜市场：防火卷帘报警系统、消火栓系统、自动喷淋系统、火灾自动报警系统。</w:t>
      </w:r>
    </w:p>
    <w:p w14:paraId="2464FF88">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u w:val="single"/>
        </w:rPr>
        <w:t>福民市场：火灾自动报警系统、消火栓系统、自动喷淋系统。</w:t>
      </w:r>
    </w:p>
    <w:p w14:paraId="51ABBD0D">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u w:val="single"/>
        </w:rPr>
        <w:t>龙华市场：火灾自动报警系统、消火栓系统、自动喷淋系统、防火卷帘系统、应急灯、冷库的电线电路检查。</w:t>
      </w:r>
    </w:p>
    <w:p w14:paraId="448081DA">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u w:val="single"/>
        </w:rPr>
        <w:t>龙华水果市场：消火栓系统、自动喷淋系统、火灾自动报警系统。</w:t>
      </w:r>
    </w:p>
    <w:p w14:paraId="110251C7">
      <w:pPr>
        <w:keepNext w:val="0"/>
        <w:keepLines w:val="0"/>
        <w:pageBreakBefore w:val="0"/>
        <w:widowControl w:val="0"/>
        <w:kinsoku/>
        <w:wordWrap/>
        <w:overflowPunct/>
        <w:topLinePunct w:val="0"/>
        <w:autoSpaceDE/>
        <w:autoSpaceDN/>
        <w:bidi w:val="0"/>
        <w:adjustRightInd/>
        <w:snapToGrid/>
        <w:spacing w:line="530" w:lineRule="exact"/>
        <w:ind w:firstLine="560" w:firstLineChars="200"/>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u w:val="single"/>
        </w:rPr>
        <w:t>观澜综合市场1-2楼：消火栓系统、自动喷淋系统、火灾自动报警系统、防火卷帘系统。</w:t>
      </w:r>
    </w:p>
    <w:p w14:paraId="21080102">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1.3 维修保养期限：为 </w:t>
      </w:r>
      <w:r>
        <w:rPr>
          <w:rFonts w:hint="eastAsia" w:ascii="仿宋_GB2312" w:hAnsi="仿宋_GB2312" w:eastAsia="仿宋_GB2312" w:cs="仿宋_GB2312"/>
          <w:kern w:val="0"/>
          <w:sz w:val="28"/>
          <w:szCs w:val="28"/>
          <w:u w:val="single"/>
        </w:rPr>
        <w:t>12个月</w:t>
      </w:r>
      <w:r>
        <w:rPr>
          <w:rFonts w:hint="eastAsia" w:ascii="仿宋_GB2312" w:hAnsi="仿宋_GB2312" w:eastAsia="仿宋_GB2312" w:cs="仿宋_GB2312"/>
          <w:kern w:val="0"/>
          <w:sz w:val="28"/>
          <w:szCs w:val="28"/>
        </w:rPr>
        <w:t>，自202</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X</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X</w:t>
      </w:r>
      <w:r>
        <w:rPr>
          <w:rFonts w:hint="eastAsia" w:ascii="仿宋_GB2312" w:hAnsi="仿宋_GB2312" w:eastAsia="仿宋_GB2312" w:cs="仿宋_GB2312"/>
          <w:kern w:val="0"/>
          <w:sz w:val="28"/>
          <w:szCs w:val="28"/>
        </w:rPr>
        <w:t>日起至202</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X</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X</w:t>
      </w:r>
      <w:r>
        <w:rPr>
          <w:rFonts w:hint="eastAsia" w:ascii="仿宋_GB2312" w:hAnsi="仿宋_GB2312" w:eastAsia="仿宋_GB2312" w:cs="仿宋_GB2312"/>
          <w:kern w:val="0"/>
          <w:sz w:val="28"/>
          <w:szCs w:val="28"/>
        </w:rPr>
        <w:t>日止。</w:t>
      </w:r>
    </w:p>
    <w:p w14:paraId="4B1B68AA">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 维修保养费：</w:t>
      </w:r>
    </w:p>
    <w:p w14:paraId="758B31C6">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u w:val="single"/>
        </w:rPr>
        <w:t>1.4.1 龙华区华富市场</w:t>
      </w:r>
      <w:r>
        <w:rPr>
          <w:rFonts w:hint="eastAsia" w:ascii="仿宋_GB2312" w:hAnsi="仿宋_GB2312" w:eastAsia="仿宋_GB2312" w:cs="仿宋_GB2312"/>
          <w:kern w:val="0"/>
          <w:sz w:val="28"/>
          <w:szCs w:val="28"/>
          <w:u w:val="single"/>
          <w:lang w:val="en-US" w:eastAsia="zh-CN"/>
        </w:rPr>
        <w:t>XXX</w:t>
      </w:r>
      <w:r>
        <w:rPr>
          <w:rFonts w:hint="eastAsia" w:ascii="仿宋_GB2312" w:hAnsi="仿宋_GB2312" w:eastAsia="仿宋_GB2312" w:cs="仿宋_GB2312"/>
          <w:kern w:val="0"/>
          <w:sz w:val="28"/>
          <w:szCs w:val="28"/>
          <w:u w:val="single"/>
        </w:rPr>
        <w:t>元/月、观澜市场</w:t>
      </w:r>
      <w:r>
        <w:rPr>
          <w:rFonts w:hint="eastAsia" w:ascii="仿宋_GB2312" w:hAnsi="仿宋_GB2312" w:eastAsia="仿宋_GB2312" w:cs="仿宋_GB2312"/>
          <w:kern w:val="0"/>
          <w:sz w:val="28"/>
          <w:szCs w:val="28"/>
          <w:u w:val="single"/>
          <w:lang w:val="en-US" w:eastAsia="zh-CN"/>
        </w:rPr>
        <w:t>XXX</w:t>
      </w:r>
      <w:r>
        <w:rPr>
          <w:rFonts w:hint="eastAsia" w:ascii="仿宋_GB2312" w:hAnsi="仿宋_GB2312" w:eastAsia="仿宋_GB2312" w:cs="仿宋_GB2312"/>
          <w:kern w:val="0"/>
          <w:sz w:val="28"/>
          <w:szCs w:val="28"/>
          <w:u w:val="single"/>
        </w:rPr>
        <w:t>元/月、福民市场</w:t>
      </w:r>
      <w:r>
        <w:rPr>
          <w:rFonts w:hint="eastAsia" w:ascii="仿宋_GB2312" w:hAnsi="仿宋_GB2312" w:eastAsia="仿宋_GB2312" w:cs="仿宋_GB2312"/>
          <w:kern w:val="0"/>
          <w:sz w:val="28"/>
          <w:szCs w:val="28"/>
          <w:u w:val="single"/>
          <w:lang w:val="en-US" w:eastAsia="zh-CN"/>
        </w:rPr>
        <w:t>XXX</w:t>
      </w:r>
      <w:r>
        <w:rPr>
          <w:rFonts w:hint="eastAsia" w:ascii="仿宋_GB2312" w:hAnsi="仿宋_GB2312" w:eastAsia="仿宋_GB2312" w:cs="仿宋_GB2312"/>
          <w:kern w:val="0"/>
          <w:sz w:val="28"/>
          <w:szCs w:val="28"/>
          <w:u w:val="single"/>
        </w:rPr>
        <w:t>元/月、龙华市场</w:t>
      </w:r>
      <w:r>
        <w:rPr>
          <w:rFonts w:hint="eastAsia" w:ascii="仿宋_GB2312" w:hAnsi="仿宋_GB2312" w:eastAsia="仿宋_GB2312" w:cs="仿宋_GB2312"/>
          <w:kern w:val="0"/>
          <w:sz w:val="28"/>
          <w:szCs w:val="28"/>
          <w:u w:val="single"/>
          <w:lang w:val="en-US" w:eastAsia="zh-CN"/>
        </w:rPr>
        <w:t>XXX</w:t>
      </w:r>
      <w:r>
        <w:rPr>
          <w:rFonts w:hint="eastAsia" w:ascii="仿宋_GB2312" w:hAnsi="仿宋_GB2312" w:eastAsia="仿宋_GB2312" w:cs="仿宋_GB2312"/>
          <w:kern w:val="0"/>
          <w:sz w:val="28"/>
          <w:szCs w:val="28"/>
          <w:u w:val="single"/>
        </w:rPr>
        <w:t>元/月、龙华水果市场</w:t>
      </w:r>
      <w:r>
        <w:rPr>
          <w:rFonts w:hint="eastAsia" w:ascii="仿宋_GB2312" w:hAnsi="仿宋_GB2312" w:eastAsia="仿宋_GB2312" w:cs="仿宋_GB2312"/>
          <w:kern w:val="0"/>
          <w:sz w:val="28"/>
          <w:szCs w:val="28"/>
          <w:u w:val="single"/>
          <w:lang w:val="en-US" w:eastAsia="zh-CN"/>
        </w:rPr>
        <w:t>XXX</w:t>
      </w:r>
      <w:r>
        <w:rPr>
          <w:rFonts w:hint="eastAsia" w:ascii="仿宋_GB2312" w:hAnsi="仿宋_GB2312" w:eastAsia="仿宋_GB2312" w:cs="仿宋_GB2312"/>
          <w:kern w:val="0"/>
          <w:sz w:val="28"/>
          <w:szCs w:val="28"/>
          <w:u w:val="single"/>
        </w:rPr>
        <w:t>元/月、观澜综合市场</w:t>
      </w:r>
      <w:r>
        <w:rPr>
          <w:rFonts w:hint="eastAsia" w:ascii="仿宋_GB2312" w:hAnsi="仿宋_GB2312" w:eastAsia="仿宋_GB2312" w:cs="仿宋_GB2312"/>
          <w:kern w:val="0"/>
          <w:sz w:val="28"/>
          <w:szCs w:val="28"/>
          <w:u w:val="single"/>
          <w:lang w:val="en-US" w:eastAsia="zh-CN"/>
        </w:rPr>
        <w:t>XXX</w:t>
      </w:r>
      <w:r>
        <w:rPr>
          <w:rFonts w:hint="eastAsia" w:ascii="仿宋_GB2312" w:hAnsi="仿宋_GB2312" w:eastAsia="仿宋_GB2312" w:cs="仿宋_GB2312"/>
          <w:kern w:val="0"/>
          <w:sz w:val="28"/>
          <w:szCs w:val="28"/>
          <w:u w:val="single"/>
        </w:rPr>
        <w:t>元/月，合计</w:t>
      </w:r>
      <w:r>
        <w:rPr>
          <w:rFonts w:hint="eastAsia" w:ascii="仿宋_GB2312" w:hAnsi="仿宋_GB2312" w:eastAsia="仿宋_GB2312" w:cs="仿宋_GB2312"/>
          <w:kern w:val="0"/>
          <w:sz w:val="28"/>
          <w:szCs w:val="28"/>
          <w:u w:val="single"/>
          <w:lang w:val="en-US" w:eastAsia="zh-CN"/>
        </w:rPr>
        <w:t>XXX</w:t>
      </w:r>
      <w:r>
        <w:rPr>
          <w:rFonts w:hint="eastAsia" w:ascii="仿宋_GB2312" w:hAnsi="仿宋_GB2312" w:eastAsia="仿宋_GB2312" w:cs="仿宋_GB2312"/>
          <w:kern w:val="0"/>
          <w:sz w:val="28"/>
          <w:szCs w:val="28"/>
          <w:u w:val="single"/>
        </w:rPr>
        <w:t>元/月。</w:t>
      </w:r>
    </w:p>
    <w:p w14:paraId="68FE9CC9">
      <w:pPr>
        <w:keepNext w:val="0"/>
        <w:keepLines w:val="0"/>
        <w:pageBreakBefore w:val="0"/>
        <w:widowControl w:val="0"/>
        <w:kinsoku/>
        <w:wordWrap/>
        <w:overflowPunct/>
        <w:topLinePunct w:val="0"/>
        <w:autoSpaceDE/>
        <w:autoSpaceDN/>
        <w:bidi w:val="0"/>
        <w:adjustRightInd/>
        <w:snapToGrid/>
        <w:spacing w:line="530" w:lineRule="exact"/>
        <w:ind w:firstLine="562" w:firstLineChars="200"/>
        <w:rPr>
          <w:rFonts w:hint="eastAsia" w:ascii="仿宋_GB2312" w:hAnsi="仿宋_GB2312" w:eastAsia="仿宋_GB2312" w:cs="仿宋_GB2312"/>
          <w:b/>
          <w:bCs/>
          <w:kern w:val="0"/>
          <w:sz w:val="28"/>
          <w:szCs w:val="28"/>
          <w:u w:val="single"/>
        </w:rPr>
      </w:pPr>
      <w:r>
        <w:rPr>
          <w:rFonts w:hint="eastAsia" w:ascii="仿宋_GB2312" w:hAnsi="仿宋_GB2312" w:eastAsia="仿宋_GB2312" w:cs="仿宋_GB2312"/>
          <w:b/>
          <w:bCs/>
          <w:kern w:val="0"/>
          <w:sz w:val="28"/>
          <w:szCs w:val="28"/>
          <w:u w:val="single"/>
        </w:rPr>
        <w:t>每月维修保养费用合计（含税）：</w:t>
      </w:r>
      <w:bookmarkStart w:id="1" w:name="_Hlk173165306"/>
      <w:r>
        <w:rPr>
          <w:rFonts w:hint="eastAsia" w:ascii="仿宋_GB2312" w:hAnsi="仿宋_GB2312" w:eastAsia="仿宋_GB2312" w:cs="仿宋_GB2312"/>
          <w:b/>
          <w:bCs/>
          <w:kern w:val="0"/>
          <w:sz w:val="28"/>
          <w:szCs w:val="28"/>
          <w:u w:val="single"/>
        </w:rPr>
        <w:t>¥</w:t>
      </w:r>
      <w:bookmarkEnd w:id="1"/>
      <w:r>
        <w:rPr>
          <w:rFonts w:hint="eastAsia" w:ascii="仿宋_GB2312" w:hAnsi="仿宋_GB2312" w:eastAsia="仿宋_GB2312" w:cs="仿宋_GB2312"/>
          <w:b/>
          <w:bCs/>
          <w:kern w:val="0"/>
          <w:sz w:val="28"/>
          <w:szCs w:val="28"/>
          <w:u w:val="single"/>
          <w:lang w:val="en-US" w:eastAsia="zh-CN"/>
        </w:rPr>
        <w:t xml:space="preserve">   </w:t>
      </w:r>
      <w:r>
        <w:rPr>
          <w:rFonts w:hint="eastAsia" w:ascii="仿宋_GB2312" w:hAnsi="仿宋_GB2312" w:eastAsia="仿宋_GB2312" w:cs="仿宋_GB2312"/>
          <w:b/>
          <w:bCs/>
          <w:kern w:val="0"/>
          <w:sz w:val="28"/>
          <w:szCs w:val="28"/>
          <w:u w:val="single"/>
        </w:rPr>
        <w:t>（大写：</w:t>
      </w:r>
      <w:r>
        <w:rPr>
          <w:rFonts w:hint="eastAsia" w:ascii="仿宋_GB2312" w:hAnsi="仿宋_GB2312" w:eastAsia="仿宋_GB2312" w:cs="仿宋_GB2312"/>
          <w:b/>
          <w:bCs/>
          <w:kern w:val="0"/>
          <w:sz w:val="28"/>
          <w:szCs w:val="28"/>
          <w:u w:val="single"/>
          <w:lang w:val="en-US" w:eastAsia="zh-CN"/>
        </w:rPr>
        <w:t xml:space="preserve">   </w:t>
      </w:r>
      <w:r>
        <w:rPr>
          <w:rFonts w:hint="eastAsia" w:ascii="仿宋_GB2312" w:hAnsi="仿宋_GB2312" w:eastAsia="仿宋_GB2312" w:cs="仿宋_GB2312"/>
          <w:b/>
          <w:bCs/>
          <w:kern w:val="0"/>
          <w:sz w:val="28"/>
          <w:szCs w:val="28"/>
          <w:u w:val="single"/>
        </w:rPr>
        <w:t>元整）。</w:t>
      </w:r>
      <w:r>
        <w:rPr>
          <w:rFonts w:hint="eastAsia" w:ascii="仿宋_GB2312" w:hAnsi="仿宋_GB2312" w:eastAsia="仿宋_GB2312" w:cs="仿宋_GB2312"/>
          <w:kern w:val="0"/>
          <w:sz w:val="28"/>
          <w:szCs w:val="28"/>
        </w:rPr>
        <w:t>如本项目根据实际情况增加或者变更消防设施的，乙方应负责维修保养，且该部分费用已包含在上述维修保养费用内。</w:t>
      </w:r>
    </w:p>
    <w:p w14:paraId="0AD1C96D">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1.4.2 每月维修保养过程中发现自然损坏需要更换的零件配件、设备，乙方应及时向甲方报告，并提供市场报价，经甲方同意后，乙方才可进行更换。</w:t>
      </w:r>
    </w:p>
    <w:p w14:paraId="2D291E7C">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p>
    <w:p w14:paraId="1D834441">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第二条   甲方代表和甲方责任</w:t>
      </w:r>
    </w:p>
    <w:p w14:paraId="4FDE36D9">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 甲方任命负责消防系统运行的责任人，华富市场的</w:t>
      </w:r>
      <w:r>
        <w:rPr>
          <w:rFonts w:hint="eastAsia" w:ascii="仿宋_GB2312" w:hAnsi="仿宋_GB2312" w:eastAsia="仿宋_GB2312" w:cs="仿宋_GB2312"/>
          <w:kern w:val="0"/>
          <w:sz w:val="28"/>
          <w:szCs w:val="28"/>
          <w:lang w:val="en-US" w:eastAsia="zh-CN"/>
        </w:rPr>
        <w:t>XXX</w:t>
      </w:r>
      <w:r>
        <w:rPr>
          <w:rFonts w:hint="eastAsia" w:ascii="仿宋_GB2312" w:hAnsi="仿宋_GB2312" w:eastAsia="仿宋_GB2312" w:cs="仿宋_GB2312"/>
          <w:kern w:val="0"/>
          <w:sz w:val="28"/>
          <w:szCs w:val="28"/>
        </w:rPr>
        <w:t>、龙华市场的</w:t>
      </w:r>
      <w:r>
        <w:rPr>
          <w:rFonts w:hint="eastAsia" w:ascii="仿宋_GB2312" w:hAnsi="仿宋_GB2312" w:eastAsia="仿宋_GB2312" w:cs="仿宋_GB2312"/>
          <w:kern w:val="0"/>
          <w:sz w:val="28"/>
          <w:szCs w:val="28"/>
          <w:lang w:val="en-US" w:eastAsia="zh-CN"/>
        </w:rPr>
        <w:t>XXX</w:t>
      </w:r>
      <w:r>
        <w:rPr>
          <w:rFonts w:hint="eastAsia" w:ascii="仿宋_GB2312" w:hAnsi="仿宋_GB2312" w:eastAsia="仿宋_GB2312" w:cs="仿宋_GB2312"/>
          <w:kern w:val="0"/>
          <w:sz w:val="28"/>
          <w:szCs w:val="28"/>
        </w:rPr>
        <w:t>、龙华水果市场的</w:t>
      </w:r>
      <w:r>
        <w:rPr>
          <w:rFonts w:hint="eastAsia" w:ascii="仿宋_GB2312" w:hAnsi="仿宋_GB2312" w:eastAsia="仿宋_GB2312" w:cs="仿宋_GB2312"/>
          <w:kern w:val="0"/>
          <w:sz w:val="28"/>
          <w:szCs w:val="28"/>
          <w:lang w:val="en-US" w:eastAsia="zh-CN"/>
        </w:rPr>
        <w:t>XXX</w:t>
      </w:r>
      <w:r>
        <w:rPr>
          <w:rFonts w:hint="eastAsia" w:ascii="仿宋_GB2312" w:hAnsi="仿宋_GB2312" w:eastAsia="仿宋_GB2312" w:cs="仿宋_GB2312"/>
          <w:kern w:val="0"/>
          <w:sz w:val="28"/>
          <w:szCs w:val="28"/>
        </w:rPr>
        <w:t>、观澜综合市场的</w:t>
      </w:r>
      <w:r>
        <w:rPr>
          <w:rFonts w:hint="eastAsia" w:ascii="仿宋_GB2312" w:hAnsi="仿宋_GB2312" w:eastAsia="仿宋_GB2312" w:cs="仿宋_GB2312"/>
          <w:kern w:val="0"/>
          <w:sz w:val="28"/>
          <w:szCs w:val="28"/>
          <w:lang w:val="en-US" w:eastAsia="zh-CN"/>
        </w:rPr>
        <w:t>XXX</w:t>
      </w:r>
      <w:r>
        <w:rPr>
          <w:rFonts w:hint="eastAsia" w:ascii="仿宋_GB2312" w:hAnsi="仿宋_GB2312" w:eastAsia="仿宋_GB2312" w:cs="仿宋_GB2312"/>
          <w:kern w:val="0"/>
          <w:sz w:val="28"/>
          <w:szCs w:val="28"/>
        </w:rPr>
        <w:t>、观澜市场的</w:t>
      </w:r>
      <w:r>
        <w:rPr>
          <w:rFonts w:hint="eastAsia" w:ascii="仿宋_GB2312" w:hAnsi="仿宋_GB2312" w:eastAsia="仿宋_GB2312" w:cs="仿宋_GB2312"/>
          <w:kern w:val="0"/>
          <w:sz w:val="28"/>
          <w:szCs w:val="28"/>
          <w:lang w:val="en-US" w:eastAsia="zh-CN"/>
        </w:rPr>
        <w:t>XXX</w:t>
      </w:r>
      <w:r>
        <w:rPr>
          <w:rFonts w:hint="eastAsia" w:ascii="仿宋_GB2312" w:hAnsi="仿宋_GB2312" w:eastAsia="仿宋_GB2312" w:cs="仿宋_GB2312"/>
          <w:kern w:val="0"/>
          <w:sz w:val="28"/>
          <w:szCs w:val="28"/>
        </w:rPr>
        <w:t>、福民市场的</w:t>
      </w:r>
      <w:r>
        <w:rPr>
          <w:rFonts w:hint="eastAsia" w:ascii="仿宋_GB2312" w:hAnsi="仿宋_GB2312" w:eastAsia="仿宋_GB2312" w:cs="仿宋_GB2312"/>
          <w:kern w:val="0"/>
          <w:sz w:val="28"/>
          <w:szCs w:val="28"/>
          <w:lang w:val="en-US" w:eastAsia="zh-CN"/>
        </w:rPr>
        <w:t>XXX</w:t>
      </w:r>
      <w:r>
        <w:rPr>
          <w:rFonts w:hint="eastAsia" w:ascii="仿宋_GB2312" w:hAnsi="仿宋_GB2312" w:eastAsia="仿宋_GB2312" w:cs="仿宋_GB2312"/>
          <w:kern w:val="0"/>
          <w:sz w:val="28"/>
          <w:szCs w:val="28"/>
        </w:rPr>
        <w:t>作为其委托代理人，甲方代表必须由具备相关专业知识的人员担任。</w:t>
      </w:r>
    </w:p>
    <w:p w14:paraId="1AEAF661">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 甲方代表作为受委托的代理人，应对乙方在维修保养过程中提出问题进行处理和解决，应对乙方维护保养记录和报告进行审查和签字确认。</w:t>
      </w:r>
    </w:p>
    <w:p w14:paraId="42FAAF05">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 甲方责任</w:t>
      </w:r>
    </w:p>
    <w:p w14:paraId="26192D1B">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2.3.1 负责提供维护保养所需的水、电供应；</w:t>
      </w:r>
    </w:p>
    <w:p w14:paraId="2EE439EE">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2.3.2 负责通知各部门有关维修保养工作时间，避免造成不必要的恐慌；</w:t>
      </w:r>
    </w:p>
    <w:p w14:paraId="048F2021">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2.3.3 负责协助乙方进入安装有消防系统的室内；</w:t>
      </w:r>
    </w:p>
    <w:p w14:paraId="2C9E6812">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2.3.4 负责加强维护期间的巡查，保证24小时消防用水、用电正常，全天候安排安全员值班巡查，预防火灾的发生；如巡查不到位而发生火灾及其他安全事故的，乙方不负任何责任；</w:t>
      </w:r>
    </w:p>
    <w:p w14:paraId="540B3DFA">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2.3.5 提供完好的消防设备给乙方维护保养；</w:t>
      </w:r>
    </w:p>
    <w:p w14:paraId="4E557C95">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2.3.6 提供维修保养用水、用电和堆放材料及工具的地点；</w:t>
      </w:r>
    </w:p>
    <w:p w14:paraId="5093F94D">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 甲方积极配合乙方进行维护保养工作，不按规范的，甲方要及时进行整改；对损坏的设备及时进行更换、维修；由于甲方不及时进行整改、维修而引发的任何事故由甲方自行负责；</w:t>
      </w:r>
    </w:p>
    <w:p w14:paraId="57CFDBCF">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2.3.8 </w:t>
      </w:r>
      <w:r>
        <w:rPr>
          <w:rFonts w:hint="eastAsia" w:ascii="仿宋_GB2312" w:hAnsi="仿宋_GB2312" w:eastAsia="仿宋_GB2312" w:cs="仿宋_GB2312"/>
          <w:color w:val="000000"/>
          <w:kern w:val="0"/>
          <w:sz w:val="28"/>
          <w:szCs w:val="28"/>
        </w:rPr>
        <w:t>甲方依照《中华人民共和国消防法》（2023版）消防条例执行。</w:t>
      </w:r>
    </w:p>
    <w:p w14:paraId="5C30700F">
      <w:pPr>
        <w:keepNext w:val="0"/>
        <w:keepLines w:val="0"/>
        <w:pageBreakBefore w:val="0"/>
        <w:widowControl w:val="0"/>
        <w:kinsoku/>
        <w:wordWrap/>
        <w:overflowPunct/>
        <w:topLinePunct w:val="0"/>
        <w:autoSpaceDE/>
        <w:autoSpaceDN/>
        <w:bidi w:val="0"/>
        <w:adjustRightInd/>
        <w:snapToGrid/>
        <w:spacing w:line="530" w:lineRule="exact"/>
        <w:ind w:firstLine="562" w:firstLineChars="200"/>
        <w:rPr>
          <w:rFonts w:hint="eastAsia" w:ascii="仿宋_GB2312" w:hAnsi="仿宋_GB2312" w:eastAsia="仿宋_GB2312" w:cs="仿宋_GB2312"/>
          <w:b/>
          <w:bCs/>
          <w:kern w:val="0"/>
          <w:sz w:val="28"/>
          <w:szCs w:val="28"/>
        </w:rPr>
      </w:pPr>
    </w:p>
    <w:p w14:paraId="4947E3D0">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第三条   乙方维修保养人员和乙方责任</w:t>
      </w:r>
    </w:p>
    <w:p w14:paraId="65FB7FC5">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 乙方应派出有消防设施调试维修保养资格和经验的工程技术人员进行维修保养工作，维修人员名单应以书面形式送交甲方。</w:t>
      </w:r>
    </w:p>
    <w:p w14:paraId="7C61A744">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 按合同的规定，对委托维护保养的建筑消防设施进行定期检查、维护和保养。</w:t>
      </w:r>
    </w:p>
    <w:p w14:paraId="495AE1D3">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 对消防设施出现的故障及时修复，保证其正常运行。</w:t>
      </w:r>
    </w:p>
    <w:p w14:paraId="3E963AE3">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3.4 对维修保养的消防设施运行情况，每月检查一次，应如实记录，并会同甲方代表共同签字确认。</w:t>
      </w:r>
    </w:p>
    <w:p w14:paraId="245DEB23">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3.5 当消防设施出现严重故障不得不停用时，应通知甲方，同时督促乙方进行抢修，尽快恢复系统的运行。</w:t>
      </w:r>
    </w:p>
    <w:p w14:paraId="746E7E31">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3.6 消防系统因维修保养不当而导致火情发生或火情发生时不能及时遏制火情，经公安消防部门鉴定确实是乙方所维护保养的设备不能及时报警或不能有效运转导致的，甲方有权单方解除合同，并按合同约定要求乙方承担相应责任。</w:t>
      </w:r>
    </w:p>
    <w:p w14:paraId="3C54FF4A">
      <w:pPr>
        <w:keepNext w:val="0"/>
        <w:keepLines w:val="0"/>
        <w:pageBreakBefore w:val="0"/>
        <w:widowControl w:val="0"/>
        <w:kinsoku/>
        <w:wordWrap/>
        <w:overflowPunct/>
        <w:topLinePunct w:val="0"/>
        <w:autoSpaceDE/>
        <w:autoSpaceDN/>
        <w:bidi w:val="0"/>
        <w:adjustRightInd/>
        <w:snapToGrid/>
        <w:spacing w:line="530" w:lineRule="exact"/>
        <w:ind w:firstLine="560" w:firstLineChars="200"/>
        <w:jc w:val="left"/>
        <w:textAlignment w:val="baseline"/>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kern w:val="0"/>
          <w:sz w:val="28"/>
          <w:szCs w:val="28"/>
        </w:rPr>
        <w:t xml:space="preserve">3.7 </w:t>
      </w:r>
      <w:r>
        <w:rPr>
          <w:rFonts w:hint="eastAsia" w:ascii="仿宋_GB2312" w:hAnsi="仿宋_GB2312" w:eastAsia="仿宋_GB2312" w:cs="仿宋_GB2312"/>
          <w:bCs/>
          <w:color w:val="000000"/>
          <w:kern w:val="0"/>
          <w:sz w:val="28"/>
          <w:szCs w:val="28"/>
        </w:rPr>
        <w:t>乙方维修联系电话：</w:t>
      </w:r>
    </w:p>
    <w:p w14:paraId="7569A7E6">
      <w:pPr>
        <w:keepNext w:val="0"/>
        <w:keepLines w:val="0"/>
        <w:pageBreakBefore w:val="0"/>
        <w:widowControl w:val="0"/>
        <w:kinsoku/>
        <w:wordWrap/>
        <w:overflowPunct/>
        <w:topLinePunct w:val="0"/>
        <w:autoSpaceDE/>
        <w:autoSpaceDN/>
        <w:bidi w:val="0"/>
        <w:adjustRightInd/>
        <w:snapToGrid/>
        <w:spacing w:line="530" w:lineRule="exact"/>
        <w:ind w:firstLine="560" w:firstLineChars="200"/>
        <w:jc w:val="left"/>
        <w:textAlignment w:val="baseline"/>
        <w:rPr>
          <w:rFonts w:hint="eastAsia"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rPr>
        <w:t>消防项目负责人</w:t>
      </w:r>
      <w:r>
        <w:rPr>
          <w:rFonts w:hint="eastAsia" w:ascii="仿宋_GB2312" w:hAnsi="仿宋_GB2312" w:eastAsia="仿宋_GB2312" w:cs="仿宋_GB2312"/>
          <w:bCs/>
          <w:color w:val="000000"/>
          <w:kern w:val="0"/>
          <w:sz w:val="28"/>
          <w:szCs w:val="28"/>
          <w:lang w:val="en-US" w:eastAsia="zh-CN"/>
        </w:rPr>
        <w:t xml:space="preserve">                联系方式</w:t>
      </w:r>
    </w:p>
    <w:p w14:paraId="42125AEE">
      <w:pPr>
        <w:keepNext w:val="0"/>
        <w:keepLines w:val="0"/>
        <w:pageBreakBefore w:val="0"/>
        <w:widowControl w:val="0"/>
        <w:kinsoku/>
        <w:wordWrap/>
        <w:overflowPunct/>
        <w:topLinePunct w:val="0"/>
        <w:autoSpaceDE/>
        <w:autoSpaceDN/>
        <w:bidi w:val="0"/>
        <w:adjustRightInd/>
        <w:snapToGrid/>
        <w:spacing w:line="530" w:lineRule="exact"/>
        <w:ind w:firstLine="560" w:firstLineChars="200"/>
        <w:jc w:val="left"/>
        <w:textAlignment w:val="baseline"/>
        <w:rPr>
          <w:rFonts w:hint="eastAsia"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rPr>
        <w:t>消防技术负责人</w:t>
      </w:r>
      <w:r>
        <w:rPr>
          <w:rFonts w:hint="eastAsia" w:ascii="仿宋_GB2312" w:hAnsi="仿宋_GB2312" w:eastAsia="仿宋_GB2312" w:cs="仿宋_GB2312"/>
          <w:bCs/>
          <w:color w:val="000000"/>
          <w:kern w:val="0"/>
          <w:sz w:val="28"/>
          <w:szCs w:val="28"/>
          <w:lang w:val="en-US" w:eastAsia="zh-CN"/>
        </w:rPr>
        <w:t xml:space="preserve">                联系方式</w:t>
      </w:r>
    </w:p>
    <w:p w14:paraId="44783F22">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b/>
          <w:bCs/>
          <w:kern w:val="0"/>
          <w:sz w:val="28"/>
          <w:szCs w:val="28"/>
        </w:rPr>
      </w:pPr>
    </w:p>
    <w:p w14:paraId="541AD3EA">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第四条   月、季度检查</w:t>
      </w:r>
    </w:p>
    <w:p w14:paraId="2440ACAC">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 每月2次对消防设施例行检查，半个月一次。</w:t>
      </w:r>
    </w:p>
    <w:p w14:paraId="602D1534">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4.2 月度检查原始记录必须由参加维护保养的双方人员签字确认。</w:t>
      </w:r>
    </w:p>
    <w:p w14:paraId="3C935A1C">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4.3 月度检查结果和处理意见一式两份，由双方签字后各执一份。</w:t>
      </w:r>
    </w:p>
    <w:p w14:paraId="31D65506">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4.4 每一季度的最后一个月进行一次季度检查，季</w:t>
      </w:r>
      <w:r>
        <w:rPr>
          <w:rFonts w:hint="eastAsia" w:ascii="仿宋_GB2312" w:hAnsi="仿宋_GB2312" w:eastAsia="仿宋_GB2312" w:cs="仿宋_GB2312"/>
          <w:kern w:val="0"/>
          <w:sz w:val="28"/>
          <w:szCs w:val="28"/>
          <w:highlight w:val="none"/>
        </w:rPr>
        <w:t>度检查结果和处理意见一式两份，由双方签字后各执一份。</w:t>
      </w:r>
    </w:p>
    <w:p w14:paraId="7BF4C56D">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b/>
          <w:bCs/>
          <w:kern w:val="0"/>
          <w:sz w:val="28"/>
          <w:szCs w:val="28"/>
        </w:rPr>
      </w:pPr>
    </w:p>
    <w:p w14:paraId="7846DDF5">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第五条 书面报告</w:t>
      </w:r>
    </w:p>
    <w:p w14:paraId="51BDE77B">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5.1 乙方每</w:t>
      </w:r>
      <w:r>
        <w:rPr>
          <w:rFonts w:hint="eastAsia" w:ascii="仿宋_GB2312" w:hAnsi="仿宋_GB2312" w:eastAsia="仿宋_GB2312" w:cs="仿宋_GB2312"/>
          <w:kern w:val="0"/>
          <w:sz w:val="28"/>
          <w:szCs w:val="28"/>
          <w:lang w:eastAsia="zh-CN"/>
        </w:rPr>
        <w:t>月</w:t>
      </w:r>
      <w:r>
        <w:rPr>
          <w:rFonts w:hint="eastAsia" w:ascii="仿宋_GB2312" w:hAnsi="仿宋_GB2312" w:eastAsia="仿宋_GB2312" w:cs="仿宋_GB2312"/>
          <w:kern w:val="0"/>
          <w:sz w:val="28"/>
          <w:szCs w:val="28"/>
        </w:rPr>
        <w:t>应对消防设施维护保养的情况和检查结果，以书面形式报告甲方，其内容包括：</w:t>
      </w:r>
    </w:p>
    <w:p w14:paraId="7D662DAD">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a、消防设施各系统的运转情况；</w:t>
      </w:r>
    </w:p>
    <w:p w14:paraId="53F33770">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每月</w:t>
      </w:r>
      <w:r>
        <w:rPr>
          <w:rFonts w:hint="eastAsia" w:ascii="仿宋_GB2312" w:hAnsi="仿宋_GB2312" w:eastAsia="仿宋_GB2312" w:cs="仿宋_GB2312"/>
          <w:kern w:val="0"/>
          <w:sz w:val="28"/>
          <w:szCs w:val="28"/>
        </w:rPr>
        <w:t>维护保养和检查记录；</w:t>
      </w:r>
    </w:p>
    <w:p w14:paraId="34A2AB9D">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c、保证消防设施正常运转的建议。</w:t>
      </w:r>
    </w:p>
    <w:p w14:paraId="46A78952">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 xml:space="preserve"> 乙方每</w:t>
      </w:r>
      <w:r>
        <w:rPr>
          <w:rFonts w:hint="eastAsia" w:ascii="仿宋_GB2312" w:hAnsi="仿宋_GB2312" w:eastAsia="仿宋_GB2312" w:cs="仿宋_GB2312"/>
          <w:kern w:val="0"/>
          <w:sz w:val="28"/>
          <w:szCs w:val="28"/>
          <w:lang w:eastAsia="zh-CN"/>
        </w:rPr>
        <w:t>季</w:t>
      </w:r>
      <w:r>
        <w:rPr>
          <w:rFonts w:hint="eastAsia" w:ascii="仿宋_GB2312" w:hAnsi="仿宋_GB2312" w:eastAsia="仿宋_GB2312" w:cs="仿宋_GB2312"/>
          <w:kern w:val="0"/>
          <w:sz w:val="28"/>
          <w:szCs w:val="28"/>
        </w:rPr>
        <w:t>应对消防设施维护保养的情况和检查结果，以书面形式报告甲方，其内容包括：</w:t>
      </w:r>
    </w:p>
    <w:p w14:paraId="5423AF56">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a、消防设施各系统的运转情况；</w:t>
      </w:r>
    </w:p>
    <w:p w14:paraId="25D0A60C">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每季</w:t>
      </w:r>
      <w:r>
        <w:rPr>
          <w:rFonts w:hint="eastAsia" w:ascii="仿宋_GB2312" w:hAnsi="仿宋_GB2312" w:eastAsia="仿宋_GB2312" w:cs="仿宋_GB2312"/>
          <w:kern w:val="0"/>
          <w:sz w:val="28"/>
          <w:szCs w:val="28"/>
        </w:rPr>
        <w:t>维护保养和检查记录；</w:t>
      </w:r>
    </w:p>
    <w:p w14:paraId="047B8C8C">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c、保证消防设施正常运转的建议。</w:t>
      </w:r>
    </w:p>
    <w:p w14:paraId="5F9E7D66">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b/>
          <w:bCs/>
          <w:kern w:val="0"/>
          <w:sz w:val="28"/>
          <w:szCs w:val="28"/>
        </w:rPr>
      </w:pPr>
    </w:p>
    <w:p w14:paraId="5E3DAA50">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第六条   更换材料设备的供应</w:t>
      </w:r>
    </w:p>
    <w:p w14:paraId="7EBBAD5A">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6.1 维护保养中发现需要更换材料，设备由乙方书面报告，所有更换费用由甲方承担。</w:t>
      </w:r>
    </w:p>
    <w:p w14:paraId="00F6644A">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6.2 定期检查需要重新灌装的灭火剂费用由甲方负责，乙方协助进行拆装。</w:t>
      </w:r>
    </w:p>
    <w:p w14:paraId="0772117A">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p>
    <w:p w14:paraId="3E151757">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第七条   维修保养费用的支付</w:t>
      </w:r>
    </w:p>
    <w:p w14:paraId="6F1008CC">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 xml:space="preserve">7.1 </w:t>
      </w:r>
      <w:r>
        <w:rPr>
          <w:rFonts w:hint="eastAsia" w:ascii="仿宋_GB2312" w:hAnsi="仿宋_GB2312" w:eastAsia="仿宋_GB2312" w:cs="仿宋_GB2312"/>
          <w:color w:val="auto"/>
          <w:kern w:val="0"/>
          <w:sz w:val="28"/>
          <w:szCs w:val="28"/>
          <w:lang w:val="en-US" w:eastAsia="zh-CN"/>
        </w:rPr>
        <w:t>本项目无预付款。</w:t>
      </w:r>
    </w:p>
    <w:p w14:paraId="579986EB">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color w:val="auto"/>
          <w:kern w:val="0"/>
          <w:sz w:val="28"/>
          <w:szCs w:val="28"/>
          <w:lang w:val="en-US" w:eastAsia="zh-CN"/>
        </w:rPr>
        <w:t xml:space="preserve">7.2 </w:t>
      </w:r>
      <w:r>
        <w:rPr>
          <w:rFonts w:hint="eastAsia" w:ascii="仿宋_GB2312" w:hAnsi="仿宋_GB2312" w:eastAsia="仿宋_GB2312" w:cs="仿宋_GB2312"/>
          <w:color w:val="auto"/>
          <w:kern w:val="0"/>
          <w:sz w:val="28"/>
          <w:szCs w:val="28"/>
        </w:rPr>
        <w:t>付款方式</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每季度</w:t>
      </w:r>
      <w:r>
        <w:rPr>
          <w:rFonts w:hint="eastAsia" w:ascii="仿宋_GB2312" w:hAnsi="仿宋_GB2312" w:eastAsia="仿宋_GB2312" w:cs="仿宋_GB2312"/>
          <w:color w:val="auto"/>
          <w:kern w:val="0"/>
          <w:sz w:val="28"/>
          <w:szCs w:val="28"/>
        </w:rPr>
        <w:t>支</w:t>
      </w:r>
      <w:r>
        <w:rPr>
          <w:rFonts w:hint="eastAsia" w:ascii="仿宋_GB2312" w:hAnsi="仿宋_GB2312" w:eastAsia="仿宋_GB2312" w:cs="仿宋_GB2312"/>
          <w:kern w:val="0"/>
          <w:sz w:val="28"/>
          <w:szCs w:val="28"/>
        </w:rPr>
        <w:t>付</w:t>
      </w:r>
      <w:r>
        <w:rPr>
          <w:rFonts w:hint="eastAsia" w:ascii="仿宋_GB2312" w:hAnsi="仿宋_GB2312" w:eastAsia="仿宋_GB2312" w:cs="仿宋_GB2312"/>
          <w:kern w:val="0"/>
          <w:sz w:val="28"/>
          <w:szCs w:val="28"/>
          <w:lang w:val="en-US" w:eastAsia="zh-CN"/>
        </w:rPr>
        <w:t>一次</w:t>
      </w:r>
      <w:r>
        <w:rPr>
          <w:rFonts w:hint="eastAsia" w:ascii="仿宋_GB2312" w:hAnsi="仿宋_GB2312" w:eastAsia="仿宋_GB2312" w:cs="仿宋_GB2312"/>
          <w:kern w:val="0"/>
          <w:sz w:val="28"/>
          <w:szCs w:val="28"/>
        </w:rPr>
        <w:t>。合同签订生效后，</w:t>
      </w:r>
      <w:r>
        <w:rPr>
          <w:rFonts w:hint="eastAsia" w:ascii="仿宋_GB2312" w:hAnsi="仿宋_GB2312" w:eastAsia="仿宋_GB2312" w:cs="仿宋_GB2312"/>
          <w:kern w:val="0"/>
          <w:sz w:val="28"/>
          <w:szCs w:val="28"/>
          <w:lang w:val="en-US" w:eastAsia="zh-CN"/>
        </w:rPr>
        <w:t>待每季度完成维保后，根据维保最终履约评价情况（见附件1）支付费用，</w:t>
      </w:r>
      <w:r>
        <w:rPr>
          <w:rFonts w:hint="eastAsia" w:ascii="仿宋_GB2312" w:hAnsi="仿宋_GB2312" w:eastAsia="仿宋_GB2312" w:cs="仿宋_GB2312"/>
          <w:kern w:val="0"/>
          <w:sz w:val="28"/>
          <w:szCs w:val="28"/>
        </w:rPr>
        <w:t>甲方于</w:t>
      </w:r>
      <w:r>
        <w:rPr>
          <w:rFonts w:hint="eastAsia" w:ascii="仿宋_GB2312" w:hAnsi="仿宋_GB2312" w:eastAsia="仿宋_GB2312" w:cs="仿宋_GB2312"/>
          <w:kern w:val="0"/>
          <w:sz w:val="28"/>
          <w:szCs w:val="28"/>
          <w:lang w:val="en-US" w:eastAsia="zh-CN"/>
        </w:rPr>
        <w:t>第二个季度的</w:t>
      </w:r>
      <w:r>
        <w:rPr>
          <w:rFonts w:hint="eastAsia" w:ascii="仿宋_GB2312" w:hAnsi="仿宋_GB2312" w:eastAsia="仿宋_GB2312" w:cs="仿宋_GB2312"/>
          <w:kern w:val="0"/>
          <w:sz w:val="28"/>
          <w:szCs w:val="28"/>
        </w:rPr>
        <w:t>首月1—</w:t>
      </w:r>
      <w:r>
        <w:rPr>
          <w:rFonts w:hint="eastAsia" w:ascii="仿宋_GB2312" w:hAnsi="仿宋_GB2312" w:eastAsia="仿宋_GB2312" w:cs="仿宋_GB2312"/>
          <w:kern w:val="0"/>
          <w:sz w:val="28"/>
          <w:szCs w:val="28"/>
          <w:lang w:val="en-US" w:eastAsia="zh-CN"/>
        </w:rPr>
        <w:t>20</w:t>
      </w:r>
      <w:r>
        <w:rPr>
          <w:rFonts w:hint="eastAsia" w:ascii="仿宋_GB2312" w:hAnsi="仿宋_GB2312" w:eastAsia="仿宋_GB2312" w:cs="仿宋_GB2312"/>
          <w:kern w:val="0"/>
          <w:sz w:val="28"/>
          <w:szCs w:val="28"/>
        </w:rPr>
        <w:t>日内支付维修保养费人民币</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元整（¥</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w:t>
      </w:r>
    </w:p>
    <w:p w14:paraId="370C2FEE">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若履约评价得分</w:t>
      </w:r>
      <w:r>
        <w:rPr>
          <w:rFonts w:hint="eastAsia" w:ascii="仿宋_GB2312" w:hAnsi="仿宋_GB2312" w:eastAsia="仿宋_GB2312" w:cs="仿宋_GB2312"/>
          <w:kern w:val="0"/>
          <w:sz w:val="28"/>
          <w:szCs w:val="28"/>
          <w:lang w:eastAsia="zh-CN"/>
        </w:rPr>
        <w:t>≥95分为优秀，按100%比例支付维保费用。</w:t>
      </w:r>
    </w:p>
    <w:p w14:paraId="61C22D6B">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若</w:t>
      </w:r>
      <w:r>
        <w:rPr>
          <w:rFonts w:hint="eastAsia" w:ascii="仿宋_GB2312" w:hAnsi="仿宋_GB2312" w:eastAsia="仿宋_GB2312" w:cs="仿宋_GB2312"/>
          <w:kern w:val="0"/>
          <w:sz w:val="28"/>
          <w:szCs w:val="28"/>
          <w:lang w:eastAsia="zh-CN"/>
        </w:rPr>
        <w:t>95分＞</w:t>
      </w:r>
      <w:r>
        <w:rPr>
          <w:rFonts w:hint="eastAsia" w:ascii="仿宋_GB2312" w:hAnsi="仿宋_GB2312" w:eastAsia="仿宋_GB2312" w:cs="仿宋_GB2312"/>
          <w:kern w:val="0"/>
          <w:sz w:val="28"/>
          <w:szCs w:val="28"/>
          <w:lang w:val="en-US" w:eastAsia="zh-CN"/>
        </w:rPr>
        <w:t>履约评价得分</w:t>
      </w:r>
      <w:r>
        <w:rPr>
          <w:rFonts w:hint="eastAsia" w:ascii="仿宋_GB2312" w:hAnsi="仿宋_GB2312" w:eastAsia="仿宋_GB2312" w:cs="仿宋_GB2312"/>
          <w:kern w:val="0"/>
          <w:sz w:val="28"/>
          <w:szCs w:val="28"/>
          <w:lang w:eastAsia="zh-CN"/>
        </w:rPr>
        <w:t>≥90为及格，按</w:t>
      </w:r>
      <w:r>
        <w:rPr>
          <w:rFonts w:hint="eastAsia" w:ascii="仿宋_GB2312" w:hAnsi="仿宋_GB2312" w:eastAsia="仿宋_GB2312" w:cs="仿宋_GB2312"/>
          <w:kern w:val="0"/>
          <w:sz w:val="28"/>
          <w:szCs w:val="28"/>
          <w:lang w:val="en-US" w:eastAsia="zh-CN"/>
        </w:rPr>
        <w:t>95</w:t>
      </w:r>
      <w:r>
        <w:rPr>
          <w:rFonts w:hint="eastAsia" w:ascii="仿宋_GB2312" w:hAnsi="仿宋_GB2312" w:eastAsia="仿宋_GB2312" w:cs="仿宋_GB2312"/>
          <w:kern w:val="0"/>
          <w:sz w:val="28"/>
          <w:szCs w:val="28"/>
          <w:lang w:eastAsia="zh-CN"/>
        </w:rPr>
        <w:t>%比例支付维保费用。</w:t>
      </w:r>
    </w:p>
    <w:p w14:paraId="4E30A86E">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若履约评价得分</w:t>
      </w:r>
      <w:r>
        <w:rPr>
          <w:rFonts w:hint="eastAsia" w:ascii="仿宋_GB2312" w:hAnsi="仿宋_GB2312" w:eastAsia="仿宋_GB2312" w:cs="仿宋_GB2312"/>
          <w:kern w:val="0"/>
          <w:sz w:val="28"/>
          <w:szCs w:val="28"/>
          <w:lang w:eastAsia="zh-CN"/>
        </w:rPr>
        <w:t>&lt;90分为不及格，按</w:t>
      </w:r>
      <w:r>
        <w:rPr>
          <w:rFonts w:hint="eastAsia" w:ascii="仿宋_GB2312" w:hAnsi="仿宋_GB2312" w:eastAsia="仿宋_GB2312" w:cs="仿宋_GB2312"/>
          <w:kern w:val="0"/>
          <w:sz w:val="28"/>
          <w:szCs w:val="28"/>
          <w:lang w:val="en-US" w:eastAsia="zh-CN"/>
        </w:rPr>
        <w:t>90</w:t>
      </w:r>
      <w:r>
        <w:rPr>
          <w:rFonts w:hint="eastAsia" w:ascii="仿宋_GB2312" w:hAnsi="仿宋_GB2312" w:eastAsia="仿宋_GB2312" w:cs="仿宋_GB2312"/>
          <w:kern w:val="0"/>
          <w:sz w:val="28"/>
          <w:szCs w:val="28"/>
          <w:lang w:eastAsia="zh-CN"/>
        </w:rPr>
        <w:t>%比例支付维保费用，乙方同时还应向甲方提交书面改进方案，经甲方认可后做出改进。</w:t>
      </w:r>
    </w:p>
    <w:p w14:paraId="7211ED50">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若</w:t>
      </w:r>
      <w:r>
        <w:rPr>
          <w:rFonts w:hint="eastAsia" w:ascii="仿宋_GB2312" w:hAnsi="仿宋_GB2312" w:eastAsia="仿宋_GB2312" w:cs="仿宋_GB2312"/>
          <w:kern w:val="0"/>
          <w:sz w:val="28"/>
          <w:szCs w:val="28"/>
          <w:lang w:eastAsia="zh-CN"/>
        </w:rPr>
        <w:t>如连续</w:t>
      </w:r>
      <w:r>
        <w:rPr>
          <w:rFonts w:hint="eastAsia" w:ascii="仿宋_GB2312" w:hAnsi="仿宋_GB2312" w:eastAsia="仿宋_GB2312" w:cs="仿宋_GB2312"/>
          <w:kern w:val="0"/>
          <w:sz w:val="28"/>
          <w:szCs w:val="28"/>
          <w:lang w:val="en-US" w:eastAsia="zh-CN"/>
        </w:rPr>
        <w:t>三个</w:t>
      </w:r>
      <w:r>
        <w:rPr>
          <w:rFonts w:hint="eastAsia" w:ascii="仿宋_GB2312" w:hAnsi="仿宋_GB2312" w:eastAsia="仿宋_GB2312" w:cs="仿宋_GB2312"/>
          <w:kern w:val="0"/>
          <w:sz w:val="28"/>
          <w:szCs w:val="28"/>
          <w:lang w:eastAsia="zh-CN"/>
        </w:rPr>
        <w:t>季度考核分数低于90分，则甲方有权单方面取消维保单位维保资格。</w:t>
      </w:r>
    </w:p>
    <w:p w14:paraId="4D8C08DB">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 xml:space="preserve"> 乙方应在甲方支付合同款项前向甲方提供等额有效税务发票，否则甲方有权顺延支付而无须承担任何责任。乙方指定收款账号信息如下：</w:t>
      </w:r>
    </w:p>
    <w:p w14:paraId="5B165742">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开户名称：</w:t>
      </w:r>
    </w:p>
    <w:p w14:paraId="7EDB62A1">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开户银行： </w:t>
      </w:r>
    </w:p>
    <w:p w14:paraId="1FF21B20">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账    号： </w:t>
      </w:r>
    </w:p>
    <w:p w14:paraId="1AE679DD">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乙方应保证该收款账户能够正常使用，因该收款账户异常导致合同费用支付异常或支付不成功的，乙方自行承担相应的责任。</w:t>
      </w:r>
    </w:p>
    <w:p w14:paraId="635F567E">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b/>
          <w:bCs/>
          <w:kern w:val="0"/>
          <w:sz w:val="28"/>
          <w:szCs w:val="28"/>
        </w:rPr>
      </w:pPr>
    </w:p>
    <w:p w14:paraId="5B85F856">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第八条 争议、违约处理</w:t>
      </w:r>
    </w:p>
    <w:p w14:paraId="3D94EFE8">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8.1 履行合同过程中发生争议，首先本着友好态度协商解决，若经协商仍不能解决，双方同意选择</w:t>
      </w:r>
      <w:r>
        <w:rPr>
          <w:rFonts w:hint="eastAsia" w:ascii="仿宋_GB2312" w:hAnsi="仿宋_GB2312" w:eastAsia="仿宋_GB2312" w:cs="仿宋_GB2312"/>
          <w:kern w:val="0"/>
          <w:sz w:val="28"/>
          <w:szCs w:val="28"/>
          <w:u w:val="single"/>
        </w:rPr>
        <w:t xml:space="preserve"> c </w:t>
      </w:r>
      <w:r>
        <w:rPr>
          <w:rFonts w:hint="eastAsia" w:ascii="仿宋_GB2312" w:hAnsi="仿宋_GB2312" w:eastAsia="仿宋_GB2312" w:cs="仿宋_GB2312"/>
          <w:kern w:val="0"/>
          <w:sz w:val="28"/>
          <w:szCs w:val="28"/>
        </w:rPr>
        <w:t>种方式解决：</w:t>
      </w:r>
    </w:p>
    <w:p w14:paraId="15C46A01">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a、向深圳市</w:t>
      </w:r>
      <w:r>
        <w:rPr>
          <w:rFonts w:hint="eastAsia" w:ascii="仿宋_GB2312" w:hAnsi="仿宋_GB2312" w:eastAsia="仿宋_GB2312" w:cs="仿宋_GB2312"/>
          <w:kern w:val="0"/>
          <w:sz w:val="28"/>
          <w:szCs w:val="28"/>
          <w:highlight w:val="none"/>
        </w:rPr>
        <w:t>公安</w:t>
      </w:r>
      <w:r>
        <w:rPr>
          <w:rFonts w:hint="eastAsia" w:ascii="仿宋_GB2312" w:hAnsi="仿宋_GB2312" w:eastAsia="仿宋_GB2312" w:cs="仿宋_GB2312"/>
          <w:kern w:val="0"/>
          <w:sz w:val="28"/>
          <w:szCs w:val="28"/>
          <w:highlight w:val="none"/>
          <w:lang w:eastAsia="zh-CN"/>
        </w:rPr>
        <w:t>消防救援局</w:t>
      </w:r>
      <w:r>
        <w:rPr>
          <w:rFonts w:hint="eastAsia" w:ascii="仿宋_GB2312" w:hAnsi="仿宋_GB2312" w:eastAsia="仿宋_GB2312" w:cs="仿宋_GB2312"/>
          <w:kern w:val="0"/>
          <w:sz w:val="28"/>
          <w:szCs w:val="28"/>
        </w:rPr>
        <w:t>申请调解；</w:t>
      </w:r>
    </w:p>
    <w:p w14:paraId="2B237039">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b、向深圳市仲裁委员会申请仲裁；</w:t>
      </w:r>
    </w:p>
    <w:p w14:paraId="0994F59B">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c、向甲方所在地人民法院起诉。</w:t>
      </w:r>
    </w:p>
    <w:p w14:paraId="329EE5F2">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8.2 违约的处理：合同双方任一方不能全面履行合同约定，均属于违约，除须承担违约给对方造成经济损失外，违约方还应向对方支付维修保养费（¥</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）的20%作为违约金。</w:t>
      </w:r>
    </w:p>
    <w:p w14:paraId="14E835F4">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b/>
          <w:bCs/>
          <w:kern w:val="0"/>
          <w:sz w:val="28"/>
          <w:szCs w:val="28"/>
        </w:rPr>
      </w:pPr>
    </w:p>
    <w:p w14:paraId="2B6A9E98">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第九条   安全工作</w:t>
      </w:r>
    </w:p>
    <w:p w14:paraId="3452F59A">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9.1 乙方应按安全工作有关规定，采取严格、科学的安全措施，确保操作者安全。</w:t>
      </w:r>
    </w:p>
    <w:p w14:paraId="6DA4DA40">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9.2 若发生重大伤亡事故，乙方应按有关规定，立即通知甲方代表，甲方报告深圳市公安局，甲方为拯救提供必要条件。</w:t>
      </w:r>
    </w:p>
    <w:p w14:paraId="6855CA20">
      <w:pPr>
        <w:keepNext w:val="0"/>
        <w:keepLines w:val="0"/>
        <w:pageBreakBefore w:val="0"/>
        <w:widowControl w:val="0"/>
        <w:kinsoku/>
        <w:wordWrap/>
        <w:overflowPunct/>
        <w:topLinePunct w:val="0"/>
        <w:autoSpaceDE/>
        <w:autoSpaceDN/>
        <w:bidi w:val="0"/>
        <w:adjustRightInd/>
        <w:snapToGrid/>
        <w:spacing w:line="530" w:lineRule="exact"/>
        <w:ind w:firstLine="562" w:firstLineChars="200"/>
        <w:rPr>
          <w:rFonts w:hint="eastAsia" w:ascii="仿宋_GB2312" w:hAnsi="仿宋_GB2312" w:eastAsia="仿宋_GB2312" w:cs="仿宋_GB2312"/>
          <w:b/>
          <w:bCs/>
          <w:kern w:val="0"/>
          <w:sz w:val="28"/>
          <w:szCs w:val="28"/>
        </w:rPr>
      </w:pPr>
    </w:p>
    <w:p w14:paraId="3E3817A6">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第十条   保险</w:t>
      </w:r>
    </w:p>
    <w:p w14:paraId="08F015F9">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10.1 甲方办理甲方现场人员及第三方人员生命财产的保险，并支付相应费用。</w:t>
      </w:r>
    </w:p>
    <w:p w14:paraId="7D879CB0">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10.2 乙方办理乙方现场人员生命财产的保险，并支付相应费用。</w:t>
      </w:r>
    </w:p>
    <w:p w14:paraId="7B073DDD">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p>
    <w:p w14:paraId="6128FF8D">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第十一条   维修保养实施方案</w:t>
      </w:r>
    </w:p>
    <w:p w14:paraId="7CE0B5F6">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11.1 本方案涉及消防设施必须经过消防部门验收合格后的消防设施。</w:t>
      </w:r>
    </w:p>
    <w:p w14:paraId="53B1943B">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11.2 凡是在消防验收标准范围内（现存在的消防系统）需要维修的由甲方负责维修保养，经过全面检查，系统达到消防验收标准，并能正常运行后移交给乙方开始对该系统按本维修保养方案进行维修保养，甲方应积极配合乙方工作并及时做好填表、记录、签字确认等手续。</w:t>
      </w:r>
    </w:p>
    <w:p w14:paraId="5E906AA2">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11.3 本保养期限内，乙方严格按照本方案规定的制度及程序计划执行，除甲方进行值班检查项目外，其他项目的检查与实验，均应由乙方会同甲方共同进行，甲方应协助检查并提供必要的方便，对检查维护保养结果，甲方有关负责人应及时签字认同。</w:t>
      </w:r>
    </w:p>
    <w:p w14:paraId="6557A277">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11.4 保养过程中，乙方把 </w:t>
      </w:r>
      <w:r>
        <w:rPr>
          <w:rFonts w:hint="eastAsia" w:ascii="仿宋_GB2312" w:hAnsi="仿宋_GB2312" w:eastAsia="仿宋_GB2312" w:cs="仿宋_GB2312"/>
          <w:kern w:val="0"/>
          <w:sz w:val="28"/>
          <w:szCs w:val="28"/>
          <w:u w:val="single"/>
        </w:rPr>
        <w:t xml:space="preserve"> 本项目 </w:t>
      </w:r>
      <w:r>
        <w:rPr>
          <w:rFonts w:hint="eastAsia" w:ascii="仿宋_GB2312" w:hAnsi="仿宋_GB2312" w:eastAsia="仿宋_GB2312" w:cs="仿宋_GB2312"/>
          <w:kern w:val="0"/>
          <w:sz w:val="28"/>
          <w:szCs w:val="28"/>
        </w:rPr>
        <w:t xml:space="preserve">  内所存在的消防设备故障及消防隐患告知甲方后，若甲方不予及时解决，使系统不能恢复正常运行，乙方不承担责任。</w:t>
      </w:r>
    </w:p>
    <w:p w14:paraId="6E00925C">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11.5 每月检查维护保养后，由乙方整理出检查维修保养及故障处理意见，呈现甲方及有关单位，甲方应及时签收认可，不得无故拖延。属于甲方解决的问题，甲方应及时处理。</w:t>
      </w:r>
    </w:p>
    <w:p w14:paraId="26FBB92D">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11.6 定期检查制度，依据消防设施验收规范及消防部门对维护保养的有关规定，保养制度分月、季、年保养，具体规定见下表。</w:t>
      </w:r>
    </w:p>
    <w:p w14:paraId="5F41D983">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p>
    <w:p w14:paraId="4C8F45B4">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341"/>
        <w:gridCol w:w="3086"/>
        <w:gridCol w:w="2456"/>
      </w:tblGrid>
      <w:tr w14:paraId="12E7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1FBC09A">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检查方式</w:t>
            </w:r>
          </w:p>
        </w:tc>
        <w:tc>
          <w:tcPr>
            <w:tcW w:w="0" w:type="auto"/>
            <w:vAlign w:val="center"/>
          </w:tcPr>
          <w:p w14:paraId="521891D6">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检查单位</w:t>
            </w:r>
          </w:p>
        </w:tc>
        <w:tc>
          <w:tcPr>
            <w:tcW w:w="0" w:type="auto"/>
            <w:vAlign w:val="center"/>
          </w:tcPr>
          <w:p w14:paraId="139F99EF">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检查时间</w:t>
            </w:r>
          </w:p>
        </w:tc>
        <w:tc>
          <w:tcPr>
            <w:tcW w:w="0" w:type="auto"/>
            <w:vAlign w:val="center"/>
          </w:tcPr>
          <w:p w14:paraId="6CE11B78">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14:paraId="2B58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1AC423C">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月检</w:t>
            </w:r>
          </w:p>
        </w:tc>
        <w:tc>
          <w:tcPr>
            <w:tcW w:w="0" w:type="auto"/>
            <w:vAlign w:val="center"/>
          </w:tcPr>
          <w:p w14:paraId="2875D7DB">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维保单位</w:t>
            </w:r>
          </w:p>
        </w:tc>
        <w:tc>
          <w:tcPr>
            <w:tcW w:w="0" w:type="auto"/>
            <w:vAlign w:val="center"/>
          </w:tcPr>
          <w:p w14:paraId="4BE6C127">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每月</w:t>
            </w:r>
          </w:p>
        </w:tc>
        <w:tc>
          <w:tcPr>
            <w:tcW w:w="0" w:type="auto"/>
            <w:vAlign w:val="center"/>
          </w:tcPr>
          <w:p w14:paraId="6E8CD1C7">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按每月计划实行</w:t>
            </w:r>
          </w:p>
        </w:tc>
      </w:tr>
      <w:tr w14:paraId="546F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3E2DD7A">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年检</w:t>
            </w:r>
          </w:p>
        </w:tc>
        <w:tc>
          <w:tcPr>
            <w:tcW w:w="0" w:type="auto"/>
            <w:vAlign w:val="center"/>
          </w:tcPr>
          <w:p w14:paraId="31574E03">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维保单位</w:t>
            </w:r>
          </w:p>
        </w:tc>
        <w:tc>
          <w:tcPr>
            <w:tcW w:w="0" w:type="auto"/>
            <w:vAlign w:val="center"/>
          </w:tcPr>
          <w:p w14:paraId="7D58A7DF">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每年</w:t>
            </w:r>
          </w:p>
        </w:tc>
        <w:tc>
          <w:tcPr>
            <w:tcW w:w="0" w:type="auto"/>
            <w:vAlign w:val="center"/>
          </w:tcPr>
          <w:p w14:paraId="4D2D0D99">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按每年计划实行</w:t>
            </w:r>
          </w:p>
        </w:tc>
      </w:tr>
      <w:tr w14:paraId="6B87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40907A1">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应急抢修</w:t>
            </w:r>
          </w:p>
        </w:tc>
        <w:tc>
          <w:tcPr>
            <w:tcW w:w="0" w:type="auto"/>
            <w:vAlign w:val="center"/>
          </w:tcPr>
          <w:p w14:paraId="79769B5A">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维保单位</w:t>
            </w:r>
          </w:p>
        </w:tc>
        <w:tc>
          <w:tcPr>
            <w:tcW w:w="0" w:type="auto"/>
            <w:vAlign w:val="center"/>
          </w:tcPr>
          <w:p w14:paraId="5632D32A">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2—4小时到达事故现场</w:t>
            </w:r>
          </w:p>
        </w:tc>
        <w:tc>
          <w:tcPr>
            <w:tcW w:w="0" w:type="auto"/>
            <w:vAlign w:val="center"/>
          </w:tcPr>
          <w:p w14:paraId="76DBDBAE">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随时受理故障通知</w:t>
            </w:r>
          </w:p>
        </w:tc>
      </w:tr>
    </w:tbl>
    <w:p w14:paraId="4AF34AE9">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p>
    <w:p w14:paraId="728DAA14">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第十二条   突发故障及应急维修</w:t>
      </w:r>
    </w:p>
    <w:p w14:paraId="3FC2AE83">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12.1 当维修保养合同范围内的消防设施在运行中出现突发故障时，应由甲方指定的专业消防设施管理人员及时通知乙方指定的维护部负责人，必须立即处理的故障乙方立即派专业维修人员到现场抢修；一般故障4小时内到达现场维护，紧急情况需1.5小时内赶到现场抢修。如乙方未在约定期间内派人维修的，甲方可委托其他人员维修，其维修费用由承包人承担，且按合同约定承担相应违约责任。</w:t>
      </w:r>
    </w:p>
    <w:p w14:paraId="2AADAB23">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12.2 维护中因设备主材的损坏而必须更换时，新置设备、主材费用由甲方负责。</w:t>
      </w:r>
    </w:p>
    <w:p w14:paraId="6C2A536C">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p>
    <w:p w14:paraId="2ECF51B8">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仿宋_GB2312" w:hAnsi="仿宋_GB2312" w:eastAsia="仿宋_GB2312" w:cs="仿宋_GB2312"/>
          <w:kern w:val="0"/>
          <w:sz w:val="28"/>
          <w:szCs w:val="28"/>
        </w:rPr>
      </w:pPr>
      <w:r>
        <w:rPr>
          <w:rFonts w:hint="eastAsia" w:ascii="黑体" w:hAnsi="黑体" w:eastAsia="黑体" w:cs="黑体"/>
          <w:b/>
          <w:bCs/>
          <w:kern w:val="0"/>
          <w:sz w:val="30"/>
          <w:szCs w:val="30"/>
        </w:rPr>
        <w:t>第十三条   合同生效与终止</w:t>
      </w:r>
    </w:p>
    <w:p w14:paraId="627EC081">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合同自甲、乙双方法定代表人或其委托代理人签名并加盖公章生效；在维修保养有效期</w:t>
      </w:r>
      <w:r>
        <w:rPr>
          <w:rFonts w:hint="eastAsia" w:ascii="仿宋_GB2312" w:hAnsi="仿宋_GB2312" w:eastAsia="仿宋_GB2312" w:cs="仿宋_GB2312"/>
          <w:kern w:val="0"/>
          <w:sz w:val="28"/>
          <w:szCs w:val="28"/>
          <w:lang w:val="en-US" w:eastAsia="zh-CN"/>
        </w:rPr>
        <w:t>到期</w:t>
      </w:r>
      <w:r>
        <w:rPr>
          <w:rFonts w:hint="eastAsia" w:ascii="仿宋_GB2312" w:hAnsi="仿宋_GB2312" w:eastAsia="仿宋_GB2312" w:cs="仿宋_GB2312"/>
          <w:kern w:val="0"/>
          <w:sz w:val="28"/>
          <w:szCs w:val="28"/>
        </w:rPr>
        <w:t>前一个月，甲、乙双方商定合同的延续或终止。</w:t>
      </w:r>
    </w:p>
    <w:p w14:paraId="33AC0BB3">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p>
    <w:p w14:paraId="6A49AF03">
      <w:pPr>
        <w:keepNext w:val="0"/>
        <w:keepLines w:val="0"/>
        <w:pageBreakBefore w:val="0"/>
        <w:widowControl w:val="0"/>
        <w:kinsoku/>
        <w:wordWrap/>
        <w:overflowPunct/>
        <w:topLinePunct w:val="0"/>
        <w:autoSpaceDE/>
        <w:autoSpaceDN/>
        <w:bidi w:val="0"/>
        <w:adjustRightInd/>
        <w:snapToGrid/>
        <w:spacing w:line="530" w:lineRule="exact"/>
        <w:jc w:val="center"/>
        <w:rPr>
          <w:rFonts w:hint="eastAsia" w:ascii="黑体" w:hAnsi="黑体" w:eastAsia="黑体" w:cs="黑体"/>
          <w:b/>
          <w:bCs/>
          <w:kern w:val="0"/>
          <w:sz w:val="30"/>
          <w:szCs w:val="30"/>
        </w:rPr>
      </w:pPr>
      <w:r>
        <w:rPr>
          <w:rFonts w:hint="eastAsia" w:ascii="黑体" w:hAnsi="黑体" w:eastAsia="黑体" w:cs="黑体"/>
          <w:b/>
          <w:bCs/>
          <w:kern w:val="0"/>
          <w:sz w:val="30"/>
          <w:szCs w:val="30"/>
        </w:rPr>
        <w:t>第十四条   合同的份数</w:t>
      </w:r>
    </w:p>
    <w:p w14:paraId="27CBEFE4">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本合同正本一式</w:t>
      </w:r>
      <w:r>
        <w:rPr>
          <w:rFonts w:hint="eastAsia" w:ascii="仿宋_GB2312" w:hAnsi="仿宋_GB2312" w:eastAsia="仿宋_GB2312" w:cs="仿宋_GB2312"/>
          <w:kern w:val="0"/>
          <w:sz w:val="28"/>
          <w:szCs w:val="28"/>
          <w:u w:val="single"/>
        </w:rPr>
        <w:t xml:space="preserve"> 肆 份</w:t>
      </w:r>
      <w:r>
        <w:rPr>
          <w:rFonts w:hint="eastAsia" w:ascii="仿宋_GB2312" w:hAnsi="仿宋_GB2312" w:eastAsia="仿宋_GB2312" w:cs="仿宋_GB2312"/>
          <w:kern w:val="0"/>
          <w:sz w:val="28"/>
          <w:szCs w:val="28"/>
        </w:rPr>
        <w:t>，由甲方执</w:t>
      </w:r>
      <w:r>
        <w:rPr>
          <w:rFonts w:hint="eastAsia" w:ascii="仿宋_GB2312" w:hAnsi="仿宋_GB2312" w:eastAsia="仿宋_GB2312" w:cs="仿宋_GB2312"/>
          <w:kern w:val="0"/>
          <w:sz w:val="28"/>
          <w:szCs w:val="28"/>
          <w:u w:val="single"/>
        </w:rPr>
        <w:t xml:space="preserve"> 叁 </w:t>
      </w:r>
      <w:r>
        <w:rPr>
          <w:rFonts w:hint="eastAsia" w:ascii="仿宋_GB2312" w:hAnsi="仿宋_GB2312" w:eastAsia="仿宋_GB2312" w:cs="仿宋_GB2312"/>
          <w:kern w:val="0"/>
          <w:sz w:val="28"/>
          <w:szCs w:val="28"/>
        </w:rPr>
        <w:t>份，乙方执</w:t>
      </w:r>
      <w:r>
        <w:rPr>
          <w:rFonts w:hint="eastAsia" w:ascii="仿宋_GB2312" w:hAnsi="仿宋_GB2312" w:eastAsia="仿宋_GB2312" w:cs="仿宋_GB2312"/>
          <w:kern w:val="0"/>
          <w:sz w:val="28"/>
          <w:szCs w:val="28"/>
          <w:u w:val="single"/>
        </w:rPr>
        <w:t xml:space="preserve"> 壹 </w:t>
      </w:r>
      <w:r>
        <w:rPr>
          <w:rFonts w:hint="eastAsia" w:ascii="仿宋_GB2312" w:hAnsi="仿宋_GB2312" w:eastAsia="仿宋_GB2312" w:cs="仿宋_GB2312"/>
          <w:kern w:val="0"/>
          <w:sz w:val="28"/>
          <w:szCs w:val="28"/>
        </w:rPr>
        <w:t>份，经甲方双方法定代表人或其委托代理人签名并加盖公章后立即生效，均具有同等法律效力。合同附件作为合同组成部分，与本合同具有同等法律效力。</w:t>
      </w:r>
    </w:p>
    <w:p w14:paraId="1B5190DD">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p>
    <w:p w14:paraId="55BEC396">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附件</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维保履约情况评价表</w:t>
      </w:r>
    </w:p>
    <w:p w14:paraId="12622F75">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：深圳市龙华市场运营有限公司消防设施维修保养内容</w:t>
      </w:r>
    </w:p>
    <w:p w14:paraId="5BC34670">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kern w:val="0"/>
          <w:sz w:val="28"/>
          <w:szCs w:val="28"/>
        </w:rPr>
      </w:pPr>
    </w:p>
    <w:p w14:paraId="6D721399">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委托方：（盖章）               受托方：（盖章）</w:t>
      </w:r>
    </w:p>
    <w:p w14:paraId="500A6334">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                     法定代表人</w:t>
      </w:r>
    </w:p>
    <w:p w14:paraId="4C66B769">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或其委托代理人（签名）：       或其委托代理人（签名）：</w:t>
      </w:r>
    </w:p>
    <w:p w14:paraId="1B972777">
      <w:pPr>
        <w:keepNext w:val="0"/>
        <w:keepLines w:val="0"/>
        <w:pageBreakBefore w:val="0"/>
        <w:widowControl w:val="0"/>
        <w:kinsoku/>
        <w:wordWrap/>
        <w:overflowPunct/>
        <w:topLinePunct w:val="0"/>
        <w:autoSpaceDE/>
        <w:autoSpaceDN/>
        <w:bidi w:val="0"/>
        <w:adjustRightInd/>
        <w:snapToGrid/>
        <w:spacing w:line="530" w:lineRule="exact"/>
        <w:ind w:firstLine="560" w:firstLineChars="200"/>
        <w:rPr>
          <w:rFonts w:hint="eastAsia" w:ascii="仿宋_GB2312" w:hAnsi="仿宋_GB2312" w:eastAsia="仿宋_GB2312" w:cs="仿宋_GB2312"/>
          <w:kern w:val="0"/>
          <w:sz w:val="28"/>
          <w:szCs w:val="28"/>
        </w:rPr>
      </w:pPr>
    </w:p>
    <w:p w14:paraId="10D1BE6D">
      <w:pPr>
        <w:keepNext w:val="0"/>
        <w:keepLines w:val="0"/>
        <w:pageBreakBefore w:val="0"/>
        <w:widowControl w:val="0"/>
        <w:kinsoku/>
        <w:wordWrap/>
        <w:overflowPunct/>
        <w:topLinePunct w:val="0"/>
        <w:autoSpaceDE/>
        <w:autoSpaceDN/>
        <w:bidi w:val="0"/>
        <w:adjustRightInd/>
        <w:snapToGrid/>
        <w:spacing w:line="53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签订日期：    年   月   日     签订日期：    年   月   日</w:t>
      </w:r>
    </w:p>
    <w:p w14:paraId="598305EE">
      <w:pPr>
        <w:widowControl/>
        <w:jc w:val="left"/>
        <w:rPr>
          <w:spacing w:val="-20"/>
          <w:sz w:val="28"/>
          <w:szCs w:val="28"/>
        </w:rPr>
      </w:pPr>
      <w:r>
        <w:rPr>
          <w:spacing w:val="-20"/>
          <w:sz w:val="28"/>
          <w:szCs w:val="28"/>
        </w:rPr>
        <w:br w:type="page"/>
      </w:r>
    </w:p>
    <w:p w14:paraId="779132FB">
      <w:pPr>
        <w:spacing w:line="560" w:lineRule="exact"/>
        <w:jc w:val="left"/>
        <w:textAlignment w:val="baseline"/>
        <w:rPr>
          <w:rFonts w:hint="eastAsia" w:ascii="宋体" w:hAnsi="宋体"/>
          <w:b/>
          <w:color w:val="000000"/>
          <w:sz w:val="28"/>
          <w:szCs w:val="28"/>
        </w:rPr>
      </w:pPr>
      <w:r>
        <w:rPr>
          <w:rFonts w:hint="eastAsia" w:ascii="黑体" w:hAnsi="黑体" w:eastAsia="黑体" w:cs="黑体"/>
          <w:sz w:val="28"/>
          <w:szCs w:val="28"/>
          <w:lang w:val="en-US" w:eastAsia="zh-CN"/>
        </w:rPr>
        <w:t>附件1</w:t>
      </w:r>
    </w:p>
    <w:p w14:paraId="4B23AF66">
      <w:pPr>
        <w:spacing w:before="225" w:line="222" w:lineRule="auto"/>
        <w:ind w:left="2730"/>
        <w:outlineLvl w:val="0"/>
        <w:rPr>
          <w:rFonts w:ascii="仿宋" w:hAnsi="仿宋" w:eastAsia="仿宋" w:cs="仿宋"/>
          <w:b/>
          <w:bCs/>
          <w:sz w:val="36"/>
          <w:szCs w:val="36"/>
        </w:rPr>
      </w:pPr>
      <w:r>
        <w:rPr>
          <w:rFonts w:hint="eastAsia" w:ascii="仿宋" w:hAnsi="仿宋" w:eastAsia="仿宋" w:cs="仿宋"/>
          <w:b/>
          <w:bCs/>
          <w:sz w:val="36"/>
          <w:szCs w:val="36"/>
        </w:rPr>
        <w:t>维保履约情况评价表</w:t>
      </w:r>
    </w:p>
    <w:p w14:paraId="705AA8BC">
      <w:pPr>
        <w:spacing w:line="74" w:lineRule="exact"/>
      </w:pPr>
    </w:p>
    <w:tbl>
      <w:tblPr>
        <w:tblStyle w:val="6"/>
        <w:tblW w:w="8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872"/>
        <w:gridCol w:w="696"/>
        <w:gridCol w:w="2303"/>
        <w:gridCol w:w="1176"/>
        <w:gridCol w:w="2446"/>
        <w:gridCol w:w="678"/>
      </w:tblGrid>
      <w:tr w14:paraId="52D7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94" w:type="dxa"/>
            <w:gridSpan w:val="2"/>
            <w:vAlign w:val="top"/>
          </w:tcPr>
          <w:p w14:paraId="74ABCBC8">
            <w:pPr>
              <w:pStyle w:val="5"/>
              <w:spacing w:before="223" w:line="220" w:lineRule="auto"/>
              <w:ind w:left="5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项目名称</w:t>
            </w:r>
          </w:p>
        </w:tc>
        <w:tc>
          <w:tcPr>
            <w:tcW w:w="2999" w:type="dxa"/>
            <w:gridSpan w:val="2"/>
            <w:vAlign w:val="top"/>
          </w:tcPr>
          <w:p w14:paraId="06946152">
            <w:pPr>
              <w:pStyle w:val="5"/>
              <w:spacing w:before="52" w:line="273" w:lineRule="auto"/>
              <w:ind w:left="541" w:right="272" w:hanging="290"/>
              <w:rPr>
                <w:rFonts w:hint="eastAsia" w:asciiTheme="majorEastAsia" w:hAnsiTheme="majorEastAsia" w:eastAsiaTheme="majorEastAsia" w:cstheme="majorEastAsia"/>
                <w:sz w:val="18"/>
                <w:szCs w:val="18"/>
              </w:rPr>
            </w:pPr>
          </w:p>
        </w:tc>
        <w:tc>
          <w:tcPr>
            <w:tcW w:w="1176" w:type="dxa"/>
            <w:vAlign w:val="top"/>
          </w:tcPr>
          <w:p w14:paraId="6A1F46F3">
            <w:pPr>
              <w:pStyle w:val="5"/>
              <w:spacing w:before="223" w:line="219" w:lineRule="auto"/>
              <w:ind w:left="305"/>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服务商</w:t>
            </w:r>
          </w:p>
        </w:tc>
        <w:tc>
          <w:tcPr>
            <w:tcW w:w="3124" w:type="dxa"/>
            <w:gridSpan w:val="2"/>
            <w:vAlign w:val="top"/>
          </w:tcPr>
          <w:p w14:paraId="6C1D57CA">
            <w:pPr>
              <w:pStyle w:val="5"/>
              <w:spacing w:before="223" w:line="219" w:lineRule="auto"/>
              <w:ind w:left="165"/>
              <w:rPr>
                <w:rFonts w:hint="eastAsia" w:asciiTheme="majorEastAsia" w:hAnsiTheme="majorEastAsia" w:eastAsiaTheme="majorEastAsia" w:cstheme="majorEastAsia"/>
                <w:sz w:val="18"/>
                <w:szCs w:val="18"/>
              </w:rPr>
            </w:pPr>
          </w:p>
        </w:tc>
      </w:tr>
      <w:tr w14:paraId="26559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94" w:type="dxa"/>
            <w:gridSpan w:val="2"/>
            <w:vAlign w:val="top"/>
          </w:tcPr>
          <w:p w14:paraId="654E89C6">
            <w:pPr>
              <w:pStyle w:val="5"/>
              <w:spacing w:before="77" w:line="218" w:lineRule="auto"/>
              <w:ind w:left="5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评价形式</w:t>
            </w:r>
          </w:p>
        </w:tc>
        <w:tc>
          <w:tcPr>
            <w:tcW w:w="7299" w:type="dxa"/>
            <w:gridSpan w:val="5"/>
            <w:vAlign w:val="top"/>
          </w:tcPr>
          <w:p w14:paraId="0450FE9F">
            <w:pPr>
              <w:pStyle w:val="5"/>
              <w:spacing w:before="76" w:line="228" w:lineRule="auto"/>
              <w:ind w:left="213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rPr>
              <w:t>定期履约评价</w:t>
            </w:r>
            <w:r>
              <w:rPr>
                <w:rFonts w:hint="eastAsia" w:asciiTheme="majorEastAsia" w:hAnsiTheme="majorEastAsia" w:eastAsiaTheme="majorEastAsia" w:cstheme="majorEastAsia"/>
                <w:spacing w:val="92"/>
                <w:sz w:val="18"/>
                <w:szCs w:val="18"/>
              </w:rPr>
              <w:t xml:space="preserve"> </w:t>
            </w:r>
            <w:r>
              <w:rPr>
                <w:rFonts w:hint="eastAsia" w:asciiTheme="majorEastAsia" w:hAnsiTheme="majorEastAsia" w:eastAsiaTheme="majorEastAsia" w:cstheme="majorEastAsia"/>
                <w:sz w:val="18"/>
                <w:szCs w:val="18"/>
              </w:rPr>
              <w:t>口最终履约评价</w:t>
            </w:r>
          </w:p>
        </w:tc>
      </w:tr>
      <w:tr w14:paraId="4C75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94" w:type="dxa"/>
            <w:gridSpan w:val="2"/>
            <w:vAlign w:val="top"/>
          </w:tcPr>
          <w:p w14:paraId="48371D34">
            <w:pPr>
              <w:pStyle w:val="5"/>
              <w:spacing w:before="81" w:line="221" w:lineRule="auto"/>
              <w:ind w:left="59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履约时间</w:t>
            </w:r>
          </w:p>
        </w:tc>
        <w:tc>
          <w:tcPr>
            <w:tcW w:w="2999" w:type="dxa"/>
            <w:gridSpan w:val="2"/>
            <w:vAlign w:val="top"/>
          </w:tcPr>
          <w:p w14:paraId="5688DA7B">
            <w:pPr>
              <w:pStyle w:val="5"/>
              <w:spacing w:before="78" w:line="219" w:lineRule="auto"/>
              <w:ind w:left="202"/>
              <w:rPr>
                <w:rFonts w:hint="eastAsia" w:asciiTheme="majorEastAsia" w:hAnsiTheme="majorEastAsia" w:eastAsiaTheme="majorEastAsia" w:cstheme="majorEastAsia"/>
                <w:sz w:val="18"/>
                <w:szCs w:val="18"/>
              </w:rPr>
            </w:pPr>
          </w:p>
        </w:tc>
        <w:tc>
          <w:tcPr>
            <w:tcW w:w="1176" w:type="dxa"/>
            <w:vAlign w:val="top"/>
          </w:tcPr>
          <w:p w14:paraId="7CEC8E7A">
            <w:pPr>
              <w:pStyle w:val="5"/>
              <w:spacing w:before="78" w:line="219" w:lineRule="auto"/>
              <w:ind w:left="21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合同金额</w:t>
            </w:r>
          </w:p>
        </w:tc>
        <w:tc>
          <w:tcPr>
            <w:tcW w:w="3124" w:type="dxa"/>
            <w:gridSpan w:val="2"/>
            <w:vAlign w:val="top"/>
          </w:tcPr>
          <w:p w14:paraId="00E977DC">
            <w:pPr>
              <w:pStyle w:val="5"/>
              <w:spacing w:before="77" w:line="219" w:lineRule="auto"/>
              <w:ind w:left="726"/>
              <w:rPr>
                <w:rFonts w:hint="eastAsia" w:asciiTheme="majorEastAsia" w:hAnsiTheme="majorEastAsia" w:eastAsiaTheme="majorEastAsia" w:cstheme="majorEastAsia"/>
                <w:sz w:val="18"/>
                <w:szCs w:val="18"/>
              </w:rPr>
            </w:pPr>
          </w:p>
        </w:tc>
      </w:tr>
      <w:tr w14:paraId="38C9F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494" w:type="dxa"/>
            <w:gridSpan w:val="2"/>
            <w:vAlign w:val="top"/>
          </w:tcPr>
          <w:p w14:paraId="515974C5">
            <w:pPr>
              <w:pStyle w:val="5"/>
              <w:spacing w:before="218" w:line="219" w:lineRule="auto"/>
              <w:ind w:left="68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总得分</w:t>
            </w:r>
          </w:p>
        </w:tc>
        <w:tc>
          <w:tcPr>
            <w:tcW w:w="2999" w:type="dxa"/>
            <w:gridSpan w:val="2"/>
            <w:vAlign w:val="top"/>
          </w:tcPr>
          <w:p w14:paraId="043B981A">
            <w:pPr>
              <w:spacing w:before="180" w:line="431" w:lineRule="exact"/>
              <w:ind w:firstLine="831"/>
              <w:rPr>
                <w:rFonts w:hint="eastAsia" w:asciiTheme="majorEastAsia" w:hAnsiTheme="majorEastAsia" w:eastAsiaTheme="majorEastAsia" w:cstheme="majorEastAsia"/>
                <w:sz w:val="18"/>
                <w:szCs w:val="18"/>
              </w:rPr>
            </w:pPr>
          </w:p>
        </w:tc>
        <w:tc>
          <w:tcPr>
            <w:tcW w:w="1176" w:type="dxa"/>
            <w:vAlign w:val="top"/>
          </w:tcPr>
          <w:p w14:paraId="21D4F184">
            <w:pPr>
              <w:pStyle w:val="5"/>
              <w:spacing w:before="217" w:line="218" w:lineRule="auto"/>
              <w:ind w:left="21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评价等级</w:t>
            </w:r>
          </w:p>
        </w:tc>
        <w:tc>
          <w:tcPr>
            <w:tcW w:w="3124" w:type="dxa"/>
            <w:gridSpan w:val="2"/>
            <w:vAlign w:val="top"/>
          </w:tcPr>
          <w:p w14:paraId="0C386D7F">
            <w:pPr>
              <w:pStyle w:val="5"/>
              <w:tabs>
                <w:tab w:val="left" w:pos="1680"/>
                <w:tab w:val="left" w:pos="2100"/>
              </w:tabs>
              <w:spacing w:before="39" w:line="282" w:lineRule="auto"/>
              <w:ind w:left="165" w:right="855" w:rightChars="0"/>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w:t>
            </w:r>
            <w:r>
              <w:rPr>
                <w:rFonts w:hint="eastAsia" w:asciiTheme="majorEastAsia" w:hAnsiTheme="majorEastAsia" w:eastAsiaTheme="majorEastAsia" w:cstheme="majorEastAsia"/>
                <w:sz w:val="18"/>
                <w:szCs w:val="18"/>
              </w:rPr>
              <w:t>优秀</w:t>
            </w:r>
            <w:r>
              <w:rPr>
                <w:rFonts w:hint="eastAsia" w:asciiTheme="majorEastAsia" w:hAnsiTheme="majorEastAsia" w:eastAsiaTheme="majorEastAsia" w:cstheme="majorEastAsia"/>
                <w:sz w:val="18"/>
                <w:szCs w:val="18"/>
                <w:lang w:val="en-US" w:eastAsia="zh-CN"/>
              </w:rPr>
              <w:t xml:space="preserve"> </w:t>
            </w:r>
            <w:r>
              <w:rPr>
                <w:rFonts w:hint="eastAsia" w:asciiTheme="majorEastAsia" w:hAnsiTheme="majorEastAsia" w:eastAsiaTheme="majorEastAsia" w:cstheme="majorEastAsia"/>
                <w:sz w:val="18"/>
                <w:szCs w:val="18"/>
              </w:rPr>
              <w:t>□合格</w:t>
            </w:r>
            <w:r>
              <w:rPr>
                <w:rFonts w:hint="eastAsia" w:asciiTheme="majorEastAsia" w:hAnsiTheme="majorEastAsia" w:eastAsiaTheme="majorEastAsia" w:cstheme="majorEastAsia"/>
                <w:spacing w:val="4"/>
                <w:sz w:val="18"/>
                <w:szCs w:val="18"/>
              </w:rPr>
              <w:t xml:space="preserve"> </w:t>
            </w:r>
            <w:r>
              <w:rPr>
                <w:rFonts w:hint="eastAsia" w:asciiTheme="majorEastAsia" w:hAnsiTheme="majorEastAsia" w:eastAsiaTheme="majorEastAsia" w:cstheme="majorEastAsia"/>
                <w:spacing w:val="2"/>
                <w:sz w:val="18"/>
                <w:szCs w:val="18"/>
              </w:rPr>
              <w:t>口不</w:t>
            </w:r>
            <w:r>
              <w:rPr>
                <w:rFonts w:hint="eastAsia" w:asciiTheme="majorEastAsia" w:hAnsiTheme="majorEastAsia" w:eastAsiaTheme="majorEastAsia" w:cstheme="majorEastAsia"/>
                <w:spacing w:val="2"/>
                <w:sz w:val="18"/>
                <w:szCs w:val="18"/>
                <w:lang w:val="en-US" w:eastAsia="zh-CN"/>
              </w:rPr>
              <w:t>合格</w:t>
            </w:r>
          </w:p>
        </w:tc>
      </w:tr>
      <w:tr w14:paraId="7119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22" w:type="dxa"/>
            <w:vAlign w:val="top"/>
          </w:tcPr>
          <w:p w14:paraId="732C578E">
            <w:pPr>
              <w:pStyle w:val="5"/>
              <w:spacing w:before="219" w:line="221" w:lineRule="auto"/>
              <w:ind w:left="15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序号</w:t>
            </w:r>
          </w:p>
        </w:tc>
        <w:tc>
          <w:tcPr>
            <w:tcW w:w="872" w:type="dxa"/>
            <w:vAlign w:val="top"/>
          </w:tcPr>
          <w:p w14:paraId="58CB3BF2">
            <w:pPr>
              <w:pStyle w:val="5"/>
              <w:spacing w:before="218" w:line="219" w:lineRule="auto"/>
              <w:ind w:left="111"/>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10"/>
                <w:sz w:val="18"/>
                <w:szCs w:val="18"/>
              </w:rPr>
              <w:t>分项内容</w:t>
            </w:r>
          </w:p>
        </w:tc>
        <w:tc>
          <w:tcPr>
            <w:tcW w:w="696" w:type="dxa"/>
            <w:vAlign w:val="top"/>
          </w:tcPr>
          <w:p w14:paraId="6DA2986A">
            <w:pPr>
              <w:pStyle w:val="5"/>
              <w:spacing w:before="69" w:line="267" w:lineRule="auto"/>
              <w:ind w:left="141" w:right="164"/>
              <w:rPr>
                <w:rFonts w:hint="eastAsia" w:asciiTheme="majorEastAsia" w:hAnsiTheme="majorEastAsia" w:eastAsiaTheme="majorEastAsia" w:cstheme="majorEastAsia"/>
                <w:spacing w:val="-4"/>
                <w:sz w:val="18"/>
                <w:szCs w:val="18"/>
              </w:rPr>
            </w:pPr>
            <w:r>
              <w:rPr>
                <w:rFonts w:hint="eastAsia" w:asciiTheme="majorEastAsia" w:hAnsiTheme="majorEastAsia" w:eastAsiaTheme="majorEastAsia" w:cstheme="majorEastAsia"/>
                <w:spacing w:val="-4"/>
                <w:sz w:val="18"/>
                <w:szCs w:val="18"/>
              </w:rPr>
              <w:t>满分</w:t>
            </w:r>
          </w:p>
          <w:p w14:paraId="70990768">
            <w:pPr>
              <w:pStyle w:val="5"/>
              <w:spacing w:before="69" w:line="267" w:lineRule="auto"/>
              <w:ind w:left="141" w:right="16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5"/>
                <w:sz w:val="18"/>
                <w:szCs w:val="18"/>
              </w:rPr>
              <w:t>分值</w:t>
            </w:r>
          </w:p>
        </w:tc>
        <w:tc>
          <w:tcPr>
            <w:tcW w:w="5925" w:type="dxa"/>
            <w:gridSpan w:val="3"/>
            <w:vAlign w:val="top"/>
          </w:tcPr>
          <w:p w14:paraId="4E651593">
            <w:pPr>
              <w:pStyle w:val="5"/>
              <w:spacing w:before="217" w:line="218" w:lineRule="auto"/>
              <w:ind w:left="205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评</w:t>
            </w:r>
            <w:r>
              <w:rPr>
                <w:rFonts w:hint="eastAsia" w:asciiTheme="majorEastAsia" w:hAnsiTheme="majorEastAsia" w:eastAsiaTheme="majorEastAsia" w:cstheme="majorEastAsia"/>
                <w:spacing w:val="4"/>
                <w:sz w:val="18"/>
                <w:szCs w:val="18"/>
              </w:rPr>
              <w:t xml:space="preserve">  </w:t>
            </w:r>
            <w:r>
              <w:rPr>
                <w:rFonts w:hint="eastAsia" w:asciiTheme="majorEastAsia" w:hAnsiTheme="majorEastAsia" w:eastAsiaTheme="majorEastAsia" w:cstheme="majorEastAsia"/>
                <w:spacing w:val="-6"/>
                <w:sz w:val="18"/>
                <w:szCs w:val="18"/>
              </w:rPr>
              <w:t>价</w:t>
            </w:r>
            <w:r>
              <w:rPr>
                <w:rFonts w:hint="eastAsia" w:asciiTheme="majorEastAsia" w:hAnsiTheme="majorEastAsia" w:eastAsiaTheme="majorEastAsia" w:cstheme="majorEastAsia"/>
                <w:spacing w:val="4"/>
                <w:sz w:val="18"/>
                <w:szCs w:val="18"/>
              </w:rPr>
              <w:t xml:space="preserve">  </w:t>
            </w:r>
            <w:r>
              <w:rPr>
                <w:rFonts w:hint="eastAsia" w:asciiTheme="majorEastAsia" w:hAnsiTheme="majorEastAsia" w:eastAsiaTheme="majorEastAsia" w:cstheme="majorEastAsia"/>
                <w:spacing w:val="-6"/>
                <w:sz w:val="18"/>
                <w:szCs w:val="18"/>
              </w:rPr>
              <w:t>标</w:t>
            </w:r>
            <w:r>
              <w:rPr>
                <w:rFonts w:hint="eastAsia" w:asciiTheme="majorEastAsia" w:hAnsiTheme="majorEastAsia" w:eastAsiaTheme="majorEastAsia" w:cstheme="majorEastAsia"/>
                <w:spacing w:val="4"/>
                <w:sz w:val="18"/>
                <w:szCs w:val="18"/>
              </w:rPr>
              <w:t xml:space="preserve">  </w:t>
            </w:r>
            <w:r>
              <w:rPr>
                <w:rFonts w:hint="eastAsia" w:asciiTheme="majorEastAsia" w:hAnsiTheme="majorEastAsia" w:eastAsiaTheme="majorEastAsia" w:cstheme="majorEastAsia"/>
                <w:spacing w:val="-6"/>
                <w:sz w:val="18"/>
                <w:szCs w:val="18"/>
              </w:rPr>
              <w:t>准</w:t>
            </w:r>
          </w:p>
        </w:tc>
        <w:tc>
          <w:tcPr>
            <w:tcW w:w="678" w:type="dxa"/>
            <w:vAlign w:val="top"/>
          </w:tcPr>
          <w:p w14:paraId="767979DF">
            <w:pPr>
              <w:pStyle w:val="5"/>
              <w:spacing w:before="218" w:line="219" w:lineRule="auto"/>
              <w:ind w:left="168"/>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得分</w:t>
            </w:r>
          </w:p>
        </w:tc>
      </w:tr>
      <w:tr w14:paraId="63C8C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22" w:type="dxa"/>
            <w:vAlign w:val="top"/>
          </w:tcPr>
          <w:p w14:paraId="7D4171ED">
            <w:pPr>
              <w:pStyle w:val="5"/>
              <w:spacing w:before="210" w:line="147" w:lineRule="exact"/>
              <w:ind w:left="24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position w:val="-4"/>
                <w:sz w:val="18"/>
                <w:szCs w:val="18"/>
              </w:rPr>
              <w:t>一</w:t>
            </w:r>
          </w:p>
        </w:tc>
        <w:tc>
          <w:tcPr>
            <w:tcW w:w="872" w:type="dxa"/>
            <w:vAlign w:val="top"/>
          </w:tcPr>
          <w:p w14:paraId="585FD0DD">
            <w:pPr>
              <w:pStyle w:val="5"/>
              <w:spacing w:before="118" w:line="221" w:lineRule="auto"/>
              <w:ind w:left="11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bCs/>
                <w:spacing w:val="-4"/>
                <w:sz w:val="18"/>
                <w:szCs w:val="18"/>
              </w:rPr>
              <w:t>人员配备</w:t>
            </w:r>
          </w:p>
        </w:tc>
        <w:tc>
          <w:tcPr>
            <w:tcW w:w="696" w:type="dxa"/>
            <w:vAlign w:val="top"/>
          </w:tcPr>
          <w:p w14:paraId="20DF4C97">
            <w:pPr>
              <w:pStyle w:val="5"/>
              <w:spacing w:before="168" w:line="183" w:lineRule="auto"/>
              <w:ind w:left="24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30</w:t>
            </w:r>
          </w:p>
        </w:tc>
        <w:tc>
          <w:tcPr>
            <w:tcW w:w="5925" w:type="dxa"/>
            <w:gridSpan w:val="3"/>
            <w:vAlign w:val="top"/>
          </w:tcPr>
          <w:p w14:paraId="52E07F4A">
            <w:pPr>
              <w:rPr>
                <w:rFonts w:hint="eastAsia" w:asciiTheme="majorEastAsia" w:hAnsiTheme="majorEastAsia" w:eastAsiaTheme="majorEastAsia" w:cstheme="majorEastAsia"/>
                <w:sz w:val="18"/>
                <w:szCs w:val="18"/>
              </w:rPr>
            </w:pPr>
          </w:p>
        </w:tc>
        <w:tc>
          <w:tcPr>
            <w:tcW w:w="678" w:type="dxa"/>
            <w:vAlign w:val="top"/>
          </w:tcPr>
          <w:p w14:paraId="7E1F2956">
            <w:pPr>
              <w:spacing w:before="68" w:line="285" w:lineRule="exact"/>
              <w:ind w:firstLine="107"/>
              <w:rPr>
                <w:rFonts w:hint="eastAsia" w:asciiTheme="majorEastAsia" w:hAnsiTheme="majorEastAsia" w:eastAsiaTheme="majorEastAsia" w:cstheme="majorEastAsia"/>
                <w:sz w:val="18"/>
                <w:szCs w:val="18"/>
              </w:rPr>
            </w:pPr>
          </w:p>
        </w:tc>
      </w:tr>
      <w:tr w14:paraId="3F9A9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8" w:hRule="atLeast"/>
        </w:trPr>
        <w:tc>
          <w:tcPr>
            <w:tcW w:w="622" w:type="dxa"/>
            <w:vAlign w:val="center"/>
          </w:tcPr>
          <w:p w14:paraId="33246BBD">
            <w:pPr>
              <w:pStyle w:val="5"/>
              <w:spacing w:before="62" w:line="183" w:lineRule="auto"/>
              <w:ind w:left="295"/>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w:t>
            </w:r>
          </w:p>
        </w:tc>
        <w:tc>
          <w:tcPr>
            <w:tcW w:w="872" w:type="dxa"/>
            <w:vAlign w:val="center"/>
          </w:tcPr>
          <w:p w14:paraId="2FEF9134">
            <w:pPr>
              <w:pStyle w:val="5"/>
              <w:spacing w:before="62" w:line="299" w:lineRule="auto"/>
              <w:ind w:left="111" w:right="196"/>
              <w:jc w:val="center"/>
              <w:rPr>
                <w:rFonts w:hint="eastAsia" w:asciiTheme="majorEastAsia" w:hAnsiTheme="majorEastAsia" w:eastAsiaTheme="majorEastAsia" w:cstheme="majorEastAsia"/>
                <w:spacing w:val="-2"/>
                <w:sz w:val="18"/>
                <w:szCs w:val="18"/>
              </w:rPr>
            </w:pPr>
            <w:r>
              <w:rPr>
                <w:rFonts w:hint="eastAsia" w:asciiTheme="majorEastAsia" w:hAnsiTheme="majorEastAsia" w:eastAsiaTheme="majorEastAsia" w:cstheme="majorEastAsia"/>
                <w:spacing w:val="-2"/>
                <w:sz w:val="18"/>
                <w:szCs w:val="18"/>
              </w:rPr>
              <w:t>专业</w:t>
            </w:r>
          </w:p>
          <w:p w14:paraId="2E28D21F">
            <w:pPr>
              <w:pStyle w:val="5"/>
              <w:spacing w:before="62" w:line="299" w:lineRule="auto"/>
              <w:ind w:left="111" w:right="196"/>
              <w:jc w:val="center"/>
              <w:rPr>
                <w:rFonts w:hint="eastAsia" w:asciiTheme="majorEastAsia" w:hAnsiTheme="majorEastAsia" w:eastAsiaTheme="majorEastAsia" w:cstheme="majorEastAsia"/>
                <w:spacing w:val="-2"/>
                <w:sz w:val="18"/>
                <w:szCs w:val="18"/>
              </w:rPr>
            </w:pPr>
            <w:r>
              <w:rPr>
                <w:rFonts w:hint="eastAsia" w:asciiTheme="majorEastAsia" w:hAnsiTheme="majorEastAsia" w:eastAsiaTheme="majorEastAsia" w:cstheme="majorEastAsia"/>
                <w:spacing w:val="-2"/>
                <w:sz w:val="18"/>
                <w:szCs w:val="18"/>
              </w:rPr>
              <w:t>配置</w:t>
            </w:r>
          </w:p>
          <w:p w14:paraId="3D616CF9">
            <w:pPr>
              <w:pStyle w:val="5"/>
              <w:spacing w:before="62" w:line="299" w:lineRule="auto"/>
              <w:ind w:left="111" w:right="196"/>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要</w:t>
            </w:r>
            <w:r>
              <w:rPr>
                <w:rFonts w:hint="eastAsia" w:asciiTheme="majorEastAsia" w:hAnsiTheme="majorEastAsia" w:eastAsiaTheme="majorEastAsia" w:cstheme="majorEastAsia"/>
                <w:sz w:val="18"/>
                <w:szCs w:val="18"/>
              </w:rPr>
              <w:t>求</w:t>
            </w:r>
          </w:p>
        </w:tc>
        <w:tc>
          <w:tcPr>
            <w:tcW w:w="696" w:type="dxa"/>
            <w:vAlign w:val="center"/>
          </w:tcPr>
          <w:p w14:paraId="666CB0A5">
            <w:pPr>
              <w:pStyle w:val="5"/>
              <w:spacing w:before="62" w:line="184" w:lineRule="auto"/>
              <w:ind w:left="242"/>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15</w:t>
            </w:r>
          </w:p>
        </w:tc>
        <w:tc>
          <w:tcPr>
            <w:tcW w:w="5925" w:type="dxa"/>
            <w:gridSpan w:val="3"/>
            <w:vAlign w:val="center"/>
          </w:tcPr>
          <w:p w14:paraId="3071D875">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rPr>
            </w:pPr>
            <w:r>
              <w:rPr>
                <w:rFonts w:hint="eastAsia" w:asciiTheme="majorEastAsia" w:hAnsiTheme="majorEastAsia" w:eastAsiaTheme="majorEastAsia" w:cstheme="majorEastAsia"/>
                <w:spacing w:val="4"/>
                <w:sz w:val="18"/>
                <w:szCs w:val="18"/>
              </w:rPr>
              <w:t>优秀</w:t>
            </w:r>
            <w:r>
              <w:rPr>
                <w:rFonts w:hint="eastAsia" w:asciiTheme="majorEastAsia" w:hAnsiTheme="majorEastAsia" w:eastAsiaTheme="majorEastAsia" w:cstheme="majorEastAsia"/>
                <w:spacing w:val="4"/>
                <w:sz w:val="18"/>
                <w:szCs w:val="18"/>
                <w:lang w:val="en-US" w:eastAsia="zh-CN"/>
              </w:rPr>
              <w:t>15</w:t>
            </w:r>
            <w:r>
              <w:rPr>
                <w:rFonts w:hint="eastAsia" w:asciiTheme="majorEastAsia" w:hAnsiTheme="majorEastAsia" w:eastAsiaTheme="majorEastAsia" w:cstheme="majorEastAsia"/>
                <w:spacing w:val="4"/>
                <w:sz w:val="18"/>
                <w:szCs w:val="18"/>
              </w:rPr>
              <w:t>分：人员的专业</w:t>
            </w:r>
            <w:r>
              <w:rPr>
                <w:rFonts w:hint="eastAsia" w:asciiTheme="majorEastAsia" w:hAnsiTheme="majorEastAsia" w:eastAsiaTheme="majorEastAsia" w:cstheme="majorEastAsia"/>
                <w:spacing w:val="4"/>
                <w:sz w:val="18"/>
                <w:szCs w:val="18"/>
                <w:lang w:val="en-US" w:eastAsia="zh-CN"/>
              </w:rPr>
              <w:t>能力与数量</w:t>
            </w:r>
            <w:r>
              <w:rPr>
                <w:rFonts w:hint="eastAsia" w:asciiTheme="majorEastAsia" w:hAnsiTheme="majorEastAsia" w:eastAsiaTheme="majorEastAsia" w:cstheme="majorEastAsia"/>
                <w:spacing w:val="4"/>
                <w:sz w:val="18"/>
                <w:szCs w:val="18"/>
              </w:rPr>
              <w:t>满足合同要求且各专业人员</w:t>
            </w:r>
            <w:r>
              <w:rPr>
                <w:rFonts w:hint="eastAsia" w:asciiTheme="majorEastAsia" w:hAnsiTheme="majorEastAsia" w:eastAsiaTheme="majorEastAsia" w:cstheme="majorEastAsia"/>
                <w:spacing w:val="4"/>
                <w:sz w:val="18"/>
                <w:szCs w:val="18"/>
                <w:lang w:val="en-US" w:eastAsia="zh-CN"/>
              </w:rPr>
              <w:t>服务周期内未变动稳</w:t>
            </w:r>
            <w:r>
              <w:rPr>
                <w:rFonts w:hint="eastAsia" w:asciiTheme="majorEastAsia" w:hAnsiTheme="majorEastAsia" w:eastAsiaTheme="majorEastAsia" w:cstheme="majorEastAsia"/>
                <w:spacing w:val="4"/>
                <w:sz w:val="18"/>
                <w:szCs w:val="18"/>
              </w:rPr>
              <w:t>定；</w:t>
            </w:r>
          </w:p>
          <w:p w14:paraId="78B0D047">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rPr>
            </w:pPr>
            <w:r>
              <w:rPr>
                <w:rFonts w:hint="eastAsia" w:asciiTheme="majorEastAsia" w:hAnsiTheme="majorEastAsia" w:eastAsiaTheme="majorEastAsia" w:cstheme="majorEastAsia"/>
                <w:spacing w:val="4"/>
                <w:sz w:val="18"/>
                <w:szCs w:val="18"/>
              </w:rPr>
              <w:t>合格</w:t>
            </w:r>
            <w:r>
              <w:rPr>
                <w:rFonts w:hint="eastAsia" w:asciiTheme="majorEastAsia" w:hAnsiTheme="majorEastAsia" w:eastAsiaTheme="majorEastAsia" w:cstheme="majorEastAsia"/>
                <w:spacing w:val="4"/>
                <w:sz w:val="18"/>
                <w:szCs w:val="18"/>
                <w:lang w:val="en-US" w:eastAsia="zh-CN"/>
              </w:rPr>
              <w:t>8</w:t>
            </w:r>
            <w:r>
              <w:rPr>
                <w:rFonts w:hint="eastAsia" w:asciiTheme="majorEastAsia" w:hAnsiTheme="majorEastAsia" w:eastAsiaTheme="majorEastAsia" w:cstheme="majorEastAsia"/>
                <w:spacing w:val="4"/>
                <w:sz w:val="18"/>
                <w:szCs w:val="18"/>
              </w:rPr>
              <w:t>分：人员的专业</w:t>
            </w:r>
            <w:r>
              <w:rPr>
                <w:rFonts w:hint="eastAsia" w:asciiTheme="majorEastAsia" w:hAnsiTheme="majorEastAsia" w:eastAsiaTheme="majorEastAsia" w:cstheme="majorEastAsia"/>
                <w:spacing w:val="4"/>
                <w:sz w:val="18"/>
                <w:szCs w:val="18"/>
                <w:lang w:val="en-US" w:eastAsia="zh-CN"/>
              </w:rPr>
              <w:t>能力与数量基本</w:t>
            </w:r>
            <w:r>
              <w:rPr>
                <w:rFonts w:hint="eastAsia" w:asciiTheme="majorEastAsia" w:hAnsiTheme="majorEastAsia" w:eastAsiaTheme="majorEastAsia" w:cstheme="majorEastAsia"/>
                <w:spacing w:val="4"/>
                <w:sz w:val="18"/>
                <w:szCs w:val="18"/>
              </w:rPr>
              <w:t>满足合同要求且各专业人员基本稳定；</w:t>
            </w:r>
          </w:p>
          <w:p w14:paraId="56C6C13F">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rPr>
            </w:pPr>
            <w:r>
              <w:rPr>
                <w:rFonts w:hint="eastAsia" w:asciiTheme="majorEastAsia" w:hAnsiTheme="majorEastAsia" w:eastAsiaTheme="majorEastAsia" w:cstheme="majorEastAsia"/>
                <w:spacing w:val="4"/>
                <w:sz w:val="18"/>
                <w:szCs w:val="18"/>
              </w:rPr>
              <w:t>不合格</w:t>
            </w:r>
            <w:r>
              <w:rPr>
                <w:rFonts w:hint="eastAsia" w:asciiTheme="majorEastAsia" w:hAnsiTheme="majorEastAsia" w:eastAsiaTheme="majorEastAsia" w:cstheme="majorEastAsia"/>
                <w:spacing w:val="4"/>
                <w:sz w:val="18"/>
                <w:szCs w:val="18"/>
                <w:lang w:val="en-US" w:eastAsia="zh-CN"/>
              </w:rPr>
              <w:t>0</w:t>
            </w:r>
            <w:r>
              <w:rPr>
                <w:rFonts w:hint="eastAsia" w:asciiTheme="majorEastAsia" w:hAnsiTheme="majorEastAsia" w:eastAsiaTheme="majorEastAsia" w:cstheme="majorEastAsia"/>
                <w:spacing w:val="4"/>
                <w:sz w:val="18"/>
                <w:szCs w:val="18"/>
              </w:rPr>
              <w:t>分：人员的专业不满足合同要求或各专业人员</w:t>
            </w:r>
            <w:r>
              <w:rPr>
                <w:rFonts w:hint="eastAsia" w:asciiTheme="majorEastAsia" w:hAnsiTheme="majorEastAsia" w:eastAsiaTheme="majorEastAsia" w:cstheme="majorEastAsia"/>
                <w:spacing w:val="4"/>
                <w:sz w:val="18"/>
                <w:szCs w:val="18"/>
                <w:lang w:val="en-US" w:eastAsia="zh-CN"/>
              </w:rPr>
              <w:t>发生变动时未及时通知甲方</w:t>
            </w:r>
            <w:r>
              <w:rPr>
                <w:rFonts w:hint="eastAsia" w:asciiTheme="majorEastAsia" w:hAnsiTheme="majorEastAsia" w:eastAsiaTheme="majorEastAsia" w:cstheme="majorEastAsia"/>
                <w:spacing w:val="4"/>
                <w:sz w:val="18"/>
                <w:szCs w:val="18"/>
              </w:rPr>
              <w:t>。</w:t>
            </w:r>
          </w:p>
        </w:tc>
        <w:tc>
          <w:tcPr>
            <w:tcW w:w="678" w:type="dxa"/>
            <w:vAlign w:val="top"/>
          </w:tcPr>
          <w:p w14:paraId="40223167">
            <w:pPr>
              <w:spacing w:line="248" w:lineRule="auto"/>
              <w:rPr>
                <w:rFonts w:hint="eastAsia" w:asciiTheme="majorEastAsia" w:hAnsiTheme="majorEastAsia" w:eastAsiaTheme="majorEastAsia" w:cstheme="majorEastAsia"/>
                <w:sz w:val="18"/>
                <w:szCs w:val="18"/>
              </w:rPr>
            </w:pPr>
          </w:p>
          <w:p w14:paraId="47466864">
            <w:pPr>
              <w:spacing w:line="248" w:lineRule="auto"/>
              <w:rPr>
                <w:rFonts w:hint="eastAsia" w:asciiTheme="majorEastAsia" w:hAnsiTheme="majorEastAsia" w:eastAsiaTheme="majorEastAsia" w:cstheme="majorEastAsia"/>
                <w:sz w:val="18"/>
                <w:szCs w:val="18"/>
              </w:rPr>
            </w:pPr>
          </w:p>
          <w:p w14:paraId="419F6BC6">
            <w:pPr>
              <w:spacing w:line="305" w:lineRule="exact"/>
              <w:ind w:firstLine="174"/>
              <w:rPr>
                <w:rFonts w:hint="eastAsia" w:asciiTheme="majorEastAsia" w:hAnsiTheme="majorEastAsia" w:eastAsiaTheme="majorEastAsia" w:cstheme="majorEastAsia"/>
                <w:sz w:val="18"/>
                <w:szCs w:val="18"/>
              </w:rPr>
            </w:pPr>
          </w:p>
        </w:tc>
      </w:tr>
      <w:tr w14:paraId="408B8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atLeast"/>
        </w:trPr>
        <w:tc>
          <w:tcPr>
            <w:tcW w:w="622" w:type="dxa"/>
            <w:vAlign w:val="center"/>
          </w:tcPr>
          <w:p w14:paraId="77D640CD">
            <w:pPr>
              <w:pStyle w:val="5"/>
              <w:spacing w:before="61" w:line="183" w:lineRule="auto"/>
              <w:ind w:left="295"/>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w:t>
            </w:r>
          </w:p>
        </w:tc>
        <w:tc>
          <w:tcPr>
            <w:tcW w:w="872" w:type="dxa"/>
            <w:vAlign w:val="center"/>
          </w:tcPr>
          <w:p w14:paraId="69563DCD">
            <w:pPr>
              <w:pStyle w:val="5"/>
              <w:spacing w:before="62" w:line="300" w:lineRule="auto"/>
              <w:ind w:left="111" w:right="198"/>
              <w:jc w:val="center"/>
              <w:rPr>
                <w:rFonts w:hint="eastAsia" w:asciiTheme="majorEastAsia" w:hAnsiTheme="majorEastAsia" w:eastAsiaTheme="majorEastAsia" w:cstheme="majorEastAsia"/>
                <w:spacing w:val="-3"/>
                <w:sz w:val="18"/>
                <w:szCs w:val="18"/>
              </w:rPr>
            </w:pPr>
            <w:r>
              <w:rPr>
                <w:rFonts w:hint="eastAsia" w:asciiTheme="majorEastAsia" w:hAnsiTheme="majorEastAsia" w:eastAsiaTheme="majorEastAsia" w:cstheme="majorEastAsia"/>
                <w:spacing w:val="-3"/>
                <w:sz w:val="18"/>
                <w:szCs w:val="18"/>
              </w:rPr>
              <w:t>项目</w:t>
            </w:r>
          </w:p>
          <w:p w14:paraId="7F462707">
            <w:pPr>
              <w:pStyle w:val="5"/>
              <w:spacing w:before="62" w:line="300" w:lineRule="auto"/>
              <w:ind w:left="111" w:right="198"/>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负责人要求</w:t>
            </w:r>
          </w:p>
        </w:tc>
        <w:tc>
          <w:tcPr>
            <w:tcW w:w="696" w:type="dxa"/>
            <w:vAlign w:val="center"/>
          </w:tcPr>
          <w:p w14:paraId="128536D9">
            <w:pPr>
              <w:pStyle w:val="5"/>
              <w:spacing w:before="61" w:line="184" w:lineRule="auto"/>
              <w:ind w:left="242"/>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15</w:t>
            </w:r>
          </w:p>
        </w:tc>
        <w:tc>
          <w:tcPr>
            <w:tcW w:w="5925" w:type="dxa"/>
            <w:gridSpan w:val="3"/>
            <w:vAlign w:val="center"/>
          </w:tcPr>
          <w:p w14:paraId="64043685">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rPr>
            </w:pPr>
            <w:r>
              <w:rPr>
                <w:rFonts w:hint="eastAsia" w:asciiTheme="majorEastAsia" w:hAnsiTheme="majorEastAsia" w:eastAsiaTheme="majorEastAsia" w:cstheme="majorEastAsia"/>
                <w:spacing w:val="4"/>
                <w:sz w:val="18"/>
                <w:szCs w:val="18"/>
              </w:rPr>
              <w:t>优秀</w:t>
            </w:r>
            <w:r>
              <w:rPr>
                <w:rFonts w:hint="eastAsia" w:asciiTheme="majorEastAsia" w:hAnsiTheme="majorEastAsia" w:eastAsiaTheme="majorEastAsia" w:cstheme="majorEastAsia"/>
                <w:spacing w:val="4"/>
                <w:sz w:val="18"/>
                <w:szCs w:val="18"/>
                <w:lang w:val="en-US" w:eastAsia="zh-CN"/>
              </w:rPr>
              <w:t>15</w:t>
            </w:r>
            <w:r>
              <w:rPr>
                <w:rFonts w:hint="eastAsia" w:asciiTheme="majorEastAsia" w:hAnsiTheme="majorEastAsia" w:eastAsiaTheme="majorEastAsia" w:cstheme="majorEastAsia"/>
                <w:spacing w:val="4"/>
                <w:sz w:val="18"/>
                <w:szCs w:val="18"/>
              </w:rPr>
              <w:t>分：配备固定的项目负责人且该负责人具有高度责任心、专业的业务水平；</w:t>
            </w:r>
          </w:p>
          <w:p w14:paraId="3AA932F9">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rPr>
            </w:pPr>
            <w:r>
              <w:rPr>
                <w:rFonts w:hint="eastAsia" w:asciiTheme="majorEastAsia" w:hAnsiTheme="majorEastAsia" w:eastAsiaTheme="majorEastAsia" w:cstheme="majorEastAsia"/>
                <w:spacing w:val="4"/>
                <w:sz w:val="18"/>
                <w:szCs w:val="18"/>
              </w:rPr>
              <w:t>合格</w:t>
            </w:r>
            <w:r>
              <w:rPr>
                <w:rFonts w:hint="eastAsia" w:asciiTheme="majorEastAsia" w:hAnsiTheme="majorEastAsia" w:eastAsiaTheme="majorEastAsia" w:cstheme="majorEastAsia"/>
                <w:spacing w:val="4"/>
                <w:sz w:val="18"/>
                <w:szCs w:val="18"/>
                <w:lang w:val="en-US" w:eastAsia="zh-CN"/>
              </w:rPr>
              <w:t>8</w:t>
            </w:r>
            <w:r>
              <w:rPr>
                <w:rFonts w:hint="eastAsia" w:asciiTheme="majorEastAsia" w:hAnsiTheme="majorEastAsia" w:eastAsiaTheme="majorEastAsia" w:cstheme="majorEastAsia"/>
                <w:spacing w:val="4"/>
                <w:sz w:val="18"/>
                <w:szCs w:val="18"/>
              </w:rPr>
              <w:t>分：配备固定的项目负责人且该负责人具有高度责任心、基本专业的业务水平；</w:t>
            </w:r>
          </w:p>
          <w:p w14:paraId="3AC875D3">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rPr>
            </w:pPr>
            <w:r>
              <w:rPr>
                <w:rFonts w:hint="eastAsia" w:asciiTheme="majorEastAsia" w:hAnsiTheme="majorEastAsia" w:eastAsiaTheme="majorEastAsia" w:cstheme="majorEastAsia"/>
                <w:spacing w:val="4"/>
                <w:sz w:val="18"/>
                <w:szCs w:val="18"/>
              </w:rPr>
              <w:t>不合格0分：配备的项目负责人不固定或该负责人不具有高度责任心、专业的业务水平。</w:t>
            </w:r>
          </w:p>
        </w:tc>
        <w:tc>
          <w:tcPr>
            <w:tcW w:w="678" w:type="dxa"/>
            <w:vAlign w:val="top"/>
          </w:tcPr>
          <w:p w14:paraId="632C2DA1">
            <w:pPr>
              <w:spacing w:line="266" w:lineRule="auto"/>
              <w:rPr>
                <w:rFonts w:hint="eastAsia" w:asciiTheme="majorEastAsia" w:hAnsiTheme="majorEastAsia" w:eastAsiaTheme="majorEastAsia" w:cstheme="majorEastAsia"/>
                <w:sz w:val="18"/>
                <w:szCs w:val="18"/>
              </w:rPr>
            </w:pPr>
          </w:p>
          <w:p w14:paraId="7AF598E9">
            <w:pPr>
              <w:spacing w:line="266" w:lineRule="auto"/>
              <w:rPr>
                <w:rFonts w:hint="eastAsia" w:asciiTheme="majorEastAsia" w:hAnsiTheme="majorEastAsia" w:eastAsiaTheme="majorEastAsia" w:cstheme="majorEastAsia"/>
                <w:sz w:val="18"/>
                <w:szCs w:val="18"/>
              </w:rPr>
            </w:pPr>
          </w:p>
          <w:p w14:paraId="6525822E">
            <w:pPr>
              <w:spacing w:line="266" w:lineRule="auto"/>
              <w:rPr>
                <w:rFonts w:hint="eastAsia" w:asciiTheme="majorEastAsia" w:hAnsiTheme="majorEastAsia" w:eastAsiaTheme="majorEastAsia" w:cstheme="majorEastAsia"/>
                <w:sz w:val="18"/>
                <w:szCs w:val="18"/>
              </w:rPr>
            </w:pPr>
          </w:p>
          <w:p w14:paraId="497D0C08">
            <w:pPr>
              <w:spacing w:line="267" w:lineRule="auto"/>
              <w:rPr>
                <w:rFonts w:hint="eastAsia" w:asciiTheme="majorEastAsia" w:hAnsiTheme="majorEastAsia" w:eastAsiaTheme="majorEastAsia" w:cstheme="majorEastAsia"/>
                <w:sz w:val="18"/>
                <w:szCs w:val="18"/>
              </w:rPr>
            </w:pPr>
          </w:p>
          <w:p w14:paraId="006A4ECE">
            <w:pPr>
              <w:spacing w:line="267" w:lineRule="auto"/>
              <w:rPr>
                <w:rFonts w:hint="eastAsia" w:asciiTheme="majorEastAsia" w:hAnsiTheme="majorEastAsia" w:eastAsiaTheme="majorEastAsia" w:cstheme="majorEastAsia"/>
                <w:sz w:val="18"/>
                <w:szCs w:val="18"/>
              </w:rPr>
            </w:pPr>
          </w:p>
          <w:p w14:paraId="76B74943">
            <w:pPr>
              <w:spacing w:line="304" w:lineRule="exact"/>
              <w:ind w:firstLine="206"/>
              <w:rPr>
                <w:rFonts w:hint="eastAsia" w:asciiTheme="majorEastAsia" w:hAnsiTheme="majorEastAsia" w:eastAsiaTheme="majorEastAsia" w:cstheme="majorEastAsia"/>
                <w:sz w:val="18"/>
                <w:szCs w:val="18"/>
              </w:rPr>
            </w:pPr>
          </w:p>
        </w:tc>
      </w:tr>
      <w:tr w14:paraId="1962D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622" w:type="dxa"/>
            <w:vAlign w:val="top"/>
          </w:tcPr>
          <w:p w14:paraId="32772825">
            <w:pPr>
              <w:pStyle w:val="5"/>
              <w:spacing w:before="208" w:line="178" w:lineRule="auto"/>
              <w:ind w:left="244"/>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872" w:type="dxa"/>
            <w:vAlign w:val="top"/>
          </w:tcPr>
          <w:p w14:paraId="264EA132">
            <w:pPr>
              <w:pStyle w:val="5"/>
              <w:spacing w:before="151" w:line="220" w:lineRule="auto"/>
              <w:ind w:left="113"/>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b/>
                <w:bCs/>
                <w:spacing w:val="-4"/>
                <w:sz w:val="18"/>
                <w:szCs w:val="18"/>
              </w:rPr>
              <w:t>履约质量</w:t>
            </w:r>
          </w:p>
        </w:tc>
        <w:tc>
          <w:tcPr>
            <w:tcW w:w="696" w:type="dxa"/>
            <w:vAlign w:val="top"/>
          </w:tcPr>
          <w:p w14:paraId="29DB1140">
            <w:pPr>
              <w:pStyle w:val="5"/>
              <w:spacing w:before="202" w:line="183" w:lineRule="auto"/>
              <w:ind w:left="242"/>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3"/>
                <w:sz w:val="18"/>
                <w:szCs w:val="18"/>
              </w:rPr>
              <w:t>70</w:t>
            </w:r>
          </w:p>
        </w:tc>
        <w:tc>
          <w:tcPr>
            <w:tcW w:w="5925" w:type="dxa"/>
            <w:gridSpan w:val="3"/>
            <w:vAlign w:val="top"/>
          </w:tcPr>
          <w:p w14:paraId="19F36DF0">
            <w:pPr>
              <w:rPr>
                <w:rFonts w:hint="eastAsia" w:asciiTheme="majorEastAsia" w:hAnsiTheme="majorEastAsia" w:eastAsiaTheme="majorEastAsia" w:cstheme="majorEastAsia"/>
                <w:sz w:val="18"/>
                <w:szCs w:val="18"/>
              </w:rPr>
            </w:pPr>
          </w:p>
        </w:tc>
        <w:tc>
          <w:tcPr>
            <w:tcW w:w="678" w:type="dxa"/>
            <w:vAlign w:val="top"/>
          </w:tcPr>
          <w:p w14:paraId="6B9B9960">
            <w:pPr>
              <w:spacing w:before="151" w:line="328" w:lineRule="exact"/>
              <w:ind w:firstLine="166"/>
              <w:rPr>
                <w:rFonts w:hint="eastAsia" w:asciiTheme="majorEastAsia" w:hAnsiTheme="majorEastAsia" w:eastAsiaTheme="majorEastAsia" w:cstheme="majorEastAsia"/>
                <w:sz w:val="18"/>
                <w:szCs w:val="18"/>
              </w:rPr>
            </w:pPr>
          </w:p>
        </w:tc>
      </w:tr>
      <w:tr w14:paraId="5F52E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622" w:type="dxa"/>
            <w:vAlign w:val="center"/>
          </w:tcPr>
          <w:p w14:paraId="3BAF1CC9">
            <w:pPr>
              <w:pStyle w:val="5"/>
              <w:spacing w:before="61" w:line="183" w:lineRule="auto"/>
              <w:ind w:left="295"/>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w:t>
            </w:r>
          </w:p>
        </w:tc>
        <w:tc>
          <w:tcPr>
            <w:tcW w:w="872" w:type="dxa"/>
            <w:vAlign w:val="center"/>
          </w:tcPr>
          <w:p w14:paraId="79D5720C">
            <w:pPr>
              <w:pStyle w:val="5"/>
              <w:spacing w:before="61" w:line="183" w:lineRule="auto"/>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消火栓给水系统的维护保养</w:t>
            </w:r>
          </w:p>
        </w:tc>
        <w:tc>
          <w:tcPr>
            <w:tcW w:w="696" w:type="dxa"/>
            <w:vAlign w:val="center"/>
          </w:tcPr>
          <w:p w14:paraId="1BF6C03D">
            <w:pPr>
              <w:pStyle w:val="5"/>
              <w:spacing w:before="61" w:line="183" w:lineRule="auto"/>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10</w:t>
            </w:r>
          </w:p>
        </w:tc>
        <w:tc>
          <w:tcPr>
            <w:tcW w:w="5925" w:type="dxa"/>
            <w:gridSpan w:val="3"/>
            <w:vAlign w:val="center"/>
          </w:tcPr>
          <w:p w14:paraId="55B45F26">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优秀10分：全面、系统、准确、认真；</w:t>
            </w:r>
          </w:p>
          <w:p w14:paraId="1B6D63F3">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合格6分：基本全面、系统、准确、认真；</w:t>
            </w:r>
          </w:p>
          <w:p w14:paraId="66A5A422">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3"/>
                <w:sz w:val="18"/>
                <w:szCs w:val="18"/>
                <w:lang w:val="en-US" w:eastAsia="zh-CN"/>
              </w:rPr>
            </w:pPr>
            <w:r>
              <w:rPr>
                <w:rFonts w:hint="eastAsia" w:asciiTheme="majorEastAsia" w:hAnsiTheme="majorEastAsia" w:eastAsiaTheme="majorEastAsia" w:cstheme="majorEastAsia"/>
                <w:spacing w:val="4"/>
                <w:sz w:val="18"/>
                <w:szCs w:val="18"/>
                <w:lang w:val="en-US" w:eastAsia="zh-CN"/>
              </w:rPr>
              <w:t>不合格0分：明显不全面、不系统、不准确、不认真。</w:t>
            </w:r>
          </w:p>
        </w:tc>
        <w:tc>
          <w:tcPr>
            <w:tcW w:w="678" w:type="dxa"/>
            <w:vAlign w:val="top"/>
          </w:tcPr>
          <w:p w14:paraId="4EB9E4DB">
            <w:pPr>
              <w:spacing w:line="276" w:lineRule="auto"/>
              <w:rPr>
                <w:rFonts w:hint="eastAsia" w:asciiTheme="majorEastAsia" w:hAnsiTheme="majorEastAsia" w:eastAsiaTheme="majorEastAsia" w:cstheme="majorEastAsia"/>
                <w:sz w:val="18"/>
                <w:szCs w:val="18"/>
              </w:rPr>
            </w:pPr>
          </w:p>
          <w:p w14:paraId="2C7B8130">
            <w:pPr>
              <w:spacing w:line="277" w:lineRule="auto"/>
              <w:rPr>
                <w:rFonts w:hint="eastAsia" w:asciiTheme="majorEastAsia" w:hAnsiTheme="majorEastAsia" w:eastAsiaTheme="majorEastAsia" w:cstheme="majorEastAsia"/>
                <w:sz w:val="18"/>
                <w:szCs w:val="18"/>
              </w:rPr>
            </w:pPr>
          </w:p>
          <w:p w14:paraId="6F6921FC">
            <w:pPr>
              <w:spacing w:line="260" w:lineRule="exact"/>
              <w:ind w:firstLine="208"/>
              <w:rPr>
                <w:rFonts w:hint="eastAsia" w:asciiTheme="majorEastAsia" w:hAnsiTheme="majorEastAsia" w:eastAsiaTheme="majorEastAsia" w:cstheme="majorEastAsia"/>
                <w:sz w:val="18"/>
                <w:szCs w:val="18"/>
              </w:rPr>
            </w:pPr>
          </w:p>
        </w:tc>
      </w:tr>
      <w:tr w14:paraId="785AA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2" w:type="dxa"/>
            <w:vAlign w:val="center"/>
          </w:tcPr>
          <w:p w14:paraId="76E41BCD">
            <w:pPr>
              <w:pStyle w:val="5"/>
              <w:spacing w:before="61" w:line="183" w:lineRule="auto"/>
              <w:ind w:left="295"/>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4</w:t>
            </w:r>
          </w:p>
        </w:tc>
        <w:tc>
          <w:tcPr>
            <w:tcW w:w="872" w:type="dxa"/>
            <w:vAlign w:val="center"/>
          </w:tcPr>
          <w:p w14:paraId="1A9DA2B6">
            <w:pPr>
              <w:pStyle w:val="5"/>
              <w:spacing w:before="61" w:line="183" w:lineRule="auto"/>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自动喷淋系统的维护保养</w:t>
            </w:r>
          </w:p>
        </w:tc>
        <w:tc>
          <w:tcPr>
            <w:tcW w:w="696" w:type="dxa"/>
            <w:vAlign w:val="center"/>
          </w:tcPr>
          <w:p w14:paraId="15EB97A3">
            <w:pPr>
              <w:pStyle w:val="5"/>
              <w:spacing w:before="61" w:line="183" w:lineRule="auto"/>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10</w:t>
            </w:r>
          </w:p>
        </w:tc>
        <w:tc>
          <w:tcPr>
            <w:tcW w:w="5925" w:type="dxa"/>
            <w:gridSpan w:val="3"/>
            <w:vAlign w:val="center"/>
          </w:tcPr>
          <w:p w14:paraId="6FBE858B">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优秀10分：全面、系统、准确、认真；</w:t>
            </w:r>
          </w:p>
          <w:p w14:paraId="20E9C06A">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合格6分：基本全面、系统、准确、认真；</w:t>
            </w:r>
          </w:p>
          <w:p w14:paraId="5B69D040">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不合格0分：明显不全面、不系统、不准确、不认真。</w:t>
            </w:r>
          </w:p>
        </w:tc>
        <w:tc>
          <w:tcPr>
            <w:tcW w:w="678" w:type="dxa"/>
            <w:vAlign w:val="top"/>
          </w:tcPr>
          <w:p w14:paraId="3E29E696">
            <w:pPr>
              <w:spacing w:line="270" w:lineRule="auto"/>
              <w:rPr>
                <w:rFonts w:hint="eastAsia" w:asciiTheme="majorEastAsia" w:hAnsiTheme="majorEastAsia" w:eastAsiaTheme="majorEastAsia" w:cstheme="majorEastAsia"/>
                <w:sz w:val="18"/>
                <w:szCs w:val="18"/>
              </w:rPr>
            </w:pPr>
          </w:p>
          <w:p w14:paraId="33475DB6">
            <w:pPr>
              <w:spacing w:line="271" w:lineRule="auto"/>
              <w:rPr>
                <w:rFonts w:hint="eastAsia" w:asciiTheme="majorEastAsia" w:hAnsiTheme="majorEastAsia" w:eastAsiaTheme="majorEastAsia" w:cstheme="majorEastAsia"/>
                <w:sz w:val="18"/>
                <w:szCs w:val="18"/>
              </w:rPr>
            </w:pPr>
          </w:p>
          <w:p w14:paraId="3AAFF55A">
            <w:pPr>
              <w:spacing w:line="344" w:lineRule="exact"/>
              <w:ind w:firstLine="196"/>
              <w:rPr>
                <w:rFonts w:hint="eastAsia" w:asciiTheme="majorEastAsia" w:hAnsiTheme="majorEastAsia" w:eastAsiaTheme="majorEastAsia" w:cstheme="majorEastAsia"/>
                <w:sz w:val="18"/>
                <w:szCs w:val="18"/>
              </w:rPr>
            </w:pPr>
          </w:p>
        </w:tc>
      </w:tr>
      <w:tr w14:paraId="58FB4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622" w:type="dxa"/>
            <w:vAlign w:val="center"/>
          </w:tcPr>
          <w:p w14:paraId="6F4FC823">
            <w:pPr>
              <w:pStyle w:val="5"/>
              <w:spacing w:before="61" w:line="183" w:lineRule="auto"/>
              <w:ind w:left="295"/>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w:t>
            </w:r>
          </w:p>
        </w:tc>
        <w:tc>
          <w:tcPr>
            <w:tcW w:w="872" w:type="dxa"/>
            <w:vAlign w:val="center"/>
          </w:tcPr>
          <w:p w14:paraId="6D476DC2">
            <w:pPr>
              <w:pStyle w:val="5"/>
              <w:spacing w:before="61" w:line="183" w:lineRule="auto"/>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消防水泵房的维护保养</w:t>
            </w:r>
          </w:p>
        </w:tc>
        <w:tc>
          <w:tcPr>
            <w:tcW w:w="696" w:type="dxa"/>
            <w:vAlign w:val="center"/>
          </w:tcPr>
          <w:p w14:paraId="42769890">
            <w:pPr>
              <w:pStyle w:val="5"/>
              <w:spacing w:before="61" w:line="183" w:lineRule="auto"/>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10</w:t>
            </w:r>
          </w:p>
        </w:tc>
        <w:tc>
          <w:tcPr>
            <w:tcW w:w="5925" w:type="dxa"/>
            <w:gridSpan w:val="3"/>
            <w:vAlign w:val="center"/>
          </w:tcPr>
          <w:p w14:paraId="0835DC30">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优秀10分：全面、系统、准确、认真；</w:t>
            </w:r>
          </w:p>
          <w:p w14:paraId="47830109">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合格6分：基本全面、系统、准确、认真；</w:t>
            </w:r>
          </w:p>
          <w:p w14:paraId="063F295B">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不合格0分：明显不全面、不系统、不准确、不认真。</w:t>
            </w:r>
          </w:p>
        </w:tc>
        <w:tc>
          <w:tcPr>
            <w:tcW w:w="678" w:type="dxa"/>
            <w:vAlign w:val="top"/>
          </w:tcPr>
          <w:p w14:paraId="576FC7B8">
            <w:pPr>
              <w:spacing w:line="275" w:lineRule="auto"/>
              <w:rPr>
                <w:rFonts w:hint="eastAsia" w:asciiTheme="majorEastAsia" w:hAnsiTheme="majorEastAsia" w:eastAsiaTheme="majorEastAsia" w:cstheme="majorEastAsia"/>
                <w:sz w:val="18"/>
                <w:szCs w:val="18"/>
              </w:rPr>
            </w:pPr>
          </w:p>
          <w:p w14:paraId="71BC20D7">
            <w:pPr>
              <w:spacing w:line="275" w:lineRule="auto"/>
              <w:rPr>
                <w:rFonts w:hint="eastAsia" w:asciiTheme="majorEastAsia" w:hAnsiTheme="majorEastAsia" w:eastAsiaTheme="majorEastAsia" w:cstheme="majorEastAsia"/>
                <w:sz w:val="18"/>
                <w:szCs w:val="18"/>
              </w:rPr>
            </w:pPr>
          </w:p>
          <w:p w14:paraId="6FFC057E">
            <w:pPr>
              <w:spacing w:line="357" w:lineRule="exact"/>
              <w:ind w:firstLine="213"/>
              <w:rPr>
                <w:rFonts w:hint="eastAsia" w:asciiTheme="majorEastAsia" w:hAnsiTheme="majorEastAsia" w:eastAsiaTheme="majorEastAsia" w:cstheme="majorEastAsia"/>
                <w:sz w:val="18"/>
                <w:szCs w:val="18"/>
              </w:rPr>
            </w:pPr>
          </w:p>
        </w:tc>
      </w:tr>
      <w:tr w14:paraId="204B8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622" w:type="dxa"/>
            <w:shd w:val="clear" w:color="auto" w:fill="auto"/>
            <w:vAlign w:val="center"/>
          </w:tcPr>
          <w:p w14:paraId="4C3F5E63">
            <w:pPr>
              <w:pStyle w:val="5"/>
              <w:spacing w:before="61" w:line="183" w:lineRule="auto"/>
              <w:ind w:left="295" w:leftChars="0"/>
              <w:jc w:val="both"/>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6</w:t>
            </w:r>
          </w:p>
        </w:tc>
        <w:tc>
          <w:tcPr>
            <w:tcW w:w="872" w:type="dxa"/>
            <w:vAlign w:val="center"/>
          </w:tcPr>
          <w:p w14:paraId="02F99F8E">
            <w:pPr>
              <w:pStyle w:val="5"/>
              <w:spacing w:before="61" w:line="183" w:lineRule="auto"/>
              <w:jc w:val="both"/>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消防控制联动系统</w:t>
            </w:r>
          </w:p>
        </w:tc>
        <w:tc>
          <w:tcPr>
            <w:tcW w:w="696" w:type="dxa"/>
            <w:shd w:val="clear" w:color="auto" w:fill="auto"/>
            <w:vAlign w:val="center"/>
          </w:tcPr>
          <w:p w14:paraId="6DA59740">
            <w:pPr>
              <w:pStyle w:val="5"/>
              <w:spacing w:before="61" w:line="183" w:lineRule="auto"/>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10</w:t>
            </w:r>
          </w:p>
        </w:tc>
        <w:tc>
          <w:tcPr>
            <w:tcW w:w="5925" w:type="dxa"/>
            <w:gridSpan w:val="3"/>
            <w:shd w:val="clear" w:color="auto" w:fill="auto"/>
            <w:vAlign w:val="center"/>
          </w:tcPr>
          <w:p w14:paraId="3181F0C2">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优秀10分：全面、系统、准确、认真；</w:t>
            </w:r>
          </w:p>
          <w:p w14:paraId="035359A1">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合格6分：基本全面、系统、准确、认真；</w:t>
            </w:r>
          </w:p>
          <w:p w14:paraId="2230894E">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kern w:val="2"/>
                <w:sz w:val="18"/>
                <w:szCs w:val="18"/>
                <w:lang w:val="en-US" w:eastAsia="zh-CN" w:bidi="ar-SA"/>
              </w:rPr>
            </w:pPr>
            <w:r>
              <w:rPr>
                <w:rFonts w:hint="eastAsia" w:asciiTheme="majorEastAsia" w:hAnsiTheme="majorEastAsia" w:eastAsiaTheme="majorEastAsia" w:cstheme="majorEastAsia"/>
                <w:spacing w:val="4"/>
                <w:sz w:val="18"/>
                <w:szCs w:val="18"/>
                <w:lang w:val="en-US" w:eastAsia="zh-CN"/>
              </w:rPr>
              <w:t>不合格0分：明显不全面、不系统、不准确、不认真。</w:t>
            </w:r>
          </w:p>
        </w:tc>
        <w:tc>
          <w:tcPr>
            <w:tcW w:w="678" w:type="dxa"/>
            <w:vAlign w:val="top"/>
          </w:tcPr>
          <w:p w14:paraId="17606CE7">
            <w:pPr>
              <w:spacing w:line="357" w:lineRule="exact"/>
              <w:ind w:firstLine="213"/>
              <w:rPr>
                <w:rFonts w:hint="eastAsia" w:asciiTheme="majorEastAsia" w:hAnsiTheme="majorEastAsia" w:eastAsiaTheme="majorEastAsia" w:cstheme="majorEastAsia"/>
                <w:sz w:val="18"/>
                <w:szCs w:val="18"/>
              </w:rPr>
            </w:pPr>
          </w:p>
        </w:tc>
      </w:tr>
      <w:tr w14:paraId="07B3E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622" w:type="dxa"/>
            <w:shd w:val="clear" w:color="auto" w:fill="auto"/>
            <w:vAlign w:val="center"/>
          </w:tcPr>
          <w:p w14:paraId="6292E3B3">
            <w:pPr>
              <w:pStyle w:val="5"/>
              <w:spacing w:before="62" w:line="183" w:lineRule="auto"/>
              <w:ind w:left="284" w:leftChars="0"/>
              <w:jc w:val="both"/>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7</w:t>
            </w:r>
          </w:p>
        </w:tc>
        <w:tc>
          <w:tcPr>
            <w:tcW w:w="872" w:type="dxa"/>
            <w:vAlign w:val="center"/>
          </w:tcPr>
          <w:p w14:paraId="26F85EEF">
            <w:pPr>
              <w:pStyle w:val="5"/>
              <w:spacing w:before="61" w:line="183" w:lineRule="auto"/>
              <w:jc w:val="both"/>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消火拴、防排烟及其他系统</w:t>
            </w:r>
          </w:p>
        </w:tc>
        <w:tc>
          <w:tcPr>
            <w:tcW w:w="696" w:type="dxa"/>
            <w:shd w:val="clear" w:color="auto" w:fill="auto"/>
            <w:vAlign w:val="center"/>
          </w:tcPr>
          <w:p w14:paraId="59CEB3A9">
            <w:pPr>
              <w:pStyle w:val="5"/>
              <w:spacing w:before="61" w:line="183" w:lineRule="auto"/>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10</w:t>
            </w:r>
          </w:p>
        </w:tc>
        <w:tc>
          <w:tcPr>
            <w:tcW w:w="5925" w:type="dxa"/>
            <w:gridSpan w:val="3"/>
            <w:shd w:val="clear" w:color="auto" w:fill="auto"/>
            <w:vAlign w:val="center"/>
          </w:tcPr>
          <w:p w14:paraId="2E7E9B76">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优秀10分：全面、系统、准确、认真；</w:t>
            </w:r>
          </w:p>
          <w:p w14:paraId="1669B6F1">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合格6分：基本全面、系统、准确、认真；</w:t>
            </w:r>
          </w:p>
          <w:p w14:paraId="58E5C018">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kern w:val="2"/>
                <w:sz w:val="18"/>
                <w:szCs w:val="18"/>
                <w:lang w:val="en-US" w:eastAsia="zh-CN" w:bidi="ar-SA"/>
              </w:rPr>
            </w:pPr>
            <w:r>
              <w:rPr>
                <w:rFonts w:hint="eastAsia" w:asciiTheme="majorEastAsia" w:hAnsiTheme="majorEastAsia" w:eastAsiaTheme="majorEastAsia" w:cstheme="majorEastAsia"/>
                <w:spacing w:val="4"/>
                <w:sz w:val="18"/>
                <w:szCs w:val="18"/>
                <w:lang w:val="en-US" w:eastAsia="zh-CN"/>
              </w:rPr>
              <w:t>不合格0分：明显不全面、不系统、不准确、不认真。</w:t>
            </w:r>
          </w:p>
        </w:tc>
        <w:tc>
          <w:tcPr>
            <w:tcW w:w="678" w:type="dxa"/>
            <w:vAlign w:val="top"/>
          </w:tcPr>
          <w:p w14:paraId="4BCAD8BC">
            <w:pPr>
              <w:spacing w:line="357" w:lineRule="exact"/>
              <w:ind w:firstLine="213"/>
              <w:rPr>
                <w:rFonts w:hint="eastAsia" w:asciiTheme="majorEastAsia" w:hAnsiTheme="majorEastAsia" w:eastAsiaTheme="majorEastAsia" w:cstheme="majorEastAsia"/>
                <w:sz w:val="18"/>
                <w:szCs w:val="18"/>
              </w:rPr>
            </w:pPr>
          </w:p>
        </w:tc>
      </w:tr>
      <w:tr w14:paraId="67F9D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trPr>
        <w:tc>
          <w:tcPr>
            <w:tcW w:w="622" w:type="dxa"/>
            <w:shd w:val="clear" w:color="auto" w:fill="auto"/>
            <w:vAlign w:val="center"/>
          </w:tcPr>
          <w:p w14:paraId="64D9651E">
            <w:pPr>
              <w:pStyle w:val="5"/>
              <w:spacing w:before="62" w:line="183" w:lineRule="auto"/>
              <w:ind w:left="284" w:leftChars="0"/>
              <w:jc w:val="both"/>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8</w:t>
            </w:r>
          </w:p>
        </w:tc>
        <w:tc>
          <w:tcPr>
            <w:tcW w:w="872" w:type="dxa"/>
            <w:vAlign w:val="center"/>
          </w:tcPr>
          <w:p w14:paraId="2E96604C">
            <w:pPr>
              <w:pStyle w:val="5"/>
              <w:spacing w:before="61" w:line="183" w:lineRule="auto"/>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月度、季度检查书面报告</w:t>
            </w:r>
          </w:p>
        </w:tc>
        <w:tc>
          <w:tcPr>
            <w:tcW w:w="696" w:type="dxa"/>
            <w:vAlign w:val="center"/>
          </w:tcPr>
          <w:p w14:paraId="65FC041F">
            <w:pPr>
              <w:pStyle w:val="5"/>
              <w:spacing w:before="61" w:line="183" w:lineRule="auto"/>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10</w:t>
            </w:r>
          </w:p>
        </w:tc>
        <w:tc>
          <w:tcPr>
            <w:tcW w:w="5925" w:type="dxa"/>
            <w:gridSpan w:val="3"/>
            <w:vAlign w:val="top"/>
          </w:tcPr>
          <w:p w14:paraId="002DCEB4">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优秀10分：书面报告能全面且明确的消防设施运作情况、提出消防设施正常运行的建议；</w:t>
            </w:r>
          </w:p>
          <w:p w14:paraId="2E758162">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合格6分：书面报告基本比较全面且明确的消防设施运作情况、提出消防设施正常运行的建议；</w:t>
            </w:r>
          </w:p>
          <w:p w14:paraId="4BEA6743">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lang w:val="en-US" w:eastAsia="zh-CN"/>
              </w:rPr>
              <w:t>不合格0分：书面报告不全面且明确的消防设施运作情况、不提出消防设施正常运行的建议。</w:t>
            </w:r>
          </w:p>
        </w:tc>
        <w:tc>
          <w:tcPr>
            <w:tcW w:w="678" w:type="dxa"/>
            <w:vAlign w:val="top"/>
          </w:tcPr>
          <w:p w14:paraId="536DB98D">
            <w:pPr>
              <w:spacing w:line="413" w:lineRule="auto"/>
              <w:rPr>
                <w:rFonts w:hint="eastAsia" w:asciiTheme="majorEastAsia" w:hAnsiTheme="majorEastAsia" w:eastAsiaTheme="majorEastAsia" w:cstheme="majorEastAsia"/>
                <w:sz w:val="18"/>
                <w:szCs w:val="18"/>
              </w:rPr>
            </w:pPr>
          </w:p>
          <w:p w14:paraId="3C9B8C0F">
            <w:pPr>
              <w:spacing w:line="325" w:lineRule="exact"/>
              <w:ind w:firstLine="196"/>
              <w:rPr>
                <w:rFonts w:hint="eastAsia" w:asciiTheme="majorEastAsia" w:hAnsiTheme="majorEastAsia" w:eastAsiaTheme="majorEastAsia" w:cstheme="majorEastAsia"/>
                <w:sz w:val="18"/>
                <w:szCs w:val="18"/>
              </w:rPr>
            </w:pPr>
          </w:p>
        </w:tc>
      </w:tr>
      <w:tr w14:paraId="745E8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622" w:type="dxa"/>
            <w:shd w:val="clear" w:color="auto" w:fill="auto"/>
            <w:vAlign w:val="center"/>
          </w:tcPr>
          <w:p w14:paraId="66C4E0D2">
            <w:pPr>
              <w:pStyle w:val="5"/>
              <w:spacing w:before="274" w:line="184" w:lineRule="auto"/>
              <w:ind w:left="244" w:leftChars="0"/>
              <w:jc w:val="both"/>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pacing w:val="-6"/>
                <w:sz w:val="18"/>
                <w:szCs w:val="18"/>
                <w:lang w:val="en-US" w:eastAsia="zh-CN"/>
              </w:rPr>
              <w:t>9</w:t>
            </w:r>
          </w:p>
        </w:tc>
        <w:tc>
          <w:tcPr>
            <w:tcW w:w="872" w:type="dxa"/>
            <w:vAlign w:val="center"/>
          </w:tcPr>
          <w:p w14:paraId="6C823DED">
            <w:pPr>
              <w:pStyle w:val="5"/>
              <w:tabs>
                <w:tab w:val="left" w:pos="840"/>
              </w:tabs>
              <w:spacing w:before="62" w:line="268" w:lineRule="auto"/>
              <w:ind w:right="22" w:rightChars="0"/>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pacing w:val="-2"/>
                <w:sz w:val="18"/>
                <w:szCs w:val="18"/>
              </w:rPr>
              <w:t>更换材料设备的供应</w:t>
            </w:r>
          </w:p>
        </w:tc>
        <w:tc>
          <w:tcPr>
            <w:tcW w:w="696" w:type="dxa"/>
            <w:vAlign w:val="center"/>
          </w:tcPr>
          <w:p w14:paraId="052F8216">
            <w:pPr>
              <w:pStyle w:val="5"/>
              <w:spacing w:before="62" w:line="184" w:lineRule="auto"/>
              <w:ind w:left="242" w:leftChars="0"/>
              <w:jc w:val="both"/>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pacing w:val="-6"/>
                <w:sz w:val="18"/>
                <w:szCs w:val="18"/>
              </w:rPr>
              <w:t>10</w:t>
            </w:r>
          </w:p>
        </w:tc>
        <w:tc>
          <w:tcPr>
            <w:tcW w:w="5925" w:type="dxa"/>
            <w:gridSpan w:val="3"/>
            <w:vAlign w:val="top"/>
          </w:tcPr>
          <w:p w14:paraId="72B50956">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eastAsia="zh-CN"/>
              </w:rPr>
            </w:pPr>
            <w:r>
              <w:rPr>
                <w:rFonts w:hint="eastAsia" w:asciiTheme="majorEastAsia" w:hAnsiTheme="majorEastAsia" w:eastAsiaTheme="majorEastAsia" w:cstheme="majorEastAsia"/>
                <w:spacing w:val="4"/>
                <w:sz w:val="18"/>
                <w:szCs w:val="18"/>
              </w:rPr>
              <w:t>合格10分：设施需要更换材料时能及时、专业的给出书面报告，并进行协助</w:t>
            </w:r>
            <w:r>
              <w:rPr>
                <w:rFonts w:hint="eastAsia" w:asciiTheme="majorEastAsia" w:hAnsiTheme="majorEastAsia" w:eastAsiaTheme="majorEastAsia" w:cstheme="majorEastAsia"/>
                <w:spacing w:val="4"/>
                <w:sz w:val="18"/>
                <w:szCs w:val="18"/>
                <w:lang w:eastAsia="zh-CN"/>
              </w:rPr>
              <w:t>；</w:t>
            </w:r>
          </w:p>
          <w:p w14:paraId="054C35EE">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eastAsia="zh-CN"/>
              </w:rPr>
            </w:pPr>
            <w:r>
              <w:rPr>
                <w:rFonts w:hint="eastAsia" w:asciiTheme="majorEastAsia" w:hAnsiTheme="majorEastAsia" w:eastAsiaTheme="majorEastAsia" w:cstheme="majorEastAsia"/>
                <w:spacing w:val="4"/>
                <w:sz w:val="18"/>
                <w:szCs w:val="18"/>
              </w:rPr>
              <w:t>合格6分：设施需要更换材料时基本能及时、专业的给出书面报告，并进行协助</w:t>
            </w:r>
            <w:r>
              <w:rPr>
                <w:rFonts w:hint="eastAsia" w:asciiTheme="majorEastAsia" w:hAnsiTheme="majorEastAsia" w:eastAsiaTheme="majorEastAsia" w:cstheme="majorEastAsia"/>
                <w:spacing w:val="4"/>
                <w:sz w:val="18"/>
                <w:szCs w:val="18"/>
                <w:lang w:eastAsia="zh-CN"/>
              </w:rPr>
              <w:t>；</w:t>
            </w:r>
          </w:p>
          <w:p w14:paraId="7ED2CD99">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zh-CN"/>
              </w:rPr>
            </w:pPr>
            <w:r>
              <w:rPr>
                <w:rFonts w:hint="eastAsia" w:asciiTheme="majorEastAsia" w:hAnsiTheme="majorEastAsia" w:eastAsiaTheme="majorEastAsia" w:cstheme="majorEastAsia"/>
                <w:spacing w:val="4"/>
                <w:sz w:val="18"/>
                <w:szCs w:val="18"/>
              </w:rPr>
              <w:t>不合格 0分：设施需要更换材料时不能及时、专业的给出书面报告，并进行协助。</w:t>
            </w:r>
          </w:p>
        </w:tc>
        <w:tc>
          <w:tcPr>
            <w:tcW w:w="678" w:type="dxa"/>
            <w:vAlign w:val="top"/>
          </w:tcPr>
          <w:p w14:paraId="2154067A">
            <w:pPr>
              <w:pStyle w:val="5"/>
              <w:spacing w:before="62" w:line="183" w:lineRule="auto"/>
              <w:ind w:left="284" w:leftChars="0"/>
              <w:rPr>
                <w:rFonts w:hint="eastAsia" w:asciiTheme="majorEastAsia" w:hAnsiTheme="majorEastAsia" w:eastAsiaTheme="majorEastAsia" w:cstheme="majorEastAsia"/>
                <w:sz w:val="18"/>
                <w:szCs w:val="18"/>
              </w:rPr>
            </w:pPr>
          </w:p>
        </w:tc>
      </w:tr>
      <w:tr w14:paraId="6CA43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622" w:type="dxa"/>
            <w:shd w:val="clear" w:color="auto" w:fill="auto"/>
            <w:vAlign w:val="center"/>
          </w:tcPr>
          <w:p w14:paraId="2D077886">
            <w:pPr>
              <w:pStyle w:val="5"/>
              <w:spacing w:before="274" w:line="184" w:lineRule="auto"/>
              <w:ind w:left="244" w:leftChars="0"/>
              <w:jc w:val="both"/>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pacing w:val="-6"/>
                <w:sz w:val="18"/>
                <w:szCs w:val="18"/>
                <w:lang w:val="en-US" w:eastAsia="zh-CN"/>
              </w:rPr>
              <w:t>10</w:t>
            </w:r>
          </w:p>
        </w:tc>
        <w:tc>
          <w:tcPr>
            <w:tcW w:w="872" w:type="dxa"/>
            <w:shd w:val="clear" w:color="auto" w:fill="auto"/>
            <w:vAlign w:val="center"/>
          </w:tcPr>
          <w:p w14:paraId="257B72A0">
            <w:pPr>
              <w:pStyle w:val="5"/>
              <w:spacing w:before="61" w:line="270" w:lineRule="auto"/>
              <w:ind w:right="22" w:rightChars="0"/>
              <w:jc w:val="both"/>
              <w:rPr>
                <w:rFonts w:hint="eastAsia" w:asciiTheme="majorEastAsia" w:hAnsiTheme="majorEastAsia" w:eastAsiaTheme="majorEastAsia" w:cstheme="majorEastAsia"/>
                <w:kern w:val="2"/>
                <w:sz w:val="18"/>
                <w:szCs w:val="18"/>
                <w:lang w:val="en-US" w:eastAsia="en-US" w:bidi="ar-SA"/>
              </w:rPr>
            </w:pPr>
            <w:r>
              <w:rPr>
                <w:rFonts w:hint="eastAsia" w:asciiTheme="majorEastAsia" w:hAnsiTheme="majorEastAsia" w:eastAsiaTheme="majorEastAsia" w:cstheme="majorEastAsia"/>
                <w:kern w:val="0"/>
                <w:sz w:val="18"/>
                <w:szCs w:val="18"/>
              </w:rPr>
              <w:t>应急抢修</w:t>
            </w:r>
          </w:p>
        </w:tc>
        <w:tc>
          <w:tcPr>
            <w:tcW w:w="696" w:type="dxa"/>
            <w:shd w:val="clear" w:color="auto" w:fill="auto"/>
            <w:vAlign w:val="center"/>
          </w:tcPr>
          <w:p w14:paraId="74A1CCF8">
            <w:pPr>
              <w:pStyle w:val="5"/>
              <w:spacing w:before="62" w:line="184" w:lineRule="auto"/>
              <w:ind w:left="242" w:leftChars="0"/>
              <w:jc w:val="both"/>
              <w:rPr>
                <w:rFonts w:hint="eastAsia" w:asciiTheme="majorEastAsia" w:hAnsiTheme="majorEastAsia" w:eastAsiaTheme="majorEastAsia" w:cstheme="majorEastAsia"/>
                <w:kern w:val="2"/>
                <w:sz w:val="18"/>
                <w:szCs w:val="18"/>
                <w:lang w:val="en-US" w:eastAsia="en-US" w:bidi="ar-SA"/>
              </w:rPr>
            </w:pPr>
            <w:r>
              <w:rPr>
                <w:rFonts w:hint="eastAsia" w:asciiTheme="majorEastAsia" w:hAnsiTheme="majorEastAsia" w:eastAsiaTheme="majorEastAsia" w:cstheme="majorEastAsia"/>
                <w:spacing w:val="-6"/>
                <w:sz w:val="18"/>
                <w:szCs w:val="18"/>
              </w:rPr>
              <w:t>10</w:t>
            </w:r>
          </w:p>
        </w:tc>
        <w:tc>
          <w:tcPr>
            <w:tcW w:w="5925" w:type="dxa"/>
            <w:gridSpan w:val="3"/>
            <w:shd w:val="clear" w:color="auto" w:fill="auto"/>
            <w:vAlign w:val="top"/>
          </w:tcPr>
          <w:p w14:paraId="27A6394B">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eastAsia="zh-CN"/>
              </w:rPr>
            </w:pPr>
            <w:r>
              <w:rPr>
                <w:rFonts w:hint="eastAsia" w:asciiTheme="majorEastAsia" w:hAnsiTheme="majorEastAsia" w:eastAsiaTheme="majorEastAsia" w:cstheme="majorEastAsia"/>
                <w:spacing w:val="4"/>
                <w:sz w:val="18"/>
                <w:szCs w:val="18"/>
              </w:rPr>
              <w:t>优秀10分：</w:t>
            </w:r>
            <w:r>
              <w:rPr>
                <w:rFonts w:hint="eastAsia" w:asciiTheme="majorEastAsia" w:hAnsiTheme="majorEastAsia" w:eastAsiaTheme="majorEastAsia" w:cstheme="majorEastAsia"/>
                <w:spacing w:val="4"/>
                <w:sz w:val="18"/>
                <w:szCs w:val="18"/>
                <w:lang w:val="en-US" w:eastAsia="zh-CN"/>
              </w:rPr>
              <w:t>维保服务人员2小时内到达项目开展应急抢修</w:t>
            </w:r>
            <w:r>
              <w:rPr>
                <w:rFonts w:hint="eastAsia" w:asciiTheme="majorEastAsia" w:hAnsiTheme="majorEastAsia" w:eastAsiaTheme="majorEastAsia" w:cstheme="majorEastAsia"/>
                <w:spacing w:val="4"/>
                <w:sz w:val="18"/>
                <w:szCs w:val="18"/>
                <w:lang w:eastAsia="zh-CN"/>
              </w:rPr>
              <w:t>；</w:t>
            </w:r>
          </w:p>
          <w:p w14:paraId="10145250">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rPr>
            </w:pPr>
            <w:r>
              <w:rPr>
                <w:rFonts w:hint="eastAsia" w:asciiTheme="majorEastAsia" w:hAnsiTheme="majorEastAsia" w:eastAsiaTheme="majorEastAsia" w:cstheme="majorEastAsia"/>
                <w:spacing w:val="4"/>
                <w:sz w:val="18"/>
                <w:szCs w:val="18"/>
              </w:rPr>
              <w:t>合格6分：</w:t>
            </w:r>
            <w:r>
              <w:rPr>
                <w:rFonts w:hint="eastAsia" w:asciiTheme="majorEastAsia" w:hAnsiTheme="majorEastAsia" w:eastAsiaTheme="majorEastAsia" w:cstheme="majorEastAsia"/>
                <w:spacing w:val="4"/>
                <w:sz w:val="18"/>
                <w:szCs w:val="18"/>
                <w:lang w:val="en-US" w:eastAsia="zh-CN"/>
              </w:rPr>
              <w:t>维保服务人员4小时内到达项目开展应急抢修；</w:t>
            </w:r>
          </w:p>
          <w:p w14:paraId="73982A92">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35" w:rightChars="0"/>
              <w:textAlignment w:val="auto"/>
              <w:rPr>
                <w:rFonts w:hint="eastAsia" w:asciiTheme="majorEastAsia" w:hAnsiTheme="majorEastAsia" w:eastAsiaTheme="majorEastAsia" w:cstheme="majorEastAsia"/>
                <w:spacing w:val="4"/>
                <w:sz w:val="18"/>
                <w:szCs w:val="18"/>
                <w:lang w:val="en-US" w:eastAsia="en-US"/>
              </w:rPr>
            </w:pPr>
            <w:r>
              <w:rPr>
                <w:rFonts w:hint="eastAsia" w:asciiTheme="majorEastAsia" w:hAnsiTheme="majorEastAsia" w:eastAsiaTheme="majorEastAsia" w:cstheme="majorEastAsia"/>
                <w:spacing w:val="4"/>
                <w:sz w:val="18"/>
                <w:szCs w:val="18"/>
              </w:rPr>
              <w:t>不合格0分：</w:t>
            </w:r>
            <w:r>
              <w:rPr>
                <w:rFonts w:hint="eastAsia" w:asciiTheme="majorEastAsia" w:hAnsiTheme="majorEastAsia" w:eastAsiaTheme="majorEastAsia" w:cstheme="majorEastAsia"/>
                <w:spacing w:val="4"/>
                <w:sz w:val="18"/>
                <w:szCs w:val="18"/>
                <w:lang w:val="en-US" w:eastAsia="zh-CN"/>
              </w:rPr>
              <w:t>维保服务人员12小时内到达项目开展应急抢修。</w:t>
            </w:r>
          </w:p>
        </w:tc>
        <w:tc>
          <w:tcPr>
            <w:tcW w:w="678" w:type="dxa"/>
            <w:vAlign w:val="top"/>
          </w:tcPr>
          <w:p w14:paraId="4E024DCA">
            <w:pPr>
              <w:pStyle w:val="5"/>
              <w:spacing w:before="62" w:line="183" w:lineRule="auto"/>
              <w:ind w:left="284" w:leftChars="0"/>
              <w:rPr>
                <w:rFonts w:hint="eastAsia" w:asciiTheme="majorEastAsia" w:hAnsiTheme="majorEastAsia" w:eastAsiaTheme="majorEastAsia" w:cstheme="majorEastAsia"/>
                <w:sz w:val="18"/>
                <w:szCs w:val="18"/>
              </w:rPr>
            </w:pPr>
          </w:p>
        </w:tc>
      </w:tr>
      <w:tr w14:paraId="43904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622" w:type="dxa"/>
            <w:shd w:val="clear" w:color="auto" w:fill="auto"/>
            <w:vAlign w:val="center"/>
          </w:tcPr>
          <w:p w14:paraId="1463147C">
            <w:pPr>
              <w:pStyle w:val="5"/>
              <w:spacing w:before="274" w:line="184" w:lineRule="auto"/>
              <w:ind w:left="244" w:leftChars="0"/>
              <w:jc w:val="both"/>
              <w:rPr>
                <w:rFonts w:hint="default"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pacing w:val="-6"/>
                <w:sz w:val="18"/>
                <w:szCs w:val="18"/>
                <w:lang w:val="en-US" w:eastAsia="zh-CN"/>
              </w:rPr>
              <w:t>11</w:t>
            </w:r>
          </w:p>
        </w:tc>
        <w:tc>
          <w:tcPr>
            <w:tcW w:w="872" w:type="dxa"/>
            <w:shd w:val="clear" w:color="auto" w:fill="auto"/>
            <w:vAlign w:val="center"/>
          </w:tcPr>
          <w:p w14:paraId="67C63F54">
            <w:pPr>
              <w:pStyle w:val="5"/>
              <w:spacing w:before="226" w:line="219" w:lineRule="auto"/>
              <w:jc w:val="both"/>
              <w:rPr>
                <w:rFonts w:hint="eastAsia" w:asciiTheme="majorEastAsia" w:hAnsiTheme="majorEastAsia" w:eastAsiaTheme="majorEastAsia" w:cstheme="majorEastAsia"/>
                <w:kern w:val="2"/>
                <w:sz w:val="18"/>
                <w:szCs w:val="18"/>
                <w:lang w:val="en-US" w:eastAsia="en-US" w:bidi="ar-SA"/>
              </w:rPr>
            </w:pPr>
            <w:r>
              <w:rPr>
                <w:rFonts w:hint="eastAsia" w:asciiTheme="majorEastAsia" w:hAnsiTheme="majorEastAsia" w:eastAsiaTheme="majorEastAsia" w:cstheme="majorEastAsia"/>
                <w:spacing w:val="-2"/>
                <w:sz w:val="18"/>
                <w:szCs w:val="18"/>
              </w:rPr>
              <w:t>诚信情况</w:t>
            </w:r>
          </w:p>
        </w:tc>
        <w:tc>
          <w:tcPr>
            <w:tcW w:w="696" w:type="dxa"/>
            <w:shd w:val="clear" w:color="auto" w:fill="auto"/>
            <w:vAlign w:val="center"/>
          </w:tcPr>
          <w:p w14:paraId="279EF4F7">
            <w:pPr>
              <w:pStyle w:val="5"/>
              <w:spacing w:before="274" w:line="184" w:lineRule="auto"/>
              <w:ind w:left="242" w:leftChars="0"/>
              <w:jc w:val="both"/>
              <w:rPr>
                <w:rFonts w:hint="eastAsia" w:asciiTheme="majorEastAsia" w:hAnsiTheme="majorEastAsia" w:eastAsiaTheme="majorEastAsia" w:cstheme="majorEastAsia"/>
                <w:kern w:val="2"/>
                <w:sz w:val="18"/>
                <w:szCs w:val="18"/>
                <w:lang w:val="en-US" w:eastAsia="en-US" w:bidi="ar-SA"/>
              </w:rPr>
            </w:pPr>
            <w:r>
              <w:rPr>
                <w:rFonts w:hint="eastAsia" w:asciiTheme="majorEastAsia" w:hAnsiTheme="majorEastAsia" w:eastAsiaTheme="majorEastAsia" w:cstheme="majorEastAsia"/>
                <w:spacing w:val="-6"/>
                <w:sz w:val="18"/>
                <w:szCs w:val="18"/>
              </w:rPr>
              <w:t>10</w:t>
            </w:r>
          </w:p>
        </w:tc>
        <w:tc>
          <w:tcPr>
            <w:tcW w:w="5925" w:type="dxa"/>
            <w:gridSpan w:val="3"/>
            <w:shd w:val="clear" w:color="auto" w:fill="auto"/>
            <w:vAlign w:val="top"/>
          </w:tcPr>
          <w:p w14:paraId="24285017">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1525" w:rightChars="0"/>
              <w:textAlignment w:val="auto"/>
              <w:rPr>
                <w:rFonts w:hint="eastAsia" w:asciiTheme="majorEastAsia" w:hAnsiTheme="majorEastAsia" w:eastAsiaTheme="majorEastAsia" w:cstheme="majorEastAsia"/>
                <w:spacing w:val="4"/>
                <w:sz w:val="18"/>
                <w:szCs w:val="18"/>
              </w:rPr>
            </w:pPr>
            <w:r>
              <w:rPr>
                <w:rFonts w:hint="eastAsia" w:asciiTheme="majorEastAsia" w:hAnsiTheme="majorEastAsia" w:eastAsiaTheme="majorEastAsia" w:cstheme="majorEastAsia"/>
                <w:spacing w:val="4"/>
                <w:sz w:val="18"/>
                <w:szCs w:val="18"/>
              </w:rPr>
              <w:t xml:space="preserve">优秀10分：无串通其他单位弄虚作假的现象；  </w:t>
            </w:r>
          </w:p>
          <w:p w14:paraId="7C2586E2">
            <w:pPr>
              <w:pStyle w:val="5"/>
              <w:keepNext w:val="0"/>
              <w:keepLines w:val="0"/>
              <w:pageBreakBefore w:val="0"/>
              <w:widowControl w:val="0"/>
              <w:kinsoku/>
              <w:wordWrap/>
              <w:overflowPunct/>
              <w:topLinePunct w:val="0"/>
              <w:autoSpaceDE/>
              <w:autoSpaceDN/>
              <w:bidi w:val="0"/>
              <w:adjustRightInd/>
              <w:snapToGrid/>
              <w:spacing w:before="45" w:line="240" w:lineRule="exact"/>
              <w:ind w:left="102" w:leftChars="0" w:right="235" w:rightChars="0"/>
              <w:textAlignment w:val="auto"/>
              <w:rPr>
                <w:rFonts w:hint="eastAsia" w:asciiTheme="majorEastAsia" w:hAnsiTheme="majorEastAsia" w:eastAsiaTheme="majorEastAsia" w:cstheme="majorEastAsia"/>
                <w:spacing w:val="4"/>
                <w:sz w:val="18"/>
                <w:szCs w:val="18"/>
                <w:lang w:val="en-US" w:eastAsia="en-US"/>
              </w:rPr>
            </w:pPr>
            <w:r>
              <w:rPr>
                <w:rFonts w:hint="eastAsia" w:asciiTheme="majorEastAsia" w:hAnsiTheme="majorEastAsia" w:eastAsiaTheme="majorEastAsia" w:cstheme="majorEastAsia"/>
                <w:spacing w:val="4"/>
                <w:sz w:val="18"/>
                <w:szCs w:val="18"/>
              </w:rPr>
              <w:t>不合格</w:t>
            </w:r>
            <w:r>
              <w:rPr>
                <w:rFonts w:hint="eastAsia" w:asciiTheme="majorEastAsia" w:hAnsiTheme="majorEastAsia" w:eastAsiaTheme="majorEastAsia" w:cstheme="majorEastAsia"/>
                <w:spacing w:val="4"/>
                <w:sz w:val="18"/>
                <w:szCs w:val="18"/>
                <w:lang w:val="en-US" w:eastAsia="zh-CN"/>
              </w:rPr>
              <w:t>0</w:t>
            </w:r>
            <w:r>
              <w:rPr>
                <w:rFonts w:hint="eastAsia" w:asciiTheme="majorEastAsia" w:hAnsiTheme="majorEastAsia" w:eastAsiaTheme="majorEastAsia" w:cstheme="majorEastAsia"/>
                <w:spacing w:val="4"/>
                <w:sz w:val="18"/>
                <w:szCs w:val="18"/>
              </w:rPr>
              <w:t>分：有串通其他单位弄虚作假的现象。</w:t>
            </w:r>
          </w:p>
        </w:tc>
        <w:tc>
          <w:tcPr>
            <w:tcW w:w="678" w:type="dxa"/>
            <w:vAlign w:val="top"/>
          </w:tcPr>
          <w:p w14:paraId="5325BEE1">
            <w:pPr>
              <w:pStyle w:val="5"/>
              <w:spacing w:before="62" w:line="183" w:lineRule="auto"/>
              <w:ind w:left="284" w:leftChars="0"/>
              <w:rPr>
                <w:rFonts w:hint="eastAsia" w:asciiTheme="majorEastAsia" w:hAnsiTheme="majorEastAsia" w:eastAsiaTheme="majorEastAsia" w:cstheme="majorEastAsia"/>
                <w:sz w:val="18"/>
                <w:szCs w:val="18"/>
              </w:rPr>
            </w:pPr>
          </w:p>
        </w:tc>
      </w:tr>
      <w:tr w14:paraId="57010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22" w:type="dxa"/>
            <w:shd w:val="clear" w:color="auto" w:fill="auto"/>
            <w:vAlign w:val="top"/>
          </w:tcPr>
          <w:p w14:paraId="02BCECA3">
            <w:pPr>
              <w:rPr>
                <w:rFonts w:hint="eastAsia" w:ascii="Arial" w:hAnsi="Times New Roman" w:eastAsia="宋体" w:cs="Times New Roman"/>
                <w:kern w:val="2"/>
                <w:sz w:val="21"/>
                <w:lang w:val="en-US" w:eastAsia="zh-CN" w:bidi="ar-SA"/>
              </w:rPr>
            </w:pPr>
          </w:p>
        </w:tc>
        <w:tc>
          <w:tcPr>
            <w:tcW w:w="872" w:type="dxa"/>
            <w:shd w:val="clear" w:color="auto" w:fill="auto"/>
            <w:vAlign w:val="top"/>
          </w:tcPr>
          <w:p w14:paraId="201F5665">
            <w:pPr>
              <w:pStyle w:val="5"/>
              <w:spacing w:before="226" w:line="219" w:lineRule="auto"/>
              <w:ind w:left="70" w:leftChars="0"/>
              <w:rPr>
                <w:rFonts w:hint="eastAsia" w:asciiTheme="majorEastAsia" w:hAnsiTheme="majorEastAsia" w:eastAsiaTheme="majorEastAsia" w:cstheme="majorEastAsia"/>
                <w:spacing w:val="-2"/>
                <w:sz w:val="18"/>
                <w:szCs w:val="18"/>
                <w:lang w:val="en-US" w:eastAsia="en-US"/>
              </w:rPr>
            </w:pPr>
            <w:r>
              <w:rPr>
                <w:rFonts w:hint="eastAsia" w:asciiTheme="majorEastAsia" w:hAnsiTheme="majorEastAsia" w:eastAsiaTheme="majorEastAsia" w:cstheme="majorEastAsia"/>
                <w:spacing w:val="-2"/>
                <w:sz w:val="18"/>
                <w:szCs w:val="18"/>
              </w:rPr>
              <w:t>合  计</w:t>
            </w:r>
          </w:p>
        </w:tc>
        <w:tc>
          <w:tcPr>
            <w:tcW w:w="696" w:type="dxa"/>
            <w:shd w:val="clear" w:color="auto" w:fill="auto"/>
            <w:vAlign w:val="center"/>
          </w:tcPr>
          <w:p w14:paraId="5C8C89E1">
            <w:pPr>
              <w:pStyle w:val="5"/>
              <w:spacing w:before="226" w:line="219" w:lineRule="auto"/>
              <w:ind w:left="70" w:leftChars="0"/>
              <w:jc w:val="center"/>
              <w:rPr>
                <w:rFonts w:hint="eastAsia" w:asciiTheme="majorEastAsia" w:hAnsiTheme="majorEastAsia" w:eastAsiaTheme="majorEastAsia" w:cstheme="majorEastAsia"/>
                <w:spacing w:val="-2"/>
                <w:sz w:val="18"/>
                <w:szCs w:val="18"/>
                <w:lang w:val="en-US" w:eastAsia="en-US"/>
              </w:rPr>
            </w:pPr>
            <w:r>
              <w:rPr>
                <w:rFonts w:hint="eastAsia" w:asciiTheme="majorEastAsia" w:hAnsiTheme="majorEastAsia" w:eastAsiaTheme="majorEastAsia" w:cstheme="majorEastAsia"/>
                <w:spacing w:val="-2"/>
                <w:sz w:val="18"/>
                <w:szCs w:val="18"/>
              </w:rPr>
              <w:t>100</w:t>
            </w:r>
          </w:p>
        </w:tc>
        <w:tc>
          <w:tcPr>
            <w:tcW w:w="5925" w:type="dxa"/>
            <w:gridSpan w:val="3"/>
            <w:shd w:val="clear" w:color="auto" w:fill="auto"/>
            <w:vAlign w:val="top"/>
          </w:tcPr>
          <w:p w14:paraId="5A18185E">
            <w:pPr>
              <w:rPr>
                <w:rFonts w:hint="eastAsia" w:ascii="Arial" w:hAnsi="Times New Roman" w:eastAsia="宋体" w:cs="Times New Roman"/>
                <w:kern w:val="2"/>
                <w:sz w:val="21"/>
                <w:lang w:val="en-US" w:eastAsia="zh-CN" w:bidi="ar-SA"/>
              </w:rPr>
            </w:pPr>
          </w:p>
        </w:tc>
        <w:tc>
          <w:tcPr>
            <w:tcW w:w="678" w:type="dxa"/>
            <w:vAlign w:val="top"/>
          </w:tcPr>
          <w:p w14:paraId="1849CAE2">
            <w:pPr>
              <w:pStyle w:val="5"/>
              <w:spacing w:before="62" w:line="183" w:lineRule="auto"/>
              <w:ind w:left="284" w:leftChars="0"/>
              <w:rPr>
                <w:rFonts w:hint="eastAsia" w:asciiTheme="majorEastAsia" w:hAnsiTheme="majorEastAsia" w:eastAsiaTheme="majorEastAsia" w:cstheme="majorEastAsia"/>
                <w:sz w:val="18"/>
                <w:szCs w:val="18"/>
              </w:rPr>
            </w:pPr>
          </w:p>
        </w:tc>
      </w:tr>
    </w:tbl>
    <w:p w14:paraId="63D9608F">
      <w:pPr>
        <w:spacing w:line="93" w:lineRule="exact"/>
        <w:rPr>
          <w:rFonts w:hint="eastAsia" w:asciiTheme="majorEastAsia" w:hAnsiTheme="majorEastAsia" w:eastAsiaTheme="majorEastAsia" w:cstheme="majorEastAsia"/>
          <w:sz w:val="18"/>
          <w:szCs w:val="18"/>
        </w:rPr>
      </w:pPr>
    </w:p>
    <w:p w14:paraId="7FD1BFAC">
      <w:pPr>
        <w:spacing w:before="195"/>
        <w:ind w:left="294"/>
        <w:rPr>
          <w:sz w:val="20"/>
          <w:szCs w:val="20"/>
        </w:rPr>
      </w:pPr>
      <w:r>
        <w:rPr>
          <w:rFonts w:ascii="宋体" w:hAnsi="宋体" w:eastAsia="宋体" w:cs="宋体"/>
          <w:spacing w:val="-4"/>
          <w:sz w:val="20"/>
          <w:szCs w:val="20"/>
        </w:rPr>
        <w:t>评价小组成员签字：</w:t>
      </w:r>
      <w:r>
        <w:rPr>
          <w:rFonts w:ascii="宋体" w:hAnsi="宋体" w:eastAsia="宋体" w:cs="宋体"/>
          <w:spacing w:val="-65"/>
          <w:sz w:val="20"/>
          <w:szCs w:val="20"/>
        </w:rPr>
        <w:t xml:space="preserve"> </w:t>
      </w:r>
    </w:p>
    <w:p w14:paraId="60E04F89">
      <w:pPr>
        <w:spacing w:line="259" w:lineRule="auto"/>
        <w:rPr>
          <w:rFonts w:ascii="Arial"/>
          <w:sz w:val="21"/>
        </w:rPr>
      </w:pPr>
    </w:p>
    <w:p w14:paraId="576B708D">
      <w:pPr>
        <w:spacing w:before="65" w:line="218" w:lineRule="auto"/>
        <w:ind w:left="294"/>
        <w:rPr>
          <w:rFonts w:ascii="宋体" w:hAnsi="宋体" w:eastAsia="宋体" w:cs="宋体"/>
          <w:sz w:val="20"/>
          <w:szCs w:val="20"/>
        </w:rPr>
      </w:pPr>
      <w:r>
        <w:rPr>
          <w:rFonts w:ascii="宋体" w:hAnsi="宋体" w:eastAsia="宋体" w:cs="宋体"/>
          <w:sz w:val="20"/>
          <w:szCs w:val="20"/>
        </w:rPr>
        <w:t>评价日期：</w:t>
      </w:r>
    </w:p>
    <w:p w14:paraId="4ECF352D">
      <w:pPr>
        <w:spacing w:line="317" w:lineRule="auto"/>
        <w:rPr>
          <w:rFonts w:ascii="Arial"/>
          <w:sz w:val="21"/>
        </w:rPr>
      </w:pPr>
    </w:p>
    <w:p w14:paraId="62D95CF1">
      <w:pPr>
        <w:spacing w:before="65" w:line="274" w:lineRule="auto"/>
        <w:ind w:left="294" w:right="25" w:rightChars="0"/>
        <w:rPr>
          <w:rFonts w:hint="eastAsia" w:ascii="宋体" w:hAnsi="宋体" w:eastAsia="宋体" w:cs="宋体"/>
          <w:spacing w:val="7"/>
          <w:sz w:val="20"/>
          <w:szCs w:val="20"/>
          <w:lang w:eastAsia="zh-CN"/>
        </w:rPr>
      </w:pPr>
      <w:r>
        <w:rPr>
          <w:rFonts w:ascii="宋体" w:hAnsi="宋体" w:eastAsia="宋体" w:cs="宋体"/>
          <w:spacing w:val="-12"/>
          <w:sz w:val="20"/>
          <w:szCs w:val="20"/>
        </w:rPr>
        <w:t>注：1.评价小组成员不少于3人，由与服务商接触较多的部门负责人组成</w:t>
      </w:r>
      <w:r>
        <w:rPr>
          <w:rFonts w:hint="eastAsia" w:ascii="宋体" w:hAnsi="宋体" w:cs="宋体"/>
          <w:spacing w:val="-12"/>
          <w:sz w:val="20"/>
          <w:szCs w:val="20"/>
          <w:lang w:eastAsia="zh-CN"/>
        </w:rPr>
        <w:t>；</w:t>
      </w:r>
    </w:p>
    <w:p w14:paraId="3B3F0B37">
      <w:pPr>
        <w:spacing w:before="65" w:line="274" w:lineRule="auto"/>
        <w:ind w:left="294" w:right="2574" w:firstLine="372" w:firstLineChars="200"/>
        <w:rPr>
          <w:rFonts w:hint="eastAsia" w:ascii="宋体" w:hAnsi="宋体" w:eastAsia="宋体" w:cs="宋体"/>
          <w:spacing w:val="-7"/>
          <w:sz w:val="20"/>
          <w:szCs w:val="20"/>
          <w:lang w:eastAsia="zh-CN"/>
        </w:rPr>
      </w:pPr>
      <w:r>
        <w:rPr>
          <w:rFonts w:ascii="宋体" w:hAnsi="宋体" w:eastAsia="宋体" w:cs="宋体"/>
          <w:spacing w:val="-7"/>
          <w:sz w:val="20"/>
          <w:szCs w:val="20"/>
        </w:rPr>
        <w:t>2.</w:t>
      </w:r>
      <w:r>
        <w:rPr>
          <w:rFonts w:hint="eastAsia" w:ascii="宋体" w:hAnsi="宋体" w:eastAsia="宋体" w:cs="宋体"/>
          <w:spacing w:val="-7"/>
          <w:sz w:val="20"/>
          <w:szCs w:val="20"/>
        </w:rPr>
        <w:t>（1）若履约评价得分≥95分为优秀，按100%比例支付维保费用</w:t>
      </w:r>
      <w:r>
        <w:rPr>
          <w:rFonts w:hint="eastAsia" w:ascii="宋体" w:hAnsi="宋体" w:cs="宋体"/>
          <w:spacing w:val="-7"/>
          <w:sz w:val="20"/>
          <w:szCs w:val="20"/>
          <w:lang w:eastAsia="zh-CN"/>
        </w:rPr>
        <w:t>；</w:t>
      </w:r>
    </w:p>
    <w:p w14:paraId="0BDCE4A0">
      <w:pPr>
        <w:tabs>
          <w:tab w:val="left" w:pos="7780"/>
          <w:tab w:val="left" w:pos="8820"/>
        </w:tabs>
        <w:spacing w:before="65" w:line="274" w:lineRule="auto"/>
        <w:ind w:left="294" w:right="1085" w:rightChars="0" w:firstLine="558" w:firstLineChars="300"/>
        <w:rPr>
          <w:rFonts w:hint="eastAsia" w:ascii="宋体" w:hAnsi="宋体" w:eastAsia="宋体" w:cs="宋体"/>
          <w:spacing w:val="-7"/>
          <w:sz w:val="20"/>
          <w:szCs w:val="20"/>
          <w:lang w:eastAsia="zh-CN"/>
        </w:rPr>
      </w:pPr>
      <w:r>
        <w:rPr>
          <w:rFonts w:hint="eastAsia" w:ascii="宋体" w:hAnsi="宋体" w:eastAsia="宋体" w:cs="宋体"/>
          <w:spacing w:val="-7"/>
          <w:sz w:val="20"/>
          <w:szCs w:val="20"/>
        </w:rPr>
        <w:t>（2）若95分＞履约评价得分≥90为及格，按95%比例支付维保费用</w:t>
      </w:r>
      <w:r>
        <w:rPr>
          <w:rFonts w:hint="eastAsia" w:ascii="宋体" w:hAnsi="宋体" w:cs="宋体"/>
          <w:spacing w:val="-7"/>
          <w:sz w:val="20"/>
          <w:szCs w:val="20"/>
          <w:lang w:eastAsia="zh-CN"/>
        </w:rPr>
        <w:t>；</w:t>
      </w:r>
    </w:p>
    <w:p w14:paraId="0DC5FC85">
      <w:pPr>
        <w:spacing w:before="65" w:line="274" w:lineRule="auto"/>
        <w:ind w:left="294" w:right="25" w:rightChars="0" w:firstLine="558" w:firstLineChars="300"/>
        <w:rPr>
          <w:rFonts w:hint="eastAsia" w:ascii="宋体" w:hAnsi="宋体" w:eastAsia="宋体" w:cs="宋体"/>
          <w:spacing w:val="-7"/>
          <w:sz w:val="20"/>
          <w:szCs w:val="20"/>
          <w:lang w:eastAsia="zh-CN"/>
        </w:rPr>
      </w:pPr>
      <w:r>
        <w:rPr>
          <w:rFonts w:hint="eastAsia" w:ascii="宋体" w:hAnsi="宋体" w:eastAsia="宋体" w:cs="宋体"/>
          <w:spacing w:val="-7"/>
          <w:sz w:val="20"/>
          <w:szCs w:val="20"/>
        </w:rPr>
        <w:t>（3）若履约评价得分&lt;90分为不及格，按90%比例支付维保费用，乙方同时还应向甲方提交书面改进方案，经甲方认可后做出改进</w:t>
      </w:r>
      <w:r>
        <w:rPr>
          <w:rFonts w:hint="eastAsia" w:ascii="宋体" w:hAnsi="宋体" w:cs="宋体"/>
          <w:spacing w:val="-7"/>
          <w:sz w:val="20"/>
          <w:szCs w:val="20"/>
          <w:lang w:eastAsia="zh-CN"/>
        </w:rPr>
        <w:t>；</w:t>
      </w:r>
    </w:p>
    <w:p w14:paraId="4D6668C8">
      <w:pPr>
        <w:tabs>
          <w:tab w:val="left" w:pos="6300"/>
          <w:tab w:val="left" w:pos="8620"/>
        </w:tabs>
        <w:spacing w:before="65" w:line="274" w:lineRule="auto"/>
        <w:ind w:left="294" w:right="25" w:rightChars="0" w:firstLine="558" w:firstLineChars="300"/>
        <w:rPr>
          <w:rFonts w:ascii="宋体" w:hAnsi="宋体" w:eastAsia="宋体" w:cs="宋体"/>
          <w:sz w:val="20"/>
          <w:szCs w:val="20"/>
        </w:rPr>
      </w:pPr>
      <w:r>
        <w:rPr>
          <w:rFonts w:hint="eastAsia" w:ascii="宋体" w:hAnsi="宋体" w:eastAsia="宋体" w:cs="宋体"/>
          <w:spacing w:val="-7"/>
          <w:sz w:val="20"/>
          <w:szCs w:val="20"/>
        </w:rPr>
        <w:t>（4）若如连续三个季度考核分数低于90分，则甲方有权单方面取消维保单位维保资格。</w:t>
      </w:r>
    </w:p>
    <w:p w14:paraId="508D47E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3A0A00A">
      <w:pPr>
        <w:spacing w:line="560" w:lineRule="exact"/>
        <w:jc w:val="left"/>
        <w:textAlignment w:val="baseline"/>
        <w:rPr>
          <w:rFonts w:hint="eastAsia" w:ascii="宋体" w:hAnsi="宋体"/>
          <w:b/>
          <w:color w:val="000000"/>
          <w:sz w:val="44"/>
          <w:szCs w:val="44"/>
        </w:rPr>
      </w:pPr>
      <w:r>
        <w:rPr>
          <w:rFonts w:hint="eastAsia" w:ascii="黑体" w:hAnsi="黑体" w:eastAsia="黑体" w:cs="黑体"/>
          <w:sz w:val="28"/>
          <w:szCs w:val="28"/>
          <w:lang w:val="en-US" w:eastAsia="zh-CN"/>
        </w:rPr>
        <w:t>附件2</w:t>
      </w:r>
    </w:p>
    <w:p w14:paraId="707AF321">
      <w:pPr>
        <w:spacing w:line="560" w:lineRule="exact"/>
        <w:jc w:val="center"/>
        <w:textAlignment w:val="baseline"/>
        <w:rPr>
          <w:rFonts w:ascii="宋体" w:hAnsi="宋体"/>
          <w:b/>
          <w:color w:val="000000"/>
          <w:sz w:val="36"/>
          <w:szCs w:val="36"/>
        </w:rPr>
      </w:pPr>
      <w:r>
        <w:rPr>
          <w:rFonts w:hint="eastAsia" w:ascii="宋体" w:hAnsi="宋体"/>
          <w:b/>
          <w:color w:val="000000"/>
          <w:sz w:val="36"/>
          <w:szCs w:val="36"/>
        </w:rPr>
        <w:t>消防设施维修保养内容</w:t>
      </w:r>
    </w:p>
    <w:p w14:paraId="37CE263C">
      <w:pPr>
        <w:spacing w:line="560" w:lineRule="exact"/>
        <w:ind w:firstLine="964" w:firstLineChars="200"/>
        <w:jc w:val="center"/>
        <w:rPr>
          <w:b/>
          <w:sz w:val="48"/>
          <w:szCs w:val="48"/>
        </w:rPr>
      </w:pPr>
    </w:p>
    <w:p w14:paraId="365F5CD1">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乙方承担甲方本项所有消防设施维修保养工作，主要维修保养内容包括但不限于以下：</w:t>
      </w:r>
    </w:p>
    <w:p w14:paraId="7A9D9F57">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一、消火栓给水系统的维修保养</w:t>
      </w:r>
    </w:p>
    <w:p w14:paraId="0BF6BAC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检查消火栓箱体是否完好，箱体是否存在损坏现象并及时维修；</w:t>
      </w:r>
    </w:p>
    <w:p w14:paraId="1367323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检查消火栓栓头是否漏水。消防水枪与水带是否配备齐全完好；</w:t>
      </w:r>
    </w:p>
    <w:p w14:paraId="78FD3E7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检查消火栓各个闸阀和止回阀的功能是否正常和压力表是否正常并及时维修；</w:t>
      </w:r>
    </w:p>
    <w:p w14:paraId="2653468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检查消防管道是否有漏水、压力不足现象并及时维修；</w:t>
      </w:r>
    </w:p>
    <w:p w14:paraId="63C6AD3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检查屋顶试验消火栓和最不利位置消火栓进行试水试验，检测水压是否正常。</w:t>
      </w:r>
    </w:p>
    <w:p w14:paraId="57F126CC">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二、自动喷淋系统的维修保养</w:t>
      </w:r>
    </w:p>
    <w:p w14:paraId="596A42F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重点对湿式报警阀进行放水开阀试验，检测阀组是否正常，观察阀门的开启性能和密封性能，以及水力警铃、延迟器和性能是否正常，并及时维修；</w:t>
      </w:r>
    </w:p>
    <w:p w14:paraId="5C96E16E">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检查水流指示器的报警功能是否正常并及时维修；</w:t>
      </w:r>
    </w:p>
    <w:p w14:paraId="2353168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检查末端试水装置是否正常，压力表读数是否前后保持一致，是否存在漏水现象并及时维修，检查水质是否良好；</w:t>
      </w:r>
    </w:p>
    <w:p w14:paraId="4594CDAE">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检查管道有机械损伤和锈蚀，管道是否牢固，管内有无堵塞；</w:t>
      </w:r>
    </w:p>
    <w:p w14:paraId="78A3575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检查喷头完好状况，清除异物。</w:t>
      </w:r>
    </w:p>
    <w:p w14:paraId="2D5B6BBE">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三、消防水泵房的维修保养</w:t>
      </w:r>
    </w:p>
    <w:p w14:paraId="274133A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检查消防水池的水位是否保持消防用水量、水位标尺是否正常工作以及各种阀门是否处于正常状态；</w:t>
      </w:r>
    </w:p>
    <w:p w14:paraId="0B67B9D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检查水泵控制箱、电源接线点是否正常，显示屏是否正常，线路图及说明是否齐全，电压及电源表的指针是否在规定的范围内，继电器是否脱落松动，接点是否烧损，转换开关应处于自动状态；</w:t>
      </w:r>
    </w:p>
    <w:p w14:paraId="2551C9C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检查水泵运行情况，手动与自动控制是否灵活，水泵有无异常响声；</w:t>
      </w:r>
    </w:p>
    <w:p w14:paraId="4DB661C8">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水位计压表是否正常，压力表读数是否正常；</w:t>
      </w:r>
    </w:p>
    <w:p w14:paraId="68D21FF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检查消防水泵动力是否可靠，水泵能否正常运转，流量和压力能否保障；消防水泵模拟自动控制的条件启动运转1-3次；</w:t>
      </w:r>
    </w:p>
    <w:p w14:paraId="6021B05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 手动与自动控制水泵1-3次，检查信号有否反馈，水压是否上升，电机转动是否正常，有无变形、发热等状况，轴与电机连接部件是否有松动、锈蚀、变形，是否要加油，并及时维修；</w:t>
      </w:r>
    </w:p>
    <w:p w14:paraId="07777A8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 主副泵能否自动切换，启动水泵时，打开试验阀，利用流量检查压力流量与启动前各阀门的启闭状态；</w:t>
      </w:r>
    </w:p>
    <w:p w14:paraId="0DA4ADB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 检查水泵各零件是否松动、锈蚀现象并及时维修；</w:t>
      </w:r>
    </w:p>
    <w:p w14:paraId="7B91A01E">
      <w:pPr>
        <w:spacing w:line="560" w:lineRule="exact"/>
        <w:ind w:firstLine="560" w:firstLineChars="200"/>
        <w:rPr>
          <w:rFonts w:hint="default" w:ascii="仿宋_GB2312" w:hAnsi="仿宋_GB2312" w:eastAsia="仿宋_GB2312" w:cs="仿宋_GB2312"/>
          <w:lang w:val="en-US" w:eastAsia="zh-CN"/>
        </w:rPr>
      </w:pPr>
      <w:r>
        <w:rPr>
          <w:rFonts w:hint="eastAsia" w:ascii="仿宋_GB2312" w:hAnsi="仿宋_GB2312" w:eastAsia="仿宋_GB2312" w:cs="仿宋_GB2312"/>
          <w:sz w:val="28"/>
          <w:szCs w:val="28"/>
        </w:rPr>
        <w:t>9. 对设备加油和清尘以保证运行时无超出设备本身的</w:t>
      </w:r>
      <w:r>
        <w:rPr>
          <w:rFonts w:hint="eastAsia" w:ascii="仿宋_GB2312" w:hAnsi="仿宋_GB2312" w:eastAsia="仿宋_GB2312" w:cs="仿宋_GB2312"/>
          <w:sz w:val="28"/>
          <w:szCs w:val="28"/>
          <w:lang w:eastAsia="zh-CN"/>
        </w:rPr>
        <w:t>噪声</w:t>
      </w:r>
      <w:r>
        <w:rPr>
          <w:rFonts w:hint="eastAsia" w:ascii="仿宋_GB2312" w:hAnsi="仿宋_GB2312" w:eastAsia="仿宋_GB2312" w:cs="仿宋_GB2312"/>
          <w:sz w:val="28"/>
          <w:szCs w:val="28"/>
        </w:rPr>
        <w:t>。</w:t>
      </w:r>
    </w:p>
    <w:p w14:paraId="4F17FD92"/>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89B54">
    <w:pPr>
      <w:spacing w:line="173" w:lineRule="auto"/>
      <w:ind w:left="4384"/>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C730E"/>
    <w:rsid w:val="272C7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Table Text"/>
    <w:basedOn w:val="1"/>
    <w:semiHidden/>
    <w:qFormat/>
    <w:uiPriority w:val="0"/>
    <w:rPr>
      <w:rFonts w:ascii="宋体" w:hAnsi="宋体" w:eastAsia="宋体" w:cs="宋体"/>
      <w:sz w:val="19"/>
      <w:szCs w:val="19"/>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2025-09-10T09:37:00Z</dcterms:created>
  <dc:creator>陈</dc:creator>
  <cp:lastModifiedBy>陈</cp:lastModifiedBy>
  <dcterms:modified xsi:type="dcterms:W3CDTF">2025-09-10T09:37:44Z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40AD761545F74BB7B038EC1F4CD22AE3_11</vt:lpwstr>
  </property>
  <property fmtid="{D5CDD505-2E9C-101B-9397-08002B2CF9AE}" pid="4" name="KSOTemplateDocerSaveRecord">
    <vt:lpwstr>eyJoZGlkIjoiMGEwMzM4ZGRkMDRhMDE5ODk4MDA3NDI5MzIxYWU5N2UiLCJ1c2VySWQiOiIzNzA4NDI4MTAifQ==</vt:lpwstr>
  </property>
</Properties>
</file>