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CA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深圳市龙华环境有限公司龙华街道城市管家项目智能终端设备（服务）采购</w:t>
      </w:r>
      <w:r>
        <w:rPr>
          <w:rFonts w:hint="eastAsia" w:ascii="方正小标宋简体" w:hAnsi="方正小标宋简体" w:eastAsia="方正小标宋简体" w:cs="方正小标宋简体"/>
          <w:sz w:val="44"/>
          <w:szCs w:val="44"/>
          <w:highlight w:val="none"/>
        </w:rPr>
        <w:t>公开遴选</w:t>
      </w:r>
      <w:r>
        <w:rPr>
          <w:rFonts w:hint="eastAsia" w:ascii="方正小标宋简体" w:hAnsi="方正小标宋简体" w:eastAsia="方正小标宋简体" w:cs="方正小标宋简体"/>
          <w:sz w:val="44"/>
          <w:szCs w:val="44"/>
          <w:highlight w:val="none"/>
          <w:lang w:val="en-US" w:eastAsia="zh-CN"/>
        </w:rPr>
        <w:t>方案</w:t>
      </w:r>
    </w:p>
    <w:p w14:paraId="5379344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0"/>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7"/>
        <w:gridCol w:w="930"/>
        <w:gridCol w:w="90"/>
        <w:gridCol w:w="711"/>
        <w:gridCol w:w="6632"/>
      </w:tblGrid>
      <w:tr w14:paraId="19E0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5"/>
            <w:noWrap w:val="0"/>
            <w:vAlign w:val="center"/>
          </w:tcPr>
          <w:p w14:paraId="5AED4C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93300F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30分</w:t>
            </w:r>
          </w:p>
        </w:tc>
      </w:tr>
      <w:tr w14:paraId="1ED9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5"/>
            <w:noWrap w:val="0"/>
            <w:vAlign w:val="center"/>
          </w:tcPr>
          <w:p w14:paraId="3E3A5F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470EE457">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%）×100</w:t>
            </w:r>
          </w:p>
          <w:p w14:paraId="165ECD7C">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p>
          <w:p w14:paraId="513B23AF">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1367D0FD">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0551E682">
            <w:pPr>
              <w:pStyle w:val="8"/>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p>
          <w:p w14:paraId="5F1CDA5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0195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5"/>
            <w:shd w:val="clear" w:color="auto" w:fill="auto"/>
            <w:noWrap w:val="0"/>
            <w:vAlign w:val="center"/>
          </w:tcPr>
          <w:p w14:paraId="332AD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705038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34分</w:t>
            </w:r>
          </w:p>
        </w:tc>
      </w:tr>
      <w:tr w14:paraId="340C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19C230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1097" w:type="dxa"/>
            <w:gridSpan w:val="3"/>
            <w:noWrap w:val="0"/>
            <w:vAlign w:val="center"/>
          </w:tcPr>
          <w:p w14:paraId="562411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评分内容</w:t>
            </w:r>
          </w:p>
        </w:tc>
        <w:tc>
          <w:tcPr>
            <w:tcW w:w="711" w:type="dxa"/>
            <w:noWrap w:val="0"/>
            <w:vAlign w:val="center"/>
          </w:tcPr>
          <w:p w14:paraId="2E020B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权重（%）</w:t>
            </w:r>
          </w:p>
        </w:tc>
        <w:tc>
          <w:tcPr>
            <w:tcW w:w="6632" w:type="dxa"/>
            <w:noWrap w:val="0"/>
            <w:vAlign w:val="center"/>
          </w:tcPr>
          <w:p w14:paraId="2E25E7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评分细则</w:t>
            </w:r>
          </w:p>
        </w:tc>
      </w:tr>
      <w:tr w14:paraId="252C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jc w:val="center"/>
        </w:trPr>
        <w:tc>
          <w:tcPr>
            <w:tcW w:w="634" w:type="dxa"/>
            <w:noWrap w:val="0"/>
            <w:vAlign w:val="center"/>
          </w:tcPr>
          <w:p w14:paraId="71CD2E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097" w:type="dxa"/>
            <w:gridSpan w:val="3"/>
            <w:noWrap w:val="0"/>
            <w:vAlign w:val="center"/>
          </w:tcPr>
          <w:p w14:paraId="088595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企业综合实力</w:t>
            </w:r>
          </w:p>
        </w:tc>
        <w:tc>
          <w:tcPr>
            <w:tcW w:w="711" w:type="dxa"/>
            <w:noWrap w:val="0"/>
            <w:vAlign w:val="center"/>
          </w:tcPr>
          <w:p w14:paraId="3872A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5分</w:t>
            </w:r>
          </w:p>
        </w:tc>
        <w:tc>
          <w:tcPr>
            <w:tcW w:w="6632" w:type="dxa"/>
            <w:noWrap w:val="0"/>
            <w:vAlign w:val="center"/>
          </w:tcPr>
          <w:p w14:paraId="5067776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kern w:val="2"/>
                <w:sz w:val="24"/>
                <w:szCs w:val="24"/>
                <w:vertAlign w:val="baseline"/>
                <w:lang w:val="en-US" w:eastAsia="zh-CN" w:bidi="ar-SA"/>
              </w:rPr>
              <w:t>一、</w:t>
            </w:r>
            <w:r>
              <w:rPr>
                <w:rFonts w:hint="eastAsia" w:ascii="仿宋_GB2312" w:hAnsi="仿宋_GB2312" w:eastAsia="仿宋_GB2312" w:cs="仿宋_GB2312"/>
                <w:b/>
                <w:bCs/>
                <w:sz w:val="24"/>
                <w:szCs w:val="24"/>
                <w:highlight w:val="none"/>
                <w:vertAlign w:val="baseline"/>
                <w:lang w:val="en-US" w:eastAsia="zh-CN"/>
              </w:rPr>
              <w:t>评分内容：</w:t>
            </w:r>
          </w:p>
          <w:p w14:paraId="0B192FF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投标企业通过：</w:t>
            </w:r>
          </w:p>
          <w:p w14:paraId="10F4984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1.具有</w:t>
            </w:r>
            <w:r>
              <w:rPr>
                <w:rFonts w:hint="eastAsia" w:ascii="仿宋_GB2312" w:hAnsi="仿宋_GB2312" w:eastAsia="仿宋_GB2312" w:cs="仿宋_GB2312"/>
                <w:kern w:val="2"/>
                <w:sz w:val="24"/>
                <w:szCs w:val="24"/>
                <w:highlight w:val="none"/>
                <w:vertAlign w:val="baseline"/>
                <w:lang w:val="en-US" w:eastAsia="zh-CN" w:bidi="ar-SA"/>
              </w:rPr>
              <w:t>质量管理体系认证证书；</w:t>
            </w:r>
          </w:p>
          <w:p w14:paraId="24E0662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2.具有</w:t>
            </w:r>
            <w:r>
              <w:rPr>
                <w:rFonts w:hint="eastAsia" w:ascii="仿宋_GB2312" w:hAnsi="仿宋_GB2312" w:eastAsia="仿宋_GB2312" w:cs="仿宋_GB2312"/>
                <w:kern w:val="2"/>
                <w:sz w:val="24"/>
                <w:szCs w:val="24"/>
                <w:highlight w:val="none"/>
                <w:vertAlign w:val="baseline"/>
                <w:lang w:val="en-US" w:eastAsia="zh-CN" w:bidi="ar-SA"/>
              </w:rPr>
              <w:t>环境管理体系认证证书；</w:t>
            </w:r>
          </w:p>
          <w:p w14:paraId="0AF19B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r>
              <w:rPr>
                <w:rFonts w:hint="eastAsia" w:ascii="仿宋_GB2312" w:hAnsi="仿宋_GB2312" w:eastAsia="仿宋_GB2312" w:cs="仿宋_GB2312"/>
                <w:kern w:val="2"/>
                <w:sz w:val="24"/>
                <w:szCs w:val="24"/>
                <w:highlight w:val="none"/>
                <w:vertAlign w:val="baseline"/>
                <w:lang w:val="en-US" w:eastAsia="zh-CN" w:bidi="ar-SA"/>
              </w:rPr>
              <w:t>具有职业健康安全管理体系认证证书；</w:t>
            </w:r>
          </w:p>
          <w:p w14:paraId="63488E8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kern w:val="2"/>
                <w:sz w:val="24"/>
                <w:szCs w:val="24"/>
                <w:highlight w:val="none"/>
                <w:vertAlign w:val="baseline"/>
                <w:lang w:val="en-US" w:eastAsia="zh-CN" w:bidi="ar-SA"/>
              </w:rPr>
              <w:t>4.</w:t>
            </w:r>
            <w:r>
              <w:rPr>
                <w:rFonts w:hint="eastAsia" w:ascii="仿宋_GB2312" w:hAnsi="仿宋_GB2312" w:eastAsia="仿宋_GB2312" w:cs="仿宋_GB2312"/>
                <w:bCs/>
                <w:snapToGrid w:val="0"/>
                <w:color w:val="auto"/>
                <w:sz w:val="24"/>
                <w:highlight w:val="none"/>
              </w:rPr>
              <w:t>具有</w:t>
            </w:r>
            <w:r>
              <w:rPr>
                <w:rFonts w:hint="eastAsia" w:ascii="仿宋_GB2312" w:hAnsi="仿宋_GB2312" w:eastAsia="仿宋_GB2312" w:cs="仿宋_GB2312"/>
                <w:bCs/>
                <w:snapToGrid w:val="0"/>
                <w:color w:val="auto"/>
                <w:sz w:val="24"/>
                <w:highlight w:val="none"/>
                <w:lang w:val="en-US" w:eastAsia="zh-CN"/>
              </w:rPr>
              <w:t>售后服务认证证书</w:t>
            </w:r>
            <w:r>
              <w:rPr>
                <w:rFonts w:hint="eastAsia" w:ascii="仿宋_GB2312" w:hAnsi="仿宋_GB2312" w:eastAsia="仿宋_GB2312" w:cs="仿宋_GB2312"/>
                <w:bCs/>
                <w:snapToGrid w:val="0"/>
                <w:color w:val="auto"/>
                <w:sz w:val="24"/>
                <w:highlight w:val="none"/>
                <w:lang w:eastAsia="zh-CN"/>
              </w:rPr>
              <w:t>；</w:t>
            </w:r>
          </w:p>
          <w:p w14:paraId="386714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5.具有知识产权管理体系认证证书</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kern w:val="2"/>
                <w:sz w:val="24"/>
                <w:szCs w:val="24"/>
                <w:highlight w:val="none"/>
                <w:vertAlign w:val="baseline"/>
                <w:lang w:val="en-US" w:eastAsia="zh-CN" w:bidi="ar-SA"/>
              </w:rPr>
              <w:br w:type="textWrapping"/>
            </w:r>
            <w:r>
              <w:rPr>
                <w:rFonts w:hint="eastAsia" w:ascii="仿宋_GB2312" w:hAnsi="仿宋_GB2312" w:eastAsia="仿宋_GB2312" w:cs="仿宋_GB2312"/>
                <w:kern w:val="2"/>
                <w:sz w:val="24"/>
                <w:szCs w:val="24"/>
                <w:highlight w:val="none"/>
                <w:vertAlign w:val="baseline"/>
                <w:lang w:val="en-US" w:eastAsia="zh-CN" w:bidi="ar-SA"/>
              </w:rPr>
              <w:t xml:space="preserve">    每提供一项证书得1分，以上证书全部提供得5分；（须提供清晰扫描件附于投标文件并加盖投标人的公章，否则不得分）。</w:t>
            </w:r>
          </w:p>
          <w:p w14:paraId="0C9B122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二、评分依据：</w:t>
            </w:r>
          </w:p>
          <w:p w14:paraId="264B5FC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投标人须提供有效的清晰扫描件附于投标文件并加盖投标人的公章。</w:t>
            </w:r>
          </w:p>
        </w:tc>
      </w:tr>
      <w:tr w14:paraId="0012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64E555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097" w:type="dxa"/>
            <w:gridSpan w:val="3"/>
            <w:noWrap w:val="0"/>
            <w:vAlign w:val="center"/>
          </w:tcPr>
          <w:p w14:paraId="361FE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_GB2312" w:hAnsi="仿宋_GB2312" w:eastAsia="仿宋_GB2312" w:cs="仿宋_GB2312"/>
                <w:bCs/>
                <w:snapToGrid w:val="0"/>
                <w:color w:val="auto"/>
                <w:sz w:val="24"/>
                <w:highlight w:val="none"/>
                <w:lang w:val="en-US" w:eastAsia="zh-CN"/>
              </w:rPr>
              <w:t>同类</w:t>
            </w:r>
            <w:r>
              <w:rPr>
                <w:rFonts w:hint="eastAsia" w:ascii="仿宋_GB2312" w:hAnsi="仿宋_GB2312" w:eastAsia="仿宋_GB2312" w:cs="仿宋_GB2312"/>
                <w:bCs/>
                <w:snapToGrid w:val="0"/>
                <w:color w:val="auto"/>
                <w:sz w:val="24"/>
                <w:highlight w:val="none"/>
              </w:rPr>
              <w:t>业绩</w:t>
            </w:r>
          </w:p>
        </w:tc>
        <w:tc>
          <w:tcPr>
            <w:tcW w:w="711" w:type="dxa"/>
            <w:noWrap w:val="0"/>
            <w:vAlign w:val="center"/>
          </w:tcPr>
          <w:p w14:paraId="08AF70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10分</w:t>
            </w:r>
          </w:p>
        </w:tc>
        <w:tc>
          <w:tcPr>
            <w:tcW w:w="6632" w:type="dxa"/>
            <w:noWrap w:val="0"/>
            <w:vAlign w:val="center"/>
          </w:tcPr>
          <w:p w14:paraId="12D9FDA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186CE2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人近三年内（自2022年9月1日至投标截止日，以合同签订时间为准）承担过同类项目业绩（同类项目是指本项目相关的智能终端设备供应或服务合同），以客户为单位，每提供1个服务客户单位业绩案例得2.5分，本项满分得10分，有效合同业绩需提供4项，超过4项的只取前4项。</w:t>
            </w:r>
            <w:r>
              <w:rPr>
                <w:rFonts w:hint="eastAsia" w:ascii="仿宋_GB2312" w:hAnsi="仿宋_GB2312" w:eastAsia="仿宋_GB2312" w:cs="仿宋_GB2312"/>
                <w:sz w:val="24"/>
                <w:szCs w:val="24"/>
                <w:highlight w:val="none"/>
                <w:vertAlign w:val="baseline"/>
                <w:lang w:val="en-US" w:eastAsia="zh-CN"/>
              </w:rPr>
              <w:br w:type="textWrapping"/>
            </w:r>
            <w:r>
              <w:rPr>
                <w:rFonts w:hint="eastAsia" w:ascii="仿宋_GB2312" w:hAnsi="仿宋_GB2312" w:eastAsia="仿宋_GB2312" w:cs="仿宋_GB2312"/>
                <w:b/>
                <w:bCs/>
                <w:kern w:val="2"/>
                <w:sz w:val="24"/>
                <w:szCs w:val="24"/>
                <w:highlight w:val="none"/>
                <w:vertAlign w:val="baseline"/>
                <w:lang w:val="en-US" w:eastAsia="zh-CN" w:bidi="ar-SA"/>
              </w:rPr>
              <w:t>二、</w:t>
            </w:r>
            <w:r>
              <w:rPr>
                <w:rFonts w:hint="eastAsia" w:ascii="仿宋_GB2312" w:hAnsi="仿宋_GB2312" w:eastAsia="仿宋_GB2312" w:cs="仿宋_GB2312"/>
                <w:b/>
                <w:bCs/>
                <w:sz w:val="24"/>
                <w:szCs w:val="24"/>
                <w:highlight w:val="none"/>
                <w:vertAlign w:val="baseline"/>
                <w:lang w:val="en-US" w:eastAsia="zh-CN"/>
              </w:rPr>
              <w:t>评分依据：</w:t>
            </w:r>
          </w:p>
          <w:p w14:paraId="0C03316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 w:hAnsi="仿宋" w:eastAsia="仿宋" w:cs="仿宋"/>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无提供这些证明文件不得分。</w:t>
            </w:r>
          </w:p>
        </w:tc>
      </w:tr>
      <w:tr w14:paraId="6B23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shd w:val="clear" w:color="auto" w:fill="auto"/>
            <w:noWrap w:val="0"/>
            <w:vAlign w:val="center"/>
          </w:tcPr>
          <w:p w14:paraId="0ED7A3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3</w:t>
            </w:r>
          </w:p>
        </w:tc>
        <w:tc>
          <w:tcPr>
            <w:tcW w:w="1097" w:type="dxa"/>
            <w:gridSpan w:val="3"/>
            <w:shd w:val="clear" w:color="auto" w:fill="auto"/>
            <w:noWrap w:val="0"/>
            <w:vAlign w:val="center"/>
          </w:tcPr>
          <w:p w14:paraId="2D9082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应急服务方案</w:t>
            </w:r>
          </w:p>
        </w:tc>
        <w:tc>
          <w:tcPr>
            <w:tcW w:w="711" w:type="dxa"/>
            <w:shd w:val="clear" w:color="auto" w:fill="auto"/>
            <w:noWrap w:val="0"/>
            <w:vAlign w:val="center"/>
          </w:tcPr>
          <w:p w14:paraId="1EE634D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4分</w:t>
            </w:r>
          </w:p>
        </w:tc>
        <w:tc>
          <w:tcPr>
            <w:tcW w:w="6632" w:type="dxa"/>
            <w:shd w:val="clear" w:color="auto" w:fill="auto"/>
            <w:noWrap w:val="0"/>
            <w:vAlign w:val="center"/>
          </w:tcPr>
          <w:p w14:paraId="1CF357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6F74F78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针对城市管家履约监管以及市考核要求，提供系统数据稳定的应急服务，并承诺做到；</w:t>
            </w:r>
          </w:p>
          <w:p w14:paraId="6C31323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1.1小时响应，2小时到达现场，12小时进行维修或更换，得4分：</w:t>
            </w:r>
          </w:p>
          <w:p w14:paraId="75BFC87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2.2小时响应，4小时到达现场，24小时进行维修或更换，得2分；</w:t>
            </w:r>
          </w:p>
          <w:p w14:paraId="5B5DC01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3.3小时响应，6小时到达现场，36小时进行维修或更换，得1分；</w:t>
            </w:r>
          </w:p>
          <w:p w14:paraId="753E3D7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不可累计得分，本项最高得9分</w:t>
            </w:r>
          </w:p>
          <w:p w14:paraId="61D6805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2A696B9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 w:hAnsi="仿宋" w:eastAsia="仿宋" w:cs="仿宋"/>
                <w:kern w:val="2"/>
                <w:sz w:val="21"/>
                <w:szCs w:val="24"/>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格式自拟。</w:t>
            </w:r>
          </w:p>
        </w:tc>
      </w:tr>
      <w:tr w14:paraId="3DFA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shd w:val="clear" w:color="auto" w:fill="auto"/>
            <w:noWrap w:val="0"/>
            <w:vAlign w:val="center"/>
          </w:tcPr>
          <w:p w14:paraId="3C7A38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4</w:t>
            </w:r>
          </w:p>
        </w:tc>
        <w:tc>
          <w:tcPr>
            <w:tcW w:w="1097" w:type="dxa"/>
            <w:gridSpan w:val="3"/>
            <w:shd w:val="clear" w:color="auto" w:fill="auto"/>
            <w:noWrap w:val="0"/>
            <w:vAlign w:val="center"/>
          </w:tcPr>
          <w:p w14:paraId="28E490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运维服务方案</w:t>
            </w:r>
          </w:p>
        </w:tc>
        <w:tc>
          <w:tcPr>
            <w:tcW w:w="711" w:type="dxa"/>
            <w:shd w:val="clear" w:color="auto" w:fill="auto"/>
            <w:noWrap w:val="0"/>
            <w:vAlign w:val="center"/>
          </w:tcPr>
          <w:p w14:paraId="2D37BD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15分</w:t>
            </w:r>
          </w:p>
        </w:tc>
        <w:tc>
          <w:tcPr>
            <w:tcW w:w="6632" w:type="dxa"/>
            <w:shd w:val="clear" w:color="auto" w:fill="auto"/>
            <w:noWrap w:val="0"/>
            <w:vAlign w:val="center"/>
          </w:tcPr>
          <w:p w14:paraId="2F23E34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4A89201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 xml:space="preserve">（一）投标人提供智能终端设备配套服务方案，包括以下内容：每包括一项得1分，最高得5分：    </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Cs/>
                <w:snapToGrid w:val="0"/>
                <w:color w:val="auto"/>
                <w:sz w:val="24"/>
                <w:highlight w:val="none"/>
                <w:lang w:val="en-US" w:eastAsia="zh-CN"/>
              </w:rPr>
              <w:t xml:space="preserve">    1.安全生产管理；</w:t>
            </w:r>
          </w:p>
          <w:p w14:paraId="3B61F3E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2.服务流程规范；</w:t>
            </w:r>
          </w:p>
          <w:p w14:paraId="7BEA4AB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3.质量检验措施；</w:t>
            </w:r>
          </w:p>
          <w:p w14:paraId="1C0BD14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4.智能终端设备售后服务方案；</w:t>
            </w:r>
          </w:p>
          <w:p w14:paraId="56B94821">
            <w:pPr>
              <w:keepNext w:val="0"/>
              <w:keepLines w:val="0"/>
              <w:pageBreakBefore w:val="0"/>
              <w:widowControl w:val="0"/>
              <w:kinsoku/>
              <w:wordWrap/>
              <w:overflowPunct/>
              <w:topLinePunct w:val="0"/>
              <w:autoSpaceDE/>
              <w:autoSpaceDN/>
              <w:bidi w:val="0"/>
              <w:adjustRightInd/>
              <w:snapToGrid/>
              <w:spacing w:line="320" w:lineRule="exact"/>
              <w:ind w:left="239" w:leftChars="114" w:firstLine="240" w:firstLineChars="1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5.应急处理措施。</w:t>
            </w:r>
          </w:p>
          <w:p w14:paraId="6F05981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（二）在此基础上，评委针对各投标人提供的运维服务方案进行进阶评审：（此项满分10分）</w:t>
            </w:r>
          </w:p>
          <w:p w14:paraId="605C5FD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Cs/>
                <w:snapToGrid w:val="0"/>
                <w:color w:val="auto"/>
                <w:sz w:val="24"/>
                <w:highlight w:val="none"/>
                <w:lang w:val="en-US" w:eastAsia="zh-CN"/>
              </w:rPr>
              <w:t>针对安全生产管理制度、业务流程操作、质量保障措施等方面进行横向比较，评价为优，得9-10分；良，得7-8分；中，得4-6分；差，得1-3分。</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
                <w:bCs/>
                <w:kern w:val="2"/>
                <w:sz w:val="24"/>
                <w:szCs w:val="24"/>
                <w:vertAlign w:val="baseline"/>
                <w:lang w:val="en-US" w:eastAsia="zh-CN" w:bidi="ar-SA"/>
              </w:rPr>
              <w:t>二、评分依据：</w:t>
            </w:r>
          </w:p>
          <w:p w14:paraId="1C93B4C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both"/>
              <w:textAlignment w:val="auto"/>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投标人自拟方案，未提供方案或专家无法凭所提供资料判断是否得分的情况，一律做不得分处理。</w:t>
            </w:r>
          </w:p>
        </w:tc>
      </w:tr>
      <w:tr w14:paraId="19C7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5"/>
            <w:noWrap w:val="0"/>
            <w:vAlign w:val="center"/>
          </w:tcPr>
          <w:p w14:paraId="292C1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5FBBC5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36分</w:t>
            </w:r>
          </w:p>
        </w:tc>
      </w:tr>
      <w:tr w14:paraId="5258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1" w:type="dxa"/>
            <w:gridSpan w:val="2"/>
            <w:noWrap w:val="0"/>
            <w:vAlign w:val="center"/>
          </w:tcPr>
          <w:p w14:paraId="7DA488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sz w:val="24"/>
                <w:szCs w:val="24"/>
                <w:highlight w:val="none"/>
                <w:vertAlign w:val="baseline"/>
                <w:lang w:val="en-US" w:eastAsia="zh-CN"/>
              </w:rPr>
              <w:t>1</w:t>
            </w:r>
          </w:p>
        </w:tc>
        <w:tc>
          <w:tcPr>
            <w:tcW w:w="930" w:type="dxa"/>
            <w:shd w:val="clear" w:color="auto" w:fill="auto"/>
            <w:noWrap w:val="0"/>
            <w:vAlign w:val="center"/>
          </w:tcPr>
          <w:p w14:paraId="4A7D5D9A">
            <w:pPr>
              <w:spacing w:line="400" w:lineRule="exact"/>
              <w:jc w:val="center"/>
              <w:rPr>
                <w:rFonts w:hint="eastAsia"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kern w:val="2"/>
                <w:sz w:val="24"/>
                <w:szCs w:val="24"/>
                <w:highlight w:val="none"/>
                <w:lang w:val="en-US" w:eastAsia="zh-CN" w:bidi="ar-SA"/>
              </w:rPr>
              <w:t>拟安排的项目团队情况</w:t>
            </w:r>
          </w:p>
        </w:tc>
        <w:tc>
          <w:tcPr>
            <w:tcW w:w="801" w:type="dxa"/>
            <w:gridSpan w:val="2"/>
            <w:shd w:val="clear" w:color="auto" w:fill="auto"/>
            <w:noWrap w:val="0"/>
            <w:vAlign w:val="center"/>
          </w:tcPr>
          <w:p w14:paraId="55D767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9分</w:t>
            </w:r>
          </w:p>
        </w:tc>
        <w:tc>
          <w:tcPr>
            <w:tcW w:w="6632" w:type="dxa"/>
            <w:shd w:val="clear" w:color="auto" w:fill="auto"/>
            <w:noWrap w:val="0"/>
            <w:vAlign w:val="center"/>
          </w:tcPr>
          <w:p w14:paraId="18A21C8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一、评分内容：</w:t>
            </w:r>
          </w:p>
          <w:p w14:paraId="18AFEAF1">
            <w:pPr>
              <w:keepNext w:val="0"/>
              <w:keepLines w:val="0"/>
              <w:widowControl/>
              <w:suppressLineNumbers w:val="0"/>
              <w:jc w:val="left"/>
            </w:pPr>
            <w:r>
              <w:rPr>
                <w:rFonts w:hint="eastAsia" w:ascii="仿宋_GB2312" w:hAnsi="仿宋_GB2312" w:eastAsia="仿宋_GB2312" w:cs="仿宋_GB2312"/>
                <w:bCs/>
                <w:snapToGrid w:val="0"/>
                <w:color w:val="auto"/>
                <w:sz w:val="24"/>
                <w:highlight w:val="none"/>
                <w:lang w:val="en-US" w:eastAsia="zh-CN"/>
              </w:rPr>
              <w:t>拟安排的项目团队人员需为投标人自有员工，否则本项不得分，在此基础上：</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Cs/>
                <w:snapToGrid w:val="0"/>
                <w:color w:val="auto"/>
                <w:sz w:val="24"/>
                <w:highlight w:val="none"/>
                <w:lang w:val="en-US" w:eastAsia="zh-CN"/>
              </w:rPr>
              <w:t xml:space="preserve">  </w:t>
            </w:r>
            <w:r>
              <w:rPr>
                <w:rFonts w:hint="eastAsia" w:ascii="仿宋_GB2312" w:hAnsi="仿宋_GB2312" w:eastAsia="仿宋_GB2312" w:cs="仿宋_GB2312"/>
                <w:b/>
                <w:bCs/>
                <w:kern w:val="2"/>
                <w:sz w:val="24"/>
                <w:szCs w:val="24"/>
                <w:vertAlign w:val="baseline"/>
                <w:lang w:val="en-US" w:eastAsia="zh-CN" w:bidi="ar-SA"/>
              </w:rPr>
              <w:t xml:space="preserve">  （一）项目负责人（限1人，最高得5分）：</w:t>
            </w:r>
          </w:p>
          <w:p w14:paraId="53353A1B">
            <w:pPr>
              <w:keepNext w:val="0"/>
              <w:keepLines w:val="0"/>
              <w:widowControl/>
              <w:suppressLineNumbers w:val="0"/>
              <w:ind w:firstLine="480" w:firstLineChars="200"/>
              <w:jc w:val="left"/>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1.具有行政机关或事业单位颁发的计算机技术与软件专业技术资格证书，级别“高级”得2分。“中级”得1分，“初级”得0.5分；</w:t>
            </w:r>
            <w:r>
              <w:rPr>
                <w:rFonts w:hint="eastAsia" w:ascii="仿宋_GB2312" w:hAnsi="仿宋_GB2312" w:eastAsia="仿宋_GB2312" w:cs="仿宋_GB2312"/>
                <w:bCs/>
                <w:snapToGrid w:val="0"/>
                <w:color w:val="auto"/>
                <w:sz w:val="24"/>
                <w:highlight w:val="none"/>
                <w:lang w:eastAsia="zh-CN"/>
              </w:rPr>
              <w:t>此项不累计计分，仅计算最高</w:t>
            </w:r>
            <w:r>
              <w:rPr>
                <w:rFonts w:hint="eastAsia" w:ascii="仿宋_GB2312" w:hAnsi="仿宋_GB2312" w:eastAsia="仿宋_GB2312" w:cs="仿宋_GB2312"/>
                <w:bCs/>
                <w:snapToGrid w:val="0"/>
                <w:color w:val="auto"/>
                <w:sz w:val="24"/>
                <w:highlight w:val="none"/>
                <w:lang w:val="en-US" w:eastAsia="zh-CN"/>
              </w:rPr>
              <w:t>级别</w:t>
            </w:r>
            <w:r>
              <w:rPr>
                <w:rFonts w:hint="eastAsia" w:ascii="仿宋_GB2312" w:hAnsi="仿宋_GB2312" w:eastAsia="仿宋_GB2312" w:cs="仿宋_GB2312"/>
                <w:bCs/>
                <w:snapToGrid w:val="0"/>
                <w:color w:val="auto"/>
                <w:sz w:val="24"/>
                <w:highlight w:val="none"/>
                <w:lang w:eastAsia="zh-CN"/>
              </w:rPr>
              <w:t>，此单项最高得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w:t>
            </w:r>
          </w:p>
          <w:p w14:paraId="4BC27F81">
            <w:pPr>
              <w:numPr>
                <w:ilvl w:val="0"/>
                <w:numId w:val="0"/>
              </w:numPr>
              <w:spacing w:line="400" w:lineRule="exact"/>
              <w:ind w:firstLine="480" w:firstLineChars="200"/>
              <w:jc w:val="left"/>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kern w:val="2"/>
                <w:sz w:val="24"/>
                <w:szCs w:val="24"/>
                <w:lang w:val="en-US" w:eastAsia="zh-CN" w:bidi="ar-SA"/>
              </w:rPr>
              <w:t>2.具有行政机关或事业单位颁发的信息安全保障人员认证证书，</w:t>
            </w:r>
            <w:r>
              <w:rPr>
                <w:rFonts w:hint="eastAsia" w:ascii="仿宋_GB2312" w:hAnsi="仿宋_GB2312" w:eastAsia="仿宋_GB2312" w:cs="仿宋_GB2312"/>
                <w:bCs/>
                <w:snapToGrid w:val="0"/>
                <w:color w:val="auto"/>
                <w:sz w:val="24"/>
                <w:highlight w:val="none"/>
                <w:lang w:val="en-US" w:eastAsia="zh-CN"/>
              </w:rPr>
              <w:t>得1分；</w:t>
            </w:r>
          </w:p>
          <w:p w14:paraId="526607CF">
            <w:pPr>
              <w:numPr>
                <w:ilvl w:val="0"/>
                <w:numId w:val="0"/>
              </w:numPr>
              <w:spacing w:line="400" w:lineRule="exact"/>
              <w:ind w:firstLine="480" w:firstLineChars="200"/>
              <w:jc w:val="left"/>
              <w:rPr>
                <w:rFonts w:hint="eastAsia" w:ascii="仿宋_GB2312" w:hAnsi="仿宋_GB2312" w:eastAsia="仿宋_GB2312" w:cs="仿宋_GB2312"/>
                <w:bCs/>
                <w:snapToGrid w:val="0"/>
                <w:color w:val="auto"/>
                <w:sz w:val="24"/>
                <w:highlight w:val="none"/>
                <w:lang w:eastAsia="zh-CN"/>
              </w:rPr>
            </w:pPr>
            <w:r>
              <w:rPr>
                <w:rFonts w:hint="eastAsia" w:ascii="仿宋_GB2312" w:hAnsi="仿宋_GB2312" w:eastAsia="仿宋_GB2312" w:cs="仿宋_GB2312"/>
                <w:bCs/>
                <w:snapToGrid w:val="0"/>
                <w:color w:val="auto"/>
                <w:sz w:val="24"/>
                <w:highlight w:val="none"/>
                <w:lang w:val="en-US" w:eastAsia="zh-CN"/>
              </w:rPr>
              <w:t>3.具有工信部门颁发的人工智能类专业职称证书，级别“中级（或以上）”得1分，级别“初级”得0.5分；</w:t>
            </w:r>
          </w:p>
          <w:p w14:paraId="1D695EB8">
            <w:pPr>
              <w:keepNext w:val="0"/>
              <w:keepLines w:val="0"/>
              <w:widowControl/>
              <w:suppressLineNumbers w:val="0"/>
              <w:ind w:firstLine="480" w:firstLineChars="200"/>
              <w:jc w:val="left"/>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4.具有工信部门颁发的网络技术工程师证书，级别“高级”得2分，“中级”得1分</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lang w:eastAsia="zh-CN"/>
              </w:rPr>
              <w:br w:type="textWrapping"/>
            </w:r>
            <w:r>
              <w:rPr>
                <w:rFonts w:hint="eastAsia" w:ascii="仿宋_GB2312" w:hAnsi="仿宋_GB2312" w:eastAsia="仿宋_GB2312" w:cs="仿宋_GB2312"/>
                <w:bCs/>
                <w:snapToGrid w:val="0"/>
                <w:color w:val="auto"/>
                <w:sz w:val="24"/>
                <w:highlight w:val="none"/>
                <w:lang w:val="en-US" w:eastAsia="zh-CN"/>
              </w:rPr>
              <w:t xml:space="preserve">    </w:t>
            </w:r>
            <w:r>
              <w:rPr>
                <w:rFonts w:hint="eastAsia" w:ascii="仿宋_GB2312" w:hAnsi="仿宋_GB2312" w:eastAsia="仿宋_GB2312" w:cs="仿宋_GB2312"/>
                <w:b/>
                <w:bCs/>
                <w:kern w:val="2"/>
                <w:sz w:val="24"/>
                <w:szCs w:val="24"/>
                <w:vertAlign w:val="baseline"/>
                <w:lang w:val="en-US" w:eastAsia="zh-CN" w:bidi="ar-SA"/>
              </w:rPr>
              <w:t>（二）技术负责人（限1人，最高得4分）</w:t>
            </w:r>
            <w:r>
              <w:rPr>
                <w:rFonts w:hint="eastAsia" w:ascii="仿宋_GB2312" w:hAnsi="仿宋_GB2312" w:eastAsia="仿宋_GB2312" w:cs="仿宋_GB2312"/>
                <w:b/>
                <w:bCs/>
                <w:kern w:val="2"/>
                <w:sz w:val="24"/>
                <w:szCs w:val="24"/>
                <w:vertAlign w:val="baseline"/>
                <w:lang w:val="en-US" w:eastAsia="zh-CN" w:bidi="ar-SA"/>
              </w:rPr>
              <w:br w:type="textWrapping"/>
            </w:r>
            <w:r>
              <w:rPr>
                <w:rFonts w:hint="eastAsia" w:ascii="仿宋_GB2312" w:hAnsi="仿宋_GB2312" w:eastAsia="仿宋_GB2312" w:cs="仿宋_GB2312"/>
                <w:b/>
                <w:bCs/>
                <w:kern w:val="2"/>
                <w:sz w:val="24"/>
                <w:szCs w:val="24"/>
                <w:vertAlign w:val="baseline"/>
                <w:lang w:val="en-US" w:eastAsia="zh-CN" w:bidi="ar-SA"/>
              </w:rPr>
              <w:t xml:space="preserve">   </w:t>
            </w:r>
            <w:r>
              <w:rPr>
                <w:rFonts w:hint="eastAsia" w:ascii="仿宋_GB2312" w:hAnsi="仿宋_GB2312" w:eastAsia="仿宋_GB2312" w:cs="仿宋_GB2312"/>
                <w:bCs/>
                <w:snapToGrid w:val="0"/>
                <w:color w:val="auto"/>
                <w:sz w:val="24"/>
                <w:highlight w:val="none"/>
                <w:lang w:val="en-US" w:eastAsia="zh-CN"/>
              </w:rPr>
              <w:t xml:space="preserve"> 1.具有行政机关或事业单位颁发的中级或以上工程师证书，得1分；</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仿宋_GB2312" w:hAnsi="仿宋_GB2312" w:eastAsia="仿宋_GB2312" w:cs="仿宋_GB2312"/>
                <w:bCs/>
                <w:snapToGrid w:val="0"/>
                <w:color w:val="auto"/>
                <w:sz w:val="24"/>
                <w:highlight w:val="none"/>
                <w:lang w:val="en-US" w:eastAsia="zh-CN"/>
              </w:rPr>
              <w:t xml:space="preserve">    2.具有工信部门颁发智能化系统集成项目经理证书，级别“高级”得2分。“中级”得1分，“初级”得0.5分；</w:t>
            </w:r>
            <w:r>
              <w:rPr>
                <w:rFonts w:hint="eastAsia" w:ascii="仿宋_GB2312" w:hAnsi="仿宋_GB2312" w:eastAsia="仿宋_GB2312" w:cs="仿宋_GB2312"/>
                <w:bCs/>
                <w:snapToGrid w:val="0"/>
                <w:color w:val="auto"/>
                <w:sz w:val="24"/>
                <w:highlight w:val="none"/>
                <w:lang w:eastAsia="zh-CN"/>
              </w:rPr>
              <w:t>此项不累计计分，仅计算最高</w:t>
            </w:r>
            <w:r>
              <w:rPr>
                <w:rFonts w:hint="eastAsia" w:ascii="仿宋_GB2312" w:hAnsi="仿宋_GB2312" w:eastAsia="仿宋_GB2312" w:cs="仿宋_GB2312"/>
                <w:bCs/>
                <w:snapToGrid w:val="0"/>
                <w:color w:val="auto"/>
                <w:sz w:val="24"/>
                <w:highlight w:val="none"/>
                <w:lang w:val="en-US" w:eastAsia="zh-CN"/>
              </w:rPr>
              <w:t>级别</w:t>
            </w:r>
            <w:r>
              <w:rPr>
                <w:rFonts w:hint="eastAsia" w:ascii="仿宋_GB2312" w:hAnsi="仿宋_GB2312" w:eastAsia="仿宋_GB2312" w:cs="仿宋_GB2312"/>
                <w:bCs/>
                <w:snapToGrid w:val="0"/>
                <w:color w:val="auto"/>
                <w:sz w:val="24"/>
                <w:highlight w:val="none"/>
                <w:lang w:eastAsia="zh-CN"/>
              </w:rPr>
              <w:t>，此单项最高得</w:t>
            </w:r>
            <w:r>
              <w:rPr>
                <w:rFonts w:hint="eastAsia" w:ascii="仿宋_GB2312" w:hAnsi="仿宋_GB2312" w:eastAsia="仿宋_GB2312" w:cs="仿宋_GB2312"/>
                <w:bCs/>
                <w:snapToGrid w:val="0"/>
                <w:color w:val="auto"/>
                <w:sz w:val="24"/>
                <w:highlight w:val="none"/>
                <w:lang w:val="en-US" w:eastAsia="zh-CN"/>
              </w:rPr>
              <w:t>2</w:t>
            </w:r>
            <w:r>
              <w:rPr>
                <w:rFonts w:hint="eastAsia" w:ascii="仿宋_GB2312" w:hAnsi="仿宋_GB2312" w:eastAsia="仿宋_GB2312" w:cs="仿宋_GB2312"/>
                <w:bCs/>
                <w:snapToGrid w:val="0"/>
                <w:color w:val="auto"/>
                <w:sz w:val="24"/>
                <w:highlight w:val="none"/>
                <w:lang w:eastAsia="zh-CN"/>
              </w:rPr>
              <w:t>分。</w:t>
            </w:r>
          </w:p>
          <w:p w14:paraId="1FEFFCB8">
            <w:pPr>
              <w:numPr>
                <w:ilvl w:val="0"/>
                <w:numId w:val="0"/>
              </w:numPr>
              <w:spacing w:line="400" w:lineRule="exact"/>
              <w:ind w:firstLine="480" w:firstLineChars="200"/>
              <w:jc w:val="left"/>
              <w:rPr>
                <w:rFonts w:hint="default" w:ascii="仿宋_GB2312" w:hAnsi="仿宋_GB2312" w:eastAsia="仿宋_GB2312" w:cs="仿宋_GB2312"/>
                <w:bCs/>
                <w:snapToGrid w:val="0"/>
                <w:color w:val="auto"/>
                <w:sz w:val="24"/>
                <w:highlight w:val="none"/>
                <w:lang w:val="en-US" w:eastAsia="zh-CN"/>
              </w:rPr>
            </w:pPr>
            <w:r>
              <w:rPr>
                <w:rFonts w:hint="eastAsia" w:ascii="仿宋_GB2312" w:hAnsi="仿宋_GB2312" w:eastAsia="仿宋_GB2312" w:cs="仿宋_GB2312"/>
                <w:bCs/>
                <w:snapToGrid w:val="0"/>
                <w:color w:val="auto"/>
                <w:sz w:val="24"/>
                <w:highlight w:val="none"/>
                <w:lang w:val="en-US" w:eastAsia="zh-CN"/>
              </w:rPr>
              <w:t>3.具有行政机关或事业单位颁发的注册信息安全工程师证书，得1分。</w:t>
            </w:r>
          </w:p>
          <w:p w14:paraId="68E5CCFB">
            <w:pPr>
              <w:spacing w:line="400" w:lineRule="exact"/>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kern w:val="2"/>
                <w:sz w:val="24"/>
                <w:szCs w:val="24"/>
                <w:vertAlign w:val="baseline"/>
                <w:lang w:val="en-US" w:eastAsia="zh-CN" w:bidi="ar-SA"/>
              </w:rPr>
              <w:t>二、评分依据：</w:t>
            </w:r>
          </w:p>
          <w:p w14:paraId="1521EB26">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1.拟安排的项目负责人需为投标人自有员工，提供相关人员开标日前由投标人为其缴交的载有政府部门公章的近1年社保缴交证明材料，如开标日上一个月的社保材料因政府部门原因暂时无法取得，则可以往前顺延一个月；社保资料必须至少显示缴交医疗保险信息，未显示该信息的该社保资料则不符合要求，原件备查。</w:t>
            </w:r>
          </w:p>
          <w:p w14:paraId="2AF5EFAD">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bCs/>
                <w:snapToGrid w:val="0"/>
                <w:color w:val="auto"/>
                <w:sz w:val="24"/>
                <w:highlight w:val="none"/>
              </w:rPr>
              <w:t>2.</w:t>
            </w:r>
            <w:r>
              <w:rPr>
                <w:rFonts w:hint="eastAsia" w:ascii="仿宋_GB2312" w:hAnsi="仿宋_GB2312" w:eastAsia="仿宋_GB2312" w:cs="仿宋_GB2312"/>
                <w:kern w:val="2"/>
                <w:sz w:val="24"/>
                <w:szCs w:val="24"/>
                <w:highlight w:val="none"/>
                <w:vertAlign w:val="baseline"/>
                <w:lang w:val="en-US" w:eastAsia="zh-CN" w:bidi="ar-SA"/>
              </w:rPr>
              <w:t>资质类职称提供清晰扫描件附于投标文件并加盖投标人的公章。</w:t>
            </w:r>
          </w:p>
          <w:p w14:paraId="5A7BF239">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textAlignment w:val="auto"/>
              <w:rPr>
                <w:rFonts w:hint="eastAsia" w:ascii="仿宋_GB2312" w:hAnsi="仿宋_GB2312" w:eastAsia="仿宋_GB2312" w:cs="仿宋_GB2312"/>
                <w:bCs/>
                <w:snapToGrid w:val="0"/>
                <w:color w:val="auto"/>
                <w:kern w:val="2"/>
                <w:sz w:val="24"/>
                <w:szCs w:val="24"/>
                <w:highlight w:val="none"/>
                <w:lang w:val="en-US" w:eastAsia="zh-CN" w:bidi="ar-SA"/>
              </w:rPr>
            </w:pPr>
            <w:r>
              <w:rPr>
                <w:rFonts w:hint="eastAsia" w:ascii="仿宋_GB2312" w:hAnsi="仿宋_GB2312" w:eastAsia="仿宋_GB2312" w:cs="仿宋_GB2312"/>
                <w:kern w:val="2"/>
                <w:sz w:val="24"/>
                <w:szCs w:val="24"/>
                <w:highlight w:val="none"/>
                <w:vertAlign w:val="baseline"/>
                <w:lang w:val="en-US" w:eastAsia="zh-CN" w:bidi="ar-SA"/>
              </w:rPr>
              <w:t>3.投标人未提供证明资料或专家无法凭所提供资料判断是否得分的情况，一律作不得分处理。</w:t>
            </w:r>
          </w:p>
        </w:tc>
      </w:tr>
      <w:tr w14:paraId="2254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1" w:type="dxa"/>
            <w:gridSpan w:val="2"/>
            <w:shd w:val="clear" w:color="auto" w:fill="auto"/>
            <w:noWrap w:val="0"/>
            <w:vAlign w:val="center"/>
          </w:tcPr>
          <w:p w14:paraId="0C8C90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2</w:t>
            </w:r>
          </w:p>
        </w:tc>
        <w:tc>
          <w:tcPr>
            <w:tcW w:w="930" w:type="dxa"/>
            <w:shd w:val="clear" w:color="auto" w:fill="auto"/>
            <w:noWrap w:val="0"/>
            <w:vAlign w:val="center"/>
          </w:tcPr>
          <w:p w14:paraId="3A70D5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highlight w:val="none"/>
                <w:lang w:val="en-US" w:eastAsia="zh-CN" w:bidi="ar-SA"/>
              </w:rPr>
            </w:pPr>
            <w:r>
              <w:rPr>
                <w:rFonts w:hint="eastAsia" w:ascii="仿宋_GB2312" w:hAnsi="仿宋_GB2312" w:eastAsia="仿宋_GB2312" w:cs="仿宋_GB2312"/>
                <w:bCs/>
                <w:snapToGrid w:val="0"/>
                <w:color w:val="auto"/>
                <w:sz w:val="24"/>
                <w:highlight w:val="none"/>
              </w:rPr>
              <w:t>技术参数响应情况</w:t>
            </w:r>
          </w:p>
        </w:tc>
        <w:tc>
          <w:tcPr>
            <w:tcW w:w="801" w:type="dxa"/>
            <w:gridSpan w:val="2"/>
            <w:shd w:val="clear" w:color="auto" w:fill="auto"/>
            <w:noWrap w:val="0"/>
            <w:vAlign w:val="center"/>
          </w:tcPr>
          <w:p w14:paraId="729FF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highlight w:val="none"/>
                <w:lang w:val="en-US" w:eastAsia="zh-CN" w:bidi="ar-SA"/>
              </w:rPr>
            </w:pPr>
            <w:r>
              <w:rPr>
                <w:rFonts w:hint="eastAsia" w:ascii="仿宋_GB2312" w:hAnsi="仿宋_GB2312" w:eastAsia="仿宋_GB2312" w:cs="仿宋_GB2312"/>
                <w:sz w:val="24"/>
                <w:szCs w:val="24"/>
                <w:highlight w:val="none"/>
                <w:vertAlign w:val="baseline"/>
                <w:lang w:val="en-US" w:eastAsia="zh-CN"/>
              </w:rPr>
              <w:t>27分</w:t>
            </w:r>
          </w:p>
        </w:tc>
        <w:tc>
          <w:tcPr>
            <w:tcW w:w="6632" w:type="dxa"/>
            <w:shd w:val="clear" w:color="auto" w:fill="auto"/>
            <w:noWrap w:val="0"/>
            <w:vAlign w:val="center"/>
          </w:tcPr>
          <w:p w14:paraId="4EEA008F">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both"/>
              <w:textAlignment w:val="auto"/>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
                <w:bCs/>
                <w:kern w:val="2"/>
                <w:sz w:val="24"/>
                <w:szCs w:val="24"/>
                <w:vertAlign w:val="baseline"/>
                <w:lang w:val="en-US" w:eastAsia="zh-CN" w:bidi="ar-SA"/>
              </w:rPr>
              <w:t>评分内容：</w:t>
            </w:r>
          </w:p>
          <w:p w14:paraId="15D64106">
            <w:pPr>
              <w:keepNext w:val="0"/>
              <w:keepLines w:val="0"/>
              <w:widowControl/>
              <w:numPr>
                <w:ilvl w:val="0"/>
                <w:numId w:val="0"/>
              </w:numPr>
              <w:suppressLineNumbers w:val="0"/>
              <w:ind w:firstLine="480" w:firstLineChars="200"/>
              <w:jc w:val="left"/>
              <w:rPr>
                <w:rFonts w:ascii="仿宋_GB2312" w:hAnsi="仿宋_GB2312" w:eastAsia="仿宋_GB2312" w:cs="仿宋_GB2312"/>
                <w:bCs/>
                <w:snapToGrid w:val="0"/>
                <w:color w:val="auto"/>
                <w:sz w:val="24"/>
                <w:highlight w:val="none"/>
              </w:rPr>
            </w:pPr>
            <w:r>
              <w:rPr>
                <w:rFonts w:hint="eastAsia" w:ascii="仿宋_GB2312" w:hAnsi="仿宋_GB2312" w:eastAsia="仿宋_GB2312" w:cs="仿宋_GB2312"/>
                <w:bCs/>
                <w:snapToGrid w:val="0"/>
                <w:color w:val="auto"/>
                <w:sz w:val="24"/>
                <w:highlight w:val="none"/>
              </w:rPr>
              <w:t>投标人提供产品的技术规格响应情况（格式详见投标文件组成要求）进行打分</w:t>
            </w:r>
            <w:r>
              <w:rPr>
                <w:rFonts w:hint="eastAsia" w:ascii="仿宋_GB2312" w:hAnsi="仿宋_GB2312" w:eastAsia="仿宋_GB2312" w:cs="仿宋_GB2312"/>
                <w:bCs/>
                <w:snapToGrid w:val="0"/>
                <w:color w:val="auto"/>
                <w:sz w:val="24"/>
                <w:highlight w:val="none"/>
                <w:lang w:eastAsia="zh-CN"/>
              </w:rPr>
              <w:t>，每一项</w:t>
            </w:r>
            <w:r>
              <w:rPr>
                <w:rFonts w:hint="eastAsia" w:ascii="仿宋_GB2312" w:hAnsi="仿宋_GB2312" w:eastAsia="仿宋_GB2312" w:cs="仿宋_GB2312"/>
                <w:bCs/>
                <w:snapToGrid w:val="0"/>
                <w:color w:val="auto"/>
                <w:sz w:val="24"/>
                <w:highlight w:val="none"/>
                <w:lang w:val="en-US" w:eastAsia="zh-CN"/>
              </w:rPr>
              <w:t>1.5</w:t>
            </w:r>
            <w:r>
              <w:rPr>
                <w:rFonts w:hint="eastAsia" w:ascii="仿宋_GB2312" w:hAnsi="仿宋_GB2312" w:eastAsia="仿宋_GB2312" w:cs="仿宋_GB2312"/>
                <w:bCs/>
                <w:snapToGrid w:val="0"/>
                <w:color w:val="auto"/>
                <w:sz w:val="24"/>
                <w:highlight w:val="none"/>
                <w:lang w:eastAsia="zh-CN"/>
              </w:rPr>
              <w:t>分，本项最高得</w:t>
            </w:r>
            <w:r>
              <w:rPr>
                <w:rFonts w:hint="eastAsia" w:ascii="仿宋_GB2312" w:hAnsi="仿宋_GB2312" w:eastAsia="仿宋_GB2312" w:cs="仿宋_GB2312"/>
                <w:bCs/>
                <w:snapToGrid w:val="0"/>
                <w:color w:val="auto"/>
                <w:sz w:val="24"/>
                <w:highlight w:val="none"/>
                <w:lang w:val="en-US" w:eastAsia="zh-CN"/>
              </w:rPr>
              <w:t>27</w:t>
            </w:r>
            <w:r>
              <w:rPr>
                <w:rFonts w:hint="eastAsia" w:ascii="仿宋_GB2312" w:hAnsi="仿宋_GB2312" w:eastAsia="仿宋_GB2312" w:cs="仿宋_GB2312"/>
                <w:bCs/>
                <w:snapToGrid w:val="0"/>
                <w:color w:val="auto"/>
                <w:sz w:val="24"/>
                <w:highlight w:val="none"/>
                <w:lang w:eastAsia="zh-CN"/>
              </w:rPr>
              <w:t>分，对负偏离进行扣分，扣完为止，重点技术参数▲项若有负偏离则扣</w:t>
            </w:r>
            <w:r>
              <w:rPr>
                <w:rFonts w:hint="eastAsia" w:ascii="仿宋_GB2312" w:hAnsi="仿宋_GB2312" w:eastAsia="仿宋_GB2312" w:cs="仿宋_GB2312"/>
                <w:bCs/>
                <w:snapToGrid w:val="0"/>
                <w:color w:val="auto"/>
                <w:sz w:val="24"/>
                <w:highlight w:val="none"/>
                <w:lang w:val="en-US" w:eastAsia="zh-CN"/>
              </w:rPr>
              <w:t>27</w:t>
            </w:r>
            <w:r>
              <w:rPr>
                <w:rFonts w:hint="eastAsia" w:ascii="仿宋_GB2312" w:hAnsi="仿宋_GB2312" w:eastAsia="仿宋_GB2312" w:cs="仿宋_GB2312"/>
                <w:bCs/>
                <w:snapToGrid w:val="0"/>
                <w:color w:val="auto"/>
                <w:sz w:val="24"/>
                <w:highlight w:val="none"/>
                <w:lang w:eastAsia="zh-CN"/>
              </w:rPr>
              <w:t>分。</w:t>
            </w:r>
            <w:r>
              <w:rPr>
                <w:rFonts w:hint="eastAsia" w:ascii="仿宋_GB2312" w:hAnsi="仿宋_GB2312" w:eastAsia="仿宋_GB2312" w:cs="仿宋_GB2312"/>
                <w:bCs/>
                <w:snapToGrid w:val="0"/>
                <w:color w:val="auto"/>
                <w:sz w:val="24"/>
                <w:highlight w:val="none"/>
              </w:rPr>
              <w:br w:type="textWrapping"/>
            </w:r>
            <w:r>
              <w:rPr>
                <w:rFonts w:hint="eastAsia" w:ascii="仿宋_GB2312" w:hAnsi="仿宋_GB2312" w:eastAsia="仿宋_GB2312" w:cs="仿宋_GB2312"/>
                <w:b/>
                <w:bCs/>
                <w:kern w:val="2"/>
                <w:sz w:val="24"/>
                <w:szCs w:val="24"/>
                <w:highlight w:val="none"/>
                <w:vertAlign w:val="baseline"/>
                <w:lang w:val="en-US" w:eastAsia="zh-CN" w:bidi="ar-SA"/>
              </w:rPr>
              <w:t>二、评分依据：</w:t>
            </w:r>
          </w:p>
          <w:p w14:paraId="1F9BB15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both"/>
              <w:textAlignment w:val="auto"/>
              <w:rPr>
                <w:rFonts w:hint="eastAsia" w:ascii="仿宋" w:hAnsi="仿宋" w:eastAsia="仿宋" w:cs="仿宋"/>
                <w:b/>
                <w:bCs/>
                <w:kern w:val="2"/>
                <w:sz w:val="28"/>
                <w:szCs w:val="28"/>
                <w:highlight w:val="none"/>
                <w:lang w:val="en-US" w:eastAsia="zh-CN" w:bidi="ar-SA"/>
              </w:rPr>
            </w:pPr>
            <w:r>
              <w:rPr>
                <w:rFonts w:hint="eastAsia" w:ascii="仿宋_GB2312" w:hAnsi="仿宋_GB2312" w:eastAsia="仿宋_GB2312" w:cs="仿宋_GB2312"/>
                <w:bCs/>
                <w:snapToGrid w:val="0"/>
                <w:color w:val="auto"/>
                <w:sz w:val="24"/>
                <w:highlight w:val="none"/>
              </w:rPr>
              <w:t>投标人未提供证明资料或专家无法凭所提供资料判断是否得分的情况，一律作不得分处理</w:t>
            </w:r>
            <w:r>
              <w:rPr>
                <w:rFonts w:hint="eastAsia" w:ascii="仿宋_GB2312" w:hAnsi="仿宋_GB2312" w:eastAsia="仿宋_GB2312" w:cs="仿宋_GB2312"/>
                <w:bCs/>
                <w:snapToGrid w:val="0"/>
                <w:color w:val="auto"/>
                <w:sz w:val="24"/>
                <w:highlight w:val="none"/>
                <w:lang w:eastAsia="zh-CN"/>
              </w:rPr>
              <w:t>。</w:t>
            </w:r>
            <w:r>
              <w:rPr>
                <w:rFonts w:hint="eastAsia" w:ascii="仿宋_GB2312" w:hAnsi="仿宋_GB2312" w:eastAsia="仿宋_GB2312" w:cs="仿宋_GB2312"/>
                <w:bCs/>
                <w:snapToGrid w:val="0"/>
                <w:color w:val="auto"/>
                <w:sz w:val="24"/>
                <w:highlight w:val="none"/>
              </w:rPr>
              <w:t>。</w:t>
            </w:r>
          </w:p>
        </w:tc>
      </w:tr>
    </w:tbl>
    <w:p w14:paraId="32CF1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47D359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3165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7DA6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412EA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255B93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3C5D736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5960D62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37EA1E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3.企业综合实力</w:t>
      </w:r>
      <w:r>
        <w:rPr>
          <w:rFonts w:hint="eastAsia" w:ascii="仿宋_GB2312" w:hAnsi="仿宋_GB2312" w:eastAsia="仿宋_GB2312" w:cs="仿宋_GB2312"/>
          <w:bCs/>
          <w:snapToGrid w:val="0"/>
          <w:color w:val="auto"/>
          <w:sz w:val="24"/>
          <w:highlight w:val="none"/>
          <w:lang w:val="en-US" w:eastAsia="zh-CN"/>
        </w:rPr>
        <w:br w:type="textWrapping"/>
      </w:r>
      <w:r>
        <w:rPr>
          <w:rFonts w:hint="eastAsia" w:ascii="楷体_GB2312" w:hAnsi="楷体_GB2312" w:eastAsia="楷体_GB2312" w:cs="楷体_GB2312"/>
          <w:sz w:val="32"/>
          <w:szCs w:val="32"/>
          <w:highlight w:val="none"/>
          <w:lang w:val="en-US" w:eastAsia="zh-CN"/>
        </w:rPr>
        <w:t>4.同类项目业绩</w:t>
      </w:r>
    </w:p>
    <w:p w14:paraId="531459C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5.应急服务方案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6.运维服务方案</w:t>
      </w:r>
    </w:p>
    <w:p w14:paraId="6191A2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7.拟安排的项目团队情况</w:t>
      </w:r>
    </w:p>
    <w:p w14:paraId="1853372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8.技术参数响应情况</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9.标报价一览表</w:t>
      </w:r>
    </w:p>
    <w:p w14:paraId="52AD639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3723E0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0"/>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1A71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76F15C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302445D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5C4068B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3255CCD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3DB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D1F881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4EE6340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5F4B68C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0E7876D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317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4AE003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A8FE1B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BF8C95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4B11590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7AD7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94A99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4D2BE14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1B1111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145ED7E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9DD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6BD15A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0A4D9B7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08D0040E">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815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319FD6A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6E6F7A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3A596D85">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CC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A5C55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18779C9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6B13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2D22230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7D747F3B">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4320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4D25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251D9BE0">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70856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1B30C59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1D6B8D1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1285F34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3F66D21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42CFD94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深圳市龙华环境有限公司龙华街道城市管家项目智能终端设备</w:t>
      </w:r>
      <w:r>
        <w:rPr>
          <w:rFonts w:hint="eastAsia" w:ascii="仿宋_GB2312" w:hAnsi="仿宋_GB2312" w:eastAsia="仿宋_GB2312" w:cs="仿宋_GB2312"/>
          <w:b/>
          <w:bCs/>
          <w:sz w:val="32"/>
          <w:szCs w:val="32"/>
          <w:highlight w:val="none"/>
          <w:u w:val="single"/>
          <w:lang w:eastAsia="zh-CN"/>
        </w:rPr>
        <w:t>（</w:t>
      </w:r>
      <w:r>
        <w:rPr>
          <w:rFonts w:hint="eastAsia" w:ascii="仿宋_GB2312" w:hAnsi="仿宋_GB2312" w:eastAsia="仿宋_GB2312" w:cs="仿宋_GB2312"/>
          <w:b/>
          <w:bCs/>
          <w:sz w:val="32"/>
          <w:szCs w:val="32"/>
          <w:highlight w:val="none"/>
          <w:u w:val="single"/>
          <w:lang w:val="en-US" w:eastAsia="zh-CN"/>
        </w:rPr>
        <w:t>服务</w:t>
      </w:r>
      <w:r>
        <w:rPr>
          <w:rFonts w:hint="eastAsia" w:ascii="仿宋_GB2312" w:hAnsi="仿宋_GB2312" w:eastAsia="仿宋_GB2312" w:cs="仿宋_GB2312"/>
          <w:b/>
          <w:bCs/>
          <w:sz w:val="32"/>
          <w:szCs w:val="32"/>
          <w:highlight w:val="none"/>
          <w:u w:val="single"/>
          <w:lang w:eastAsia="zh-CN"/>
        </w:rPr>
        <w:t>）</w:t>
      </w:r>
      <w:r>
        <w:rPr>
          <w:rFonts w:hint="eastAsia" w:ascii="仿宋_GB2312" w:hAnsi="仿宋_GB2312" w:eastAsia="仿宋_GB2312" w:cs="仿宋_GB2312"/>
          <w:b/>
          <w:bCs/>
          <w:sz w:val="32"/>
          <w:szCs w:val="32"/>
          <w:highlight w:val="none"/>
          <w:u w:val="single"/>
        </w:rPr>
        <w:t>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1DD1513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我方接受《深圳市龙华环境有限公司龙华街道城市管家项目智能终端设备采购公开遴选公告》中确定的计价方式，根据企业自身情况，理性报价，不会以低于成本的报价竞争。 </w:t>
      </w:r>
    </w:p>
    <w:p w14:paraId="3E71CCA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0D67A6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如果违反本承诺书中任何条款，我方愿意接受： </w:t>
      </w:r>
    </w:p>
    <w:p w14:paraId="1DD57F6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D0655B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4664854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4B94EC1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0134856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7F9E59C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4FC3015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752B328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04ED5CC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2D7C42A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1BA664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9"/>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2157"/>
        <w:gridCol w:w="1455"/>
        <w:gridCol w:w="1920"/>
      </w:tblGrid>
      <w:tr w14:paraId="25353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75D3246D">
            <w:pPr>
              <w:pStyle w:val="12"/>
            </w:pPr>
            <w:r>
              <w:t>序号</w:t>
            </w:r>
          </w:p>
        </w:tc>
        <w:tc>
          <w:tcPr>
            <w:tcW w:w="1384" w:type="dxa"/>
            <w:noWrap w:val="0"/>
            <w:vAlign w:val="top"/>
          </w:tcPr>
          <w:p w14:paraId="422C02D0">
            <w:pPr>
              <w:pStyle w:val="12"/>
            </w:pPr>
            <w:r>
              <w:t>客户名称</w:t>
            </w:r>
          </w:p>
        </w:tc>
        <w:tc>
          <w:tcPr>
            <w:tcW w:w="2157" w:type="dxa"/>
            <w:noWrap w:val="0"/>
            <w:vAlign w:val="top"/>
          </w:tcPr>
          <w:p w14:paraId="6D84D231">
            <w:pPr>
              <w:pStyle w:val="12"/>
            </w:pPr>
            <w:r>
              <w:t>项目名称及合同金额（万元）</w:t>
            </w:r>
          </w:p>
        </w:tc>
        <w:tc>
          <w:tcPr>
            <w:tcW w:w="1455" w:type="dxa"/>
            <w:noWrap w:val="0"/>
            <w:vAlign w:val="top"/>
          </w:tcPr>
          <w:p w14:paraId="11BF33C8">
            <w:pPr>
              <w:pStyle w:val="12"/>
            </w:pPr>
            <w:r>
              <w:t>签订合同时间</w:t>
            </w:r>
          </w:p>
        </w:tc>
        <w:tc>
          <w:tcPr>
            <w:tcW w:w="1920" w:type="dxa"/>
            <w:noWrap w:val="0"/>
            <w:vAlign w:val="top"/>
          </w:tcPr>
          <w:p w14:paraId="2AFB8044">
            <w:pPr>
              <w:pStyle w:val="12"/>
            </w:pPr>
            <w:r>
              <w:t>联系人及电话</w:t>
            </w:r>
          </w:p>
        </w:tc>
      </w:tr>
      <w:tr w14:paraId="61A4F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61BAF3A">
            <w:pPr>
              <w:pStyle w:val="12"/>
            </w:pPr>
            <w:r>
              <w:t>1</w:t>
            </w:r>
          </w:p>
        </w:tc>
        <w:tc>
          <w:tcPr>
            <w:tcW w:w="1384" w:type="dxa"/>
            <w:noWrap w:val="0"/>
            <w:vAlign w:val="top"/>
          </w:tcPr>
          <w:p w14:paraId="5311F6C0"/>
        </w:tc>
        <w:tc>
          <w:tcPr>
            <w:tcW w:w="2157" w:type="dxa"/>
            <w:noWrap w:val="0"/>
            <w:vAlign w:val="top"/>
          </w:tcPr>
          <w:p w14:paraId="695DF055"/>
        </w:tc>
        <w:tc>
          <w:tcPr>
            <w:tcW w:w="1455" w:type="dxa"/>
            <w:noWrap w:val="0"/>
            <w:vAlign w:val="top"/>
          </w:tcPr>
          <w:p w14:paraId="54446A96"/>
        </w:tc>
        <w:tc>
          <w:tcPr>
            <w:tcW w:w="1920" w:type="dxa"/>
            <w:noWrap w:val="0"/>
            <w:vAlign w:val="top"/>
          </w:tcPr>
          <w:p w14:paraId="7885372B"/>
        </w:tc>
      </w:tr>
      <w:tr w14:paraId="257DC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9DF1BB8">
            <w:pPr>
              <w:pStyle w:val="12"/>
            </w:pPr>
            <w:r>
              <w:t>2</w:t>
            </w:r>
          </w:p>
        </w:tc>
        <w:tc>
          <w:tcPr>
            <w:tcW w:w="1384" w:type="dxa"/>
            <w:noWrap w:val="0"/>
            <w:vAlign w:val="top"/>
          </w:tcPr>
          <w:p w14:paraId="3B113072"/>
        </w:tc>
        <w:tc>
          <w:tcPr>
            <w:tcW w:w="2157" w:type="dxa"/>
            <w:noWrap w:val="0"/>
            <w:vAlign w:val="top"/>
          </w:tcPr>
          <w:p w14:paraId="33B1E754"/>
        </w:tc>
        <w:tc>
          <w:tcPr>
            <w:tcW w:w="1455" w:type="dxa"/>
            <w:noWrap w:val="0"/>
            <w:vAlign w:val="top"/>
          </w:tcPr>
          <w:p w14:paraId="08A7076F"/>
        </w:tc>
        <w:tc>
          <w:tcPr>
            <w:tcW w:w="1920" w:type="dxa"/>
            <w:noWrap w:val="0"/>
            <w:vAlign w:val="top"/>
          </w:tcPr>
          <w:p w14:paraId="13BC0E6F"/>
        </w:tc>
      </w:tr>
      <w:tr w14:paraId="56304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272DF393">
            <w:pPr>
              <w:pStyle w:val="12"/>
            </w:pPr>
            <w:r>
              <w:t>3</w:t>
            </w:r>
          </w:p>
        </w:tc>
        <w:tc>
          <w:tcPr>
            <w:tcW w:w="1384" w:type="dxa"/>
            <w:noWrap w:val="0"/>
            <w:vAlign w:val="top"/>
          </w:tcPr>
          <w:p w14:paraId="0A7918BE"/>
        </w:tc>
        <w:tc>
          <w:tcPr>
            <w:tcW w:w="2157" w:type="dxa"/>
            <w:noWrap w:val="0"/>
            <w:vAlign w:val="top"/>
          </w:tcPr>
          <w:p w14:paraId="662B90B7"/>
        </w:tc>
        <w:tc>
          <w:tcPr>
            <w:tcW w:w="1455" w:type="dxa"/>
            <w:noWrap w:val="0"/>
            <w:vAlign w:val="top"/>
          </w:tcPr>
          <w:p w14:paraId="664909DA"/>
        </w:tc>
        <w:tc>
          <w:tcPr>
            <w:tcW w:w="1920" w:type="dxa"/>
            <w:noWrap w:val="0"/>
            <w:vAlign w:val="top"/>
          </w:tcPr>
          <w:p w14:paraId="5C7E79F1"/>
        </w:tc>
      </w:tr>
      <w:tr w14:paraId="3462F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1E57FA93">
            <w:pPr>
              <w:pStyle w:val="12"/>
            </w:pPr>
            <w:r>
              <w:t>4</w:t>
            </w:r>
          </w:p>
        </w:tc>
        <w:tc>
          <w:tcPr>
            <w:tcW w:w="1384" w:type="dxa"/>
            <w:noWrap w:val="0"/>
            <w:vAlign w:val="top"/>
          </w:tcPr>
          <w:p w14:paraId="588B8FC4"/>
        </w:tc>
        <w:tc>
          <w:tcPr>
            <w:tcW w:w="2157" w:type="dxa"/>
            <w:noWrap w:val="0"/>
            <w:vAlign w:val="top"/>
          </w:tcPr>
          <w:p w14:paraId="2CBE6D16"/>
        </w:tc>
        <w:tc>
          <w:tcPr>
            <w:tcW w:w="1455" w:type="dxa"/>
            <w:noWrap w:val="0"/>
            <w:vAlign w:val="top"/>
          </w:tcPr>
          <w:p w14:paraId="63FD81D0"/>
        </w:tc>
        <w:tc>
          <w:tcPr>
            <w:tcW w:w="1920" w:type="dxa"/>
            <w:noWrap w:val="0"/>
            <w:vAlign w:val="top"/>
          </w:tcPr>
          <w:p w14:paraId="4E436145"/>
        </w:tc>
      </w:tr>
      <w:tr w14:paraId="2A5BA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14:paraId="5C106A34">
            <w:pPr>
              <w:pStyle w:val="12"/>
              <w:rPr>
                <w:rFonts w:hint="eastAsia" w:eastAsia="宋体"/>
                <w:lang w:eastAsia="zh-CN"/>
              </w:rPr>
            </w:pPr>
            <w:r>
              <w:rPr>
                <w:rFonts w:hint="eastAsia"/>
                <w:lang w:val="en-US" w:eastAsia="zh-CN"/>
              </w:rPr>
              <w:t>5</w:t>
            </w:r>
          </w:p>
        </w:tc>
        <w:tc>
          <w:tcPr>
            <w:tcW w:w="1384" w:type="dxa"/>
            <w:noWrap w:val="0"/>
            <w:vAlign w:val="top"/>
          </w:tcPr>
          <w:p w14:paraId="607330D1"/>
        </w:tc>
        <w:tc>
          <w:tcPr>
            <w:tcW w:w="2157" w:type="dxa"/>
            <w:noWrap w:val="0"/>
            <w:vAlign w:val="top"/>
          </w:tcPr>
          <w:p w14:paraId="76AA4CBD"/>
        </w:tc>
        <w:tc>
          <w:tcPr>
            <w:tcW w:w="1455" w:type="dxa"/>
            <w:noWrap w:val="0"/>
            <w:vAlign w:val="top"/>
          </w:tcPr>
          <w:p w14:paraId="53AC6D85"/>
        </w:tc>
        <w:tc>
          <w:tcPr>
            <w:tcW w:w="1920" w:type="dxa"/>
            <w:noWrap w:val="0"/>
            <w:vAlign w:val="top"/>
          </w:tcPr>
          <w:p w14:paraId="280747A5"/>
        </w:tc>
      </w:tr>
    </w:tbl>
    <w:p w14:paraId="2210AF73">
      <w:pPr>
        <w:pStyle w:val="12"/>
        <w:ind w:firstLine="480"/>
      </w:pPr>
      <w:r>
        <w:t>（以下格式文件由供应商根据需要选用）</w:t>
      </w:r>
    </w:p>
    <w:p w14:paraId="0F84CFF6">
      <w:pPr>
        <w:pStyle w:val="12"/>
        <w:jc w:val="center"/>
        <w:outlineLvl w:val="3"/>
      </w:pPr>
      <w:r>
        <w:rPr>
          <w:b/>
          <w:sz w:val="24"/>
        </w:rPr>
        <w:t>投标人业绩情况表</w:t>
      </w:r>
    </w:p>
    <w:p w14:paraId="323C956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hint="eastAsia" w:ascii="楷体_GB2312" w:hAnsi="楷体_GB2312" w:eastAsia="楷体_GB2312" w:cs="楷体_GB2312"/>
          <w:sz w:val="32"/>
          <w:szCs w:val="32"/>
          <w:highlight w:val="none"/>
          <w:lang w:val="en-US" w:eastAsia="zh-CN"/>
        </w:rPr>
      </w:pPr>
      <w:r>
        <w:t>根据上述业绩情况，按招标文件要求附销售或服务合同复印件及评审标准要求的证明材料</w:t>
      </w:r>
    </w:p>
    <w:p w14:paraId="1D33C3FE">
      <w:pPr>
        <w:pStyle w:val="2"/>
        <w:numPr>
          <w:ilvl w:val="0"/>
          <w:numId w:val="0"/>
        </w:numPr>
        <w:ind w:firstLine="640" w:firstLineChars="2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lang w:val="en-US" w:eastAsia="zh-CN" w:bidi="ar-SA"/>
        </w:rPr>
        <w:t>4.</w:t>
      </w:r>
      <w:r>
        <w:rPr>
          <w:rFonts w:hint="eastAsia" w:ascii="楷体_GB2312" w:hAnsi="楷体_GB2312" w:eastAsia="楷体_GB2312" w:cs="楷体_GB2312"/>
          <w:sz w:val="32"/>
          <w:szCs w:val="32"/>
          <w:highlight w:val="none"/>
          <w:lang w:val="en-US" w:eastAsia="zh-CN"/>
        </w:rPr>
        <w:t>应急服务方案</w:t>
      </w:r>
    </w:p>
    <w:p w14:paraId="34F4FE21">
      <w:pPr>
        <w:pStyle w:val="2"/>
        <w:numPr>
          <w:ilvl w:val="0"/>
          <w:numId w:val="0"/>
        </w:numPr>
        <w:ind w:firstLine="3200" w:firstLineChars="1000"/>
        <w:jc w:val="both"/>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6BFFD7C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5.运维服务方案</w:t>
      </w:r>
    </w:p>
    <w:p w14:paraId="39B76F5B">
      <w:pPr>
        <w:pStyle w:val="2"/>
        <w:numPr>
          <w:ilvl w:val="0"/>
          <w:numId w:val="0"/>
        </w:numPr>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2A924A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6.拟安排的项目团队情况</w:t>
      </w:r>
    </w:p>
    <w:p w14:paraId="27C04124">
      <w:pPr>
        <w:pStyle w:val="2"/>
        <w:numPr>
          <w:ilvl w:val="0"/>
          <w:numId w:val="0"/>
        </w:numPr>
        <w:jc w:val="cente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087B3ED9">
      <w:pPr>
        <w:pStyle w:val="2"/>
        <w:numPr>
          <w:ilvl w:val="0"/>
          <w:numId w:val="0"/>
        </w:numPr>
        <w:jc w:val="both"/>
        <w:rPr>
          <w:rFonts w:hint="eastAsia" w:ascii="楷体_GB2312" w:hAnsi="楷体_GB2312" w:eastAsia="楷体_GB2312" w:cs="楷体_GB2312"/>
          <w:sz w:val="32"/>
          <w:szCs w:val="32"/>
          <w:highlight w:val="none"/>
          <w:lang w:val="en-US" w:eastAsia="zh-CN"/>
        </w:rPr>
      </w:pPr>
    </w:p>
    <w:p w14:paraId="56132896">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highlight w:val="none"/>
          <w:lang w:val="en-US" w:eastAsia="zh-CN"/>
        </w:rPr>
      </w:pPr>
    </w:p>
    <w:p w14:paraId="1D5A7A8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黑体" w:hAnsi="黑体" w:eastAsia="黑体" w:cs="黑体"/>
          <w:sz w:val="32"/>
          <w:szCs w:val="32"/>
          <w:highlight w:val="none"/>
          <w:lang w:val="en-US" w:eastAsia="zh-CN"/>
        </w:rPr>
        <w:sectPr>
          <w:pgSz w:w="11906" w:h="16838"/>
          <w:pgMar w:top="2098" w:right="1417" w:bottom="1984" w:left="1587" w:header="851" w:footer="992" w:gutter="0"/>
          <w:cols w:space="425" w:num="1"/>
          <w:docGrid w:type="lines" w:linePitch="312" w:charSpace="0"/>
        </w:sectPr>
      </w:pPr>
    </w:p>
    <w:p w14:paraId="2F2709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7.技术参数响应情况</w:t>
      </w:r>
    </w:p>
    <w:p w14:paraId="17343599">
      <w:pPr>
        <w:pStyle w:val="5"/>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技术参数响应情况表</w:t>
      </w:r>
    </w:p>
    <w:tbl>
      <w:tblPr>
        <w:tblStyle w:val="10"/>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307"/>
        <w:gridCol w:w="3066"/>
        <w:gridCol w:w="2041"/>
        <w:gridCol w:w="1474"/>
        <w:gridCol w:w="1134"/>
      </w:tblGrid>
      <w:tr w14:paraId="5250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26A7F5B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序号</w:t>
            </w:r>
          </w:p>
        </w:tc>
        <w:tc>
          <w:tcPr>
            <w:tcW w:w="1307" w:type="dxa"/>
            <w:noWrap w:val="0"/>
            <w:vAlign w:val="center"/>
          </w:tcPr>
          <w:p w14:paraId="448B70B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货物名称</w:t>
            </w:r>
          </w:p>
        </w:tc>
        <w:tc>
          <w:tcPr>
            <w:tcW w:w="3066" w:type="dxa"/>
            <w:noWrap w:val="0"/>
            <w:vAlign w:val="center"/>
          </w:tcPr>
          <w:p w14:paraId="53FB380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规格</w:t>
            </w:r>
          </w:p>
        </w:tc>
        <w:tc>
          <w:tcPr>
            <w:tcW w:w="2041" w:type="dxa"/>
            <w:noWrap w:val="0"/>
            <w:vAlign w:val="center"/>
          </w:tcPr>
          <w:p w14:paraId="1B909C4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所投产品参数</w:t>
            </w:r>
          </w:p>
        </w:tc>
        <w:tc>
          <w:tcPr>
            <w:tcW w:w="1474" w:type="dxa"/>
            <w:noWrap w:val="0"/>
            <w:vAlign w:val="center"/>
          </w:tcPr>
          <w:p w14:paraId="01FAA7E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偏离情况</w:t>
            </w:r>
          </w:p>
        </w:tc>
        <w:tc>
          <w:tcPr>
            <w:tcW w:w="1134" w:type="dxa"/>
            <w:noWrap w:val="0"/>
            <w:vAlign w:val="center"/>
          </w:tcPr>
          <w:p w14:paraId="554821C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kern w:val="2"/>
                <w:sz w:val="28"/>
                <w:szCs w:val="28"/>
                <w:highlight w:val="none"/>
                <w:lang w:val="en-US" w:eastAsia="zh-CN"/>
              </w:rPr>
            </w:pPr>
            <w:r>
              <w:rPr>
                <w:rFonts w:hint="eastAsia" w:ascii="仿宋" w:hAnsi="仿宋" w:eastAsia="仿宋" w:cs="仿宋"/>
                <w:b/>
                <w:bCs/>
                <w:color w:val="auto"/>
                <w:kern w:val="2"/>
                <w:sz w:val="28"/>
                <w:szCs w:val="28"/>
                <w:highlight w:val="none"/>
                <w:lang w:val="en-US" w:eastAsia="zh-CN"/>
              </w:rPr>
              <w:t>说明</w:t>
            </w:r>
          </w:p>
        </w:tc>
      </w:tr>
      <w:tr w14:paraId="5D92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1" w:type="dxa"/>
            <w:noWrap w:val="0"/>
            <w:vAlign w:val="center"/>
          </w:tcPr>
          <w:p w14:paraId="08A994B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w:t>
            </w:r>
          </w:p>
        </w:tc>
        <w:tc>
          <w:tcPr>
            <w:tcW w:w="1307" w:type="dxa"/>
            <w:vMerge w:val="restart"/>
            <w:noWrap w:val="0"/>
            <w:vAlign w:val="center"/>
          </w:tcPr>
          <w:p w14:paraId="19CC97F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_GB2312" w:hAnsi="仿宋_GB2312" w:eastAsia="仿宋_GB2312" w:cs="仿宋_GB2312"/>
                <w:sz w:val="32"/>
                <w:szCs w:val="32"/>
                <w:highlight w:val="none"/>
                <w:lang w:val="en-US" w:eastAsia="zh-CN"/>
              </w:rPr>
              <w:t>单北斗人员工牌设备及配套服务</w:t>
            </w:r>
          </w:p>
        </w:tc>
        <w:tc>
          <w:tcPr>
            <w:tcW w:w="3066" w:type="dxa"/>
            <w:noWrap w:val="0"/>
            <w:vAlign w:val="center"/>
          </w:tcPr>
          <w:p w14:paraId="299E5781">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rPr>
              <w:t>1.定位方式：单北斗芯片；</w:t>
            </w:r>
          </w:p>
        </w:tc>
        <w:tc>
          <w:tcPr>
            <w:tcW w:w="2041" w:type="dxa"/>
            <w:noWrap w:val="0"/>
            <w:vAlign w:val="center"/>
          </w:tcPr>
          <w:p w14:paraId="073A0B4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860FC6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187F20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F15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91" w:type="dxa"/>
            <w:noWrap w:val="0"/>
            <w:vAlign w:val="center"/>
          </w:tcPr>
          <w:p w14:paraId="32A461C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2</w:t>
            </w:r>
          </w:p>
        </w:tc>
        <w:tc>
          <w:tcPr>
            <w:tcW w:w="1307" w:type="dxa"/>
            <w:vMerge w:val="continue"/>
            <w:noWrap w:val="0"/>
            <w:vAlign w:val="center"/>
          </w:tcPr>
          <w:p w14:paraId="6C66BFD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3066" w:type="dxa"/>
            <w:noWrap w:val="0"/>
            <w:vAlign w:val="center"/>
          </w:tcPr>
          <w:p w14:paraId="24125E4C">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2.通信网络：4G；</w:t>
            </w:r>
          </w:p>
        </w:tc>
        <w:tc>
          <w:tcPr>
            <w:tcW w:w="2041" w:type="dxa"/>
            <w:noWrap w:val="0"/>
            <w:vAlign w:val="center"/>
          </w:tcPr>
          <w:p w14:paraId="08D7B10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5F23EBC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B7FF67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320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91" w:type="dxa"/>
            <w:noWrap w:val="0"/>
            <w:vAlign w:val="center"/>
          </w:tcPr>
          <w:p w14:paraId="0C50514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3</w:t>
            </w:r>
          </w:p>
        </w:tc>
        <w:tc>
          <w:tcPr>
            <w:tcW w:w="1307" w:type="dxa"/>
            <w:vMerge w:val="continue"/>
            <w:noWrap w:val="0"/>
            <w:vAlign w:val="center"/>
          </w:tcPr>
          <w:p w14:paraId="14F89715">
            <w:pPr>
              <w:widowControl w:val="0"/>
              <w:jc w:val="center"/>
              <w:rPr>
                <w:sz w:val="28"/>
                <w:szCs w:val="28"/>
                <w:highlight w:val="none"/>
              </w:rPr>
            </w:pPr>
          </w:p>
        </w:tc>
        <w:tc>
          <w:tcPr>
            <w:tcW w:w="3066" w:type="dxa"/>
            <w:noWrap w:val="0"/>
            <w:vAlign w:val="center"/>
          </w:tcPr>
          <w:p w14:paraId="5073CDB4">
            <w:pPr>
              <w:keepNext w:val="0"/>
              <w:keepLines w:val="0"/>
              <w:widowControl/>
              <w:suppressLineNumbers w:val="0"/>
              <w:jc w:val="left"/>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bidi="ar-SA"/>
              </w:rPr>
              <w:t>3.具备系统自动打卡、运动状态监测功能；</w:t>
            </w:r>
          </w:p>
        </w:tc>
        <w:tc>
          <w:tcPr>
            <w:tcW w:w="2041" w:type="dxa"/>
            <w:noWrap w:val="0"/>
            <w:vAlign w:val="center"/>
          </w:tcPr>
          <w:p w14:paraId="7DF4404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40747B1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84F9B6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6352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5FAD7D3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4</w:t>
            </w:r>
          </w:p>
        </w:tc>
        <w:tc>
          <w:tcPr>
            <w:tcW w:w="1307" w:type="dxa"/>
            <w:vMerge w:val="continue"/>
            <w:noWrap w:val="0"/>
            <w:vAlign w:val="center"/>
          </w:tcPr>
          <w:p w14:paraId="4F935F69">
            <w:pPr>
              <w:widowControl w:val="0"/>
              <w:jc w:val="center"/>
              <w:rPr>
                <w:sz w:val="28"/>
                <w:szCs w:val="28"/>
                <w:highlight w:val="none"/>
              </w:rPr>
            </w:pPr>
          </w:p>
        </w:tc>
        <w:tc>
          <w:tcPr>
            <w:tcW w:w="3066" w:type="dxa"/>
            <w:noWrap w:val="0"/>
            <w:vAlign w:val="center"/>
          </w:tcPr>
          <w:p w14:paraId="3AC8AD25">
            <w:pPr>
              <w:keepNext w:val="0"/>
              <w:keepLines w:val="0"/>
              <w:widowControl/>
              <w:suppressLineNumbers w:val="0"/>
              <w:jc w:val="left"/>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4.定位信息及轨迹：实时获取位置数据并支持最少1分钟数据上传，且支持离线存储及位置信息轨迹回放；</w:t>
            </w:r>
          </w:p>
        </w:tc>
        <w:tc>
          <w:tcPr>
            <w:tcW w:w="2041" w:type="dxa"/>
            <w:noWrap w:val="0"/>
            <w:vAlign w:val="center"/>
          </w:tcPr>
          <w:p w14:paraId="6E635F1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B1B813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60CCE44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B1D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91" w:type="dxa"/>
            <w:noWrap w:val="0"/>
            <w:vAlign w:val="center"/>
          </w:tcPr>
          <w:p w14:paraId="0E9876F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5</w:t>
            </w:r>
          </w:p>
        </w:tc>
        <w:tc>
          <w:tcPr>
            <w:tcW w:w="1307" w:type="dxa"/>
            <w:vMerge w:val="continue"/>
            <w:noWrap w:val="0"/>
            <w:vAlign w:val="center"/>
          </w:tcPr>
          <w:p w14:paraId="429B4E6D">
            <w:pPr>
              <w:widowControl w:val="0"/>
              <w:jc w:val="center"/>
              <w:rPr>
                <w:sz w:val="28"/>
                <w:szCs w:val="28"/>
                <w:highlight w:val="none"/>
              </w:rPr>
            </w:pPr>
          </w:p>
        </w:tc>
        <w:tc>
          <w:tcPr>
            <w:tcW w:w="3066" w:type="dxa"/>
            <w:noWrap w:val="0"/>
            <w:vAlign w:val="center"/>
          </w:tcPr>
          <w:p w14:paraId="62EBB10F">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val="en-US" w:eastAsia="zh-CN"/>
              </w:rPr>
              <w:t>5.具备TTS语音播报、设备对讲功能；</w:t>
            </w:r>
          </w:p>
        </w:tc>
        <w:tc>
          <w:tcPr>
            <w:tcW w:w="2041" w:type="dxa"/>
            <w:noWrap w:val="0"/>
            <w:vAlign w:val="center"/>
          </w:tcPr>
          <w:p w14:paraId="351633E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74A7CB4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C08ABC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5C0E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91" w:type="dxa"/>
            <w:noWrap w:val="0"/>
            <w:vAlign w:val="center"/>
          </w:tcPr>
          <w:p w14:paraId="5495054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6</w:t>
            </w:r>
          </w:p>
        </w:tc>
        <w:tc>
          <w:tcPr>
            <w:tcW w:w="1307" w:type="dxa"/>
            <w:vMerge w:val="continue"/>
            <w:noWrap w:val="0"/>
            <w:vAlign w:val="center"/>
          </w:tcPr>
          <w:p w14:paraId="732402B7">
            <w:pPr>
              <w:widowControl w:val="0"/>
              <w:jc w:val="center"/>
              <w:rPr>
                <w:sz w:val="28"/>
                <w:szCs w:val="28"/>
                <w:highlight w:val="none"/>
              </w:rPr>
            </w:pPr>
          </w:p>
        </w:tc>
        <w:tc>
          <w:tcPr>
            <w:tcW w:w="3066" w:type="dxa"/>
            <w:noWrap w:val="0"/>
            <w:vAlign w:val="center"/>
          </w:tcPr>
          <w:p w14:paraId="630F293D">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6.防水等级≥IP66；</w:t>
            </w:r>
          </w:p>
        </w:tc>
        <w:tc>
          <w:tcPr>
            <w:tcW w:w="2041" w:type="dxa"/>
            <w:noWrap w:val="0"/>
            <w:vAlign w:val="center"/>
          </w:tcPr>
          <w:p w14:paraId="4190260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465BE9A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6371DE2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5D3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91" w:type="dxa"/>
            <w:noWrap w:val="0"/>
            <w:vAlign w:val="center"/>
          </w:tcPr>
          <w:p w14:paraId="4737473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7</w:t>
            </w:r>
          </w:p>
        </w:tc>
        <w:tc>
          <w:tcPr>
            <w:tcW w:w="1307" w:type="dxa"/>
            <w:vMerge w:val="continue"/>
            <w:noWrap w:val="0"/>
            <w:vAlign w:val="center"/>
          </w:tcPr>
          <w:p w14:paraId="5F5B3F51">
            <w:pPr>
              <w:widowControl w:val="0"/>
              <w:jc w:val="center"/>
              <w:rPr>
                <w:sz w:val="28"/>
                <w:szCs w:val="28"/>
                <w:highlight w:val="none"/>
              </w:rPr>
            </w:pPr>
          </w:p>
        </w:tc>
        <w:tc>
          <w:tcPr>
            <w:tcW w:w="3066" w:type="dxa"/>
            <w:noWrap w:val="0"/>
            <w:vAlign w:val="center"/>
          </w:tcPr>
          <w:p w14:paraId="2B4D6C77">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7.电池容量≥800mAh,续航时间≥15小时；</w:t>
            </w:r>
          </w:p>
        </w:tc>
        <w:tc>
          <w:tcPr>
            <w:tcW w:w="2041" w:type="dxa"/>
            <w:noWrap w:val="0"/>
            <w:vAlign w:val="center"/>
          </w:tcPr>
          <w:p w14:paraId="434287C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17AC7D0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3CDCC99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2DE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91" w:type="dxa"/>
            <w:noWrap w:val="0"/>
            <w:vAlign w:val="center"/>
          </w:tcPr>
          <w:p w14:paraId="554878E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8</w:t>
            </w:r>
          </w:p>
        </w:tc>
        <w:tc>
          <w:tcPr>
            <w:tcW w:w="1307" w:type="dxa"/>
            <w:vMerge w:val="continue"/>
            <w:noWrap w:val="0"/>
            <w:vAlign w:val="center"/>
          </w:tcPr>
          <w:p w14:paraId="7E6A6BA2">
            <w:pPr>
              <w:widowControl w:val="0"/>
              <w:jc w:val="center"/>
              <w:rPr>
                <w:sz w:val="28"/>
                <w:szCs w:val="28"/>
                <w:highlight w:val="none"/>
              </w:rPr>
            </w:pPr>
          </w:p>
        </w:tc>
        <w:tc>
          <w:tcPr>
            <w:tcW w:w="3066" w:type="dxa"/>
            <w:noWrap w:val="0"/>
            <w:vAlign w:val="center"/>
          </w:tcPr>
          <w:p w14:paraId="03E9A55D">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8.支持系统判定一人多机报警；</w:t>
            </w:r>
          </w:p>
        </w:tc>
        <w:tc>
          <w:tcPr>
            <w:tcW w:w="2041" w:type="dxa"/>
            <w:noWrap w:val="0"/>
            <w:vAlign w:val="center"/>
          </w:tcPr>
          <w:p w14:paraId="17B8F8F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1C75F75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0A3FD2C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46B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6226F5E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9</w:t>
            </w:r>
          </w:p>
        </w:tc>
        <w:tc>
          <w:tcPr>
            <w:tcW w:w="1307" w:type="dxa"/>
            <w:vMerge w:val="continue"/>
            <w:noWrap w:val="0"/>
            <w:vAlign w:val="center"/>
          </w:tcPr>
          <w:p w14:paraId="297FD84A">
            <w:pPr>
              <w:widowControl w:val="0"/>
              <w:jc w:val="center"/>
              <w:rPr>
                <w:sz w:val="28"/>
                <w:szCs w:val="28"/>
                <w:highlight w:val="none"/>
              </w:rPr>
            </w:pPr>
          </w:p>
        </w:tc>
        <w:tc>
          <w:tcPr>
            <w:tcW w:w="3066" w:type="dxa"/>
            <w:noWrap w:val="0"/>
            <w:vAlign w:val="center"/>
          </w:tcPr>
          <w:p w14:paraId="7C2AFB00">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9.盲区补传：设备定位且不在线，可暂存不低于300条数据，有信号正常上线时上传；</w:t>
            </w:r>
          </w:p>
        </w:tc>
        <w:tc>
          <w:tcPr>
            <w:tcW w:w="2041" w:type="dxa"/>
            <w:noWrap w:val="0"/>
            <w:vAlign w:val="center"/>
          </w:tcPr>
          <w:p w14:paraId="5A1DC2F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w:t>
            </w:r>
          </w:p>
        </w:tc>
        <w:tc>
          <w:tcPr>
            <w:tcW w:w="1474" w:type="dxa"/>
            <w:noWrap w:val="0"/>
            <w:vAlign w:val="center"/>
          </w:tcPr>
          <w:p w14:paraId="5C60B30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31D054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2D30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0588924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10</w:t>
            </w:r>
          </w:p>
        </w:tc>
        <w:tc>
          <w:tcPr>
            <w:tcW w:w="1307" w:type="dxa"/>
            <w:vMerge w:val="continue"/>
            <w:noWrap w:val="0"/>
            <w:vAlign w:val="center"/>
          </w:tcPr>
          <w:p w14:paraId="5E785505">
            <w:pPr>
              <w:widowControl w:val="0"/>
              <w:jc w:val="center"/>
              <w:rPr>
                <w:sz w:val="28"/>
                <w:szCs w:val="28"/>
                <w:highlight w:val="none"/>
              </w:rPr>
            </w:pPr>
          </w:p>
        </w:tc>
        <w:tc>
          <w:tcPr>
            <w:tcW w:w="3066" w:type="dxa"/>
            <w:noWrap w:val="0"/>
            <w:vAlign w:val="center"/>
          </w:tcPr>
          <w:p w14:paraId="3EC02B86">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 w:val="0"/>
                <w:bCs w:val="0"/>
                <w:color w:val="auto"/>
                <w:kern w:val="2"/>
                <w:sz w:val="21"/>
                <w:szCs w:val="21"/>
                <w:highlight w:val="none"/>
                <w:lang w:val="en-US" w:eastAsia="zh-CN"/>
              </w:rPr>
              <w:t>10.提供产品整机通过国家安全标准认证GB4943。电池原料通过国家安全标准认证GB31241,提供认证证书；</w:t>
            </w:r>
          </w:p>
        </w:tc>
        <w:tc>
          <w:tcPr>
            <w:tcW w:w="2041" w:type="dxa"/>
            <w:noWrap w:val="0"/>
            <w:vAlign w:val="center"/>
          </w:tcPr>
          <w:p w14:paraId="7EB85F6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33A3CEB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5FF329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E0D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5B7469B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b w:val="0"/>
                <w:bCs w:val="0"/>
                <w:color w:val="auto"/>
                <w:kern w:val="2"/>
                <w:sz w:val="28"/>
                <w:szCs w:val="28"/>
                <w:highlight w:val="none"/>
                <w:lang w:val="en-US" w:eastAsia="zh-CN"/>
              </w:rPr>
            </w:pPr>
            <w:r>
              <w:rPr>
                <w:rFonts w:hint="eastAsia" w:ascii="仿宋" w:hAnsi="仿宋" w:eastAsia="仿宋" w:cs="仿宋"/>
                <w:b w:val="0"/>
                <w:bCs w:val="0"/>
                <w:color w:val="auto"/>
                <w:kern w:val="2"/>
                <w:sz w:val="28"/>
                <w:szCs w:val="28"/>
                <w:highlight w:val="none"/>
                <w:lang w:val="en-US" w:eastAsia="zh-CN"/>
              </w:rPr>
              <w:t>11</w:t>
            </w:r>
          </w:p>
        </w:tc>
        <w:tc>
          <w:tcPr>
            <w:tcW w:w="1307" w:type="dxa"/>
            <w:vMerge w:val="continue"/>
            <w:noWrap w:val="0"/>
            <w:vAlign w:val="center"/>
          </w:tcPr>
          <w:p w14:paraId="5E3F21E0">
            <w:pPr>
              <w:widowControl w:val="0"/>
              <w:jc w:val="center"/>
              <w:rPr>
                <w:sz w:val="28"/>
                <w:szCs w:val="28"/>
                <w:highlight w:val="none"/>
              </w:rPr>
            </w:pPr>
          </w:p>
        </w:tc>
        <w:tc>
          <w:tcPr>
            <w:tcW w:w="3066" w:type="dxa"/>
            <w:noWrap w:val="0"/>
            <w:vAlign w:val="center"/>
          </w:tcPr>
          <w:p w14:paraId="7100ED41">
            <w:pPr>
              <w:pStyle w:val="5"/>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b w:val="0"/>
                <w:bCs w:val="0"/>
                <w:color w:val="auto"/>
                <w:kern w:val="2"/>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rPr>
              <w:t>11.提供产品能够接入龙华区环卫监管平台、深圳市环卫全周期管理平台，数据上保持稳定有效，提供承诺函以及证明材料。</w:t>
            </w:r>
          </w:p>
        </w:tc>
        <w:tc>
          <w:tcPr>
            <w:tcW w:w="2041" w:type="dxa"/>
            <w:noWrap w:val="0"/>
            <w:vAlign w:val="center"/>
          </w:tcPr>
          <w:p w14:paraId="14FF443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D4A4125">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771680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CB7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891" w:type="dxa"/>
            <w:noWrap w:val="0"/>
            <w:vAlign w:val="center"/>
          </w:tcPr>
          <w:p w14:paraId="1B187E0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restart"/>
            <w:noWrap w:val="0"/>
            <w:vAlign w:val="center"/>
          </w:tcPr>
          <w:p w14:paraId="1D661758">
            <w:pPr>
              <w:widowControl w:val="0"/>
              <w:jc w:val="center"/>
              <w:rPr>
                <w:rFonts w:hint="default" w:eastAsiaTheme="minorEastAsia"/>
                <w:sz w:val="28"/>
                <w:szCs w:val="28"/>
                <w:highlight w:val="none"/>
                <w:lang w:val="en-US" w:eastAsia="zh-CN"/>
              </w:rPr>
            </w:pPr>
            <w:r>
              <w:rPr>
                <w:rFonts w:hint="eastAsia" w:ascii="仿宋_GB2312" w:hAnsi="仿宋_GB2312" w:eastAsia="仿宋_GB2312" w:cs="仿宋_GB2312"/>
                <w:sz w:val="32"/>
                <w:szCs w:val="32"/>
                <w:highlight w:val="none"/>
                <w:lang w:val="en-US" w:eastAsia="zh-CN"/>
              </w:rPr>
              <w:t>单北斗压缩箱智能终端及配套服务</w:t>
            </w:r>
          </w:p>
        </w:tc>
        <w:tc>
          <w:tcPr>
            <w:tcW w:w="3066" w:type="dxa"/>
            <w:noWrap w:val="0"/>
            <w:vAlign w:val="center"/>
          </w:tcPr>
          <w:p w14:paraId="000AC06E">
            <w:pPr>
              <w:keepNext w:val="0"/>
              <w:keepLines w:val="0"/>
              <w:widowControl/>
              <w:suppressLineNumbers w:val="0"/>
              <w:jc w:val="left"/>
              <w:rPr>
                <w:rFonts w:hint="eastAsia" w:ascii="仿宋_GB2312" w:hAnsi="仿宋_GB2312" w:eastAsia="仿宋_GB2312" w:cs="仿宋_GB2312"/>
                <w:bCs/>
                <w:snapToGrid w:val="0"/>
                <w:color w:val="auto"/>
                <w:sz w:val="21"/>
                <w:szCs w:val="21"/>
                <w:highlight w:val="none"/>
                <w:lang w:eastAsia="zh-CN"/>
              </w:rPr>
            </w:pPr>
            <w:r>
              <w:rPr>
                <w:rFonts w:hint="eastAsia" w:ascii="仿宋_GB2312" w:hAnsi="仿宋_GB2312" w:eastAsia="仿宋_GB2312" w:cs="仿宋_GB2312"/>
                <w:bCs/>
                <w:snapToGrid w:val="0"/>
                <w:color w:val="auto"/>
                <w:sz w:val="21"/>
                <w:szCs w:val="21"/>
                <w:highlight w:val="none"/>
                <w:lang w:eastAsia="zh-CN"/>
              </w:rPr>
              <w:t>▲</w:t>
            </w:r>
            <w:r>
              <w:rPr>
                <w:rFonts w:hint="eastAsia" w:ascii="仿宋_GB2312" w:hAnsi="仿宋_GB2312" w:eastAsia="仿宋_GB2312" w:cs="仿宋_GB2312"/>
                <w:b w:val="0"/>
                <w:bCs w:val="0"/>
                <w:color w:val="auto"/>
                <w:kern w:val="2"/>
                <w:sz w:val="21"/>
                <w:szCs w:val="21"/>
                <w:highlight w:val="none"/>
                <w:lang w:val="en-US" w:eastAsia="zh-CN"/>
              </w:rPr>
              <w:t>1.定位方式：单北斗；</w:t>
            </w:r>
          </w:p>
        </w:tc>
        <w:tc>
          <w:tcPr>
            <w:tcW w:w="2041" w:type="dxa"/>
            <w:noWrap w:val="0"/>
            <w:vAlign w:val="center"/>
          </w:tcPr>
          <w:p w14:paraId="65C8583D">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3BEB176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2A0E5B8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0521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1CA32B8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continue"/>
            <w:noWrap w:val="0"/>
            <w:vAlign w:val="center"/>
          </w:tcPr>
          <w:p w14:paraId="2D3AB91A">
            <w:pPr>
              <w:widowControl w:val="0"/>
              <w:jc w:val="center"/>
              <w:rPr>
                <w:rFonts w:hint="eastAsia" w:ascii="仿宋_GB2312" w:hAnsi="仿宋_GB2312" w:eastAsia="仿宋_GB2312" w:cs="仿宋_GB2312"/>
                <w:sz w:val="32"/>
                <w:szCs w:val="32"/>
                <w:highlight w:val="none"/>
                <w:lang w:val="en-US" w:eastAsia="zh-CN"/>
              </w:rPr>
            </w:pPr>
          </w:p>
        </w:tc>
        <w:tc>
          <w:tcPr>
            <w:tcW w:w="3066" w:type="dxa"/>
            <w:noWrap w:val="0"/>
            <w:vAlign w:val="center"/>
          </w:tcPr>
          <w:p w14:paraId="35A32260">
            <w:pPr>
              <w:keepNext w:val="0"/>
              <w:keepLines w:val="0"/>
              <w:widowControl/>
              <w:suppressLineNumbers w:val="0"/>
              <w:jc w:val="left"/>
              <w:rPr>
                <w:rFonts w:hint="default" w:ascii="仿宋_GB2312" w:hAnsi="仿宋_GB2312" w:eastAsia="仿宋_GB2312" w:cs="仿宋_GB2312"/>
                <w:bCs/>
                <w:snapToGrid w:val="0"/>
                <w:color w:val="auto"/>
                <w:sz w:val="21"/>
                <w:szCs w:val="21"/>
                <w:highlight w:val="none"/>
                <w:lang w:val="en-US" w:eastAsia="zh-CN"/>
              </w:rPr>
            </w:pPr>
            <w:r>
              <w:rPr>
                <w:rFonts w:hint="eastAsia" w:ascii="仿宋_GB2312" w:hAnsi="仿宋_GB2312" w:eastAsia="仿宋_GB2312" w:cs="仿宋_GB2312"/>
                <w:bCs/>
                <w:snapToGrid w:val="0"/>
                <w:color w:val="auto"/>
                <w:sz w:val="21"/>
                <w:szCs w:val="21"/>
                <w:highlight w:val="none"/>
                <w:lang w:val="en-US" w:eastAsia="zh-CN"/>
              </w:rPr>
              <w:t>2.</w:t>
            </w:r>
            <w:r>
              <w:rPr>
                <w:rFonts w:hint="eastAsia" w:ascii="仿宋_GB2312" w:hAnsi="仿宋_GB2312" w:eastAsia="仿宋_GB2312" w:cs="仿宋_GB2312"/>
                <w:b w:val="0"/>
                <w:bCs w:val="0"/>
                <w:color w:val="auto"/>
                <w:kern w:val="2"/>
                <w:sz w:val="21"/>
                <w:szCs w:val="21"/>
                <w:highlight w:val="none"/>
                <w:lang w:val="en-US" w:eastAsia="zh-CN"/>
              </w:rPr>
              <w:t>通信网络：4G；</w:t>
            </w:r>
          </w:p>
        </w:tc>
        <w:tc>
          <w:tcPr>
            <w:tcW w:w="2041" w:type="dxa"/>
            <w:noWrap w:val="0"/>
            <w:vAlign w:val="center"/>
          </w:tcPr>
          <w:p w14:paraId="583AACEE">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250C19D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5912AC4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4657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787E19C2">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continue"/>
            <w:noWrap w:val="0"/>
            <w:vAlign w:val="center"/>
          </w:tcPr>
          <w:p w14:paraId="50256AB6">
            <w:pPr>
              <w:widowControl w:val="0"/>
              <w:jc w:val="center"/>
              <w:rPr>
                <w:rFonts w:hint="eastAsia" w:ascii="仿宋_GB2312" w:hAnsi="仿宋_GB2312" w:eastAsia="仿宋_GB2312" w:cs="仿宋_GB2312"/>
                <w:sz w:val="32"/>
                <w:szCs w:val="32"/>
                <w:highlight w:val="none"/>
                <w:lang w:val="en-US" w:eastAsia="zh-CN"/>
              </w:rPr>
            </w:pPr>
          </w:p>
        </w:tc>
        <w:tc>
          <w:tcPr>
            <w:tcW w:w="3066" w:type="dxa"/>
            <w:shd w:val="clear" w:color="auto" w:fill="auto"/>
            <w:noWrap w:val="0"/>
            <w:vAlign w:val="center"/>
          </w:tcPr>
          <w:p w14:paraId="561ADE02">
            <w:pPr>
              <w:keepNext w:val="0"/>
              <w:keepLines w:val="0"/>
              <w:widowControl/>
              <w:suppressLineNumbers w:val="0"/>
              <w:jc w:val="left"/>
              <w:rPr>
                <w:rFonts w:hint="default" w:ascii="仿宋_GB2312" w:hAnsi="仿宋_GB2312" w:eastAsia="仿宋_GB2312" w:cs="仿宋_GB2312"/>
                <w:bCs/>
                <w:snapToGrid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rPr>
              <w:t>3.电池容量≥10000mAh；</w:t>
            </w:r>
          </w:p>
        </w:tc>
        <w:tc>
          <w:tcPr>
            <w:tcW w:w="2041" w:type="dxa"/>
            <w:noWrap w:val="0"/>
            <w:vAlign w:val="center"/>
          </w:tcPr>
          <w:p w14:paraId="78CFDBB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4DCB4A28">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759B171">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36CF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4B69E10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continue"/>
            <w:noWrap w:val="0"/>
            <w:vAlign w:val="center"/>
          </w:tcPr>
          <w:p w14:paraId="71E8165C">
            <w:pPr>
              <w:widowControl w:val="0"/>
              <w:jc w:val="center"/>
              <w:rPr>
                <w:rFonts w:hint="eastAsia" w:ascii="仿宋_GB2312" w:hAnsi="仿宋_GB2312" w:eastAsia="仿宋_GB2312" w:cs="仿宋_GB2312"/>
                <w:sz w:val="32"/>
                <w:szCs w:val="32"/>
                <w:highlight w:val="none"/>
                <w:lang w:val="en-US" w:eastAsia="zh-CN"/>
              </w:rPr>
            </w:pPr>
          </w:p>
        </w:tc>
        <w:tc>
          <w:tcPr>
            <w:tcW w:w="3066" w:type="dxa"/>
            <w:shd w:val="clear" w:color="auto" w:fill="auto"/>
            <w:noWrap w:val="0"/>
            <w:vAlign w:val="center"/>
          </w:tcPr>
          <w:p w14:paraId="60B110D6">
            <w:pPr>
              <w:keepNext w:val="0"/>
              <w:keepLines w:val="0"/>
              <w:widowControl/>
              <w:suppressLineNumbers w:val="0"/>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rPr>
              <w:t>4.盲区补传功能：终端可记录不低于200条盲区数据；</w:t>
            </w:r>
          </w:p>
        </w:tc>
        <w:tc>
          <w:tcPr>
            <w:tcW w:w="2041" w:type="dxa"/>
            <w:noWrap w:val="0"/>
            <w:vAlign w:val="center"/>
          </w:tcPr>
          <w:p w14:paraId="504A27A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1F2C68D3">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6660CC80">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7092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6B2572B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continue"/>
            <w:noWrap w:val="0"/>
            <w:vAlign w:val="center"/>
          </w:tcPr>
          <w:p w14:paraId="54BB4FBB">
            <w:pPr>
              <w:widowControl w:val="0"/>
              <w:jc w:val="center"/>
              <w:rPr>
                <w:rFonts w:hint="eastAsia" w:ascii="仿宋_GB2312" w:hAnsi="仿宋_GB2312" w:eastAsia="仿宋_GB2312" w:cs="仿宋_GB2312"/>
                <w:sz w:val="32"/>
                <w:szCs w:val="32"/>
                <w:highlight w:val="none"/>
                <w:lang w:val="en-US" w:eastAsia="zh-CN"/>
              </w:rPr>
            </w:pPr>
          </w:p>
        </w:tc>
        <w:tc>
          <w:tcPr>
            <w:tcW w:w="3066" w:type="dxa"/>
            <w:shd w:val="clear" w:color="auto" w:fill="auto"/>
            <w:noWrap w:val="0"/>
            <w:vAlign w:val="center"/>
          </w:tcPr>
          <w:p w14:paraId="5D6BE364">
            <w:pPr>
              <w:keepNext w:val="0"/>
              <w:keepLines w:val="0"/>
              <w:widowControl/>
              <w:suppressLineNumbers w:val="0"/>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rPr>
              <w:t>5.实时位置监控：查询压缩箱实时状态；</w:t>
            </w:r>
          </w:p>
        </w:tc>
        <w:tc>
          <w:tcPr>
            <w:tcW w:w="2041" w:type="dxa"/>
            <w:noWrap w:val="0"/>
            <w:vAlign w:val="center"/>
          </w:tcPr>
          <w:p w14:paraId="7D057C2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3A377269">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C69544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7F70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65337F1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continue"/>
            <w:noWrap w:val="0"/>
            <w:vAlign w:val="center"/>
          </w:tcPr>
          <w:p w14:paraId="3F4F38E2">
            <w:pPr>
              <w:widowControl w:val="0"/>
              <w:jc w:val="center"/>
              <w:rPr>
                <w:rFonts w:hint="eastAsia" w:ascii="仿宋_GB2312" w:hAnsi="仿宋_GB2312" w:eastAsia="仿宋_GB2312" w:cs="仿宋_GB2312"/>
                <w:sz w:val="32"/>
                <w:szCs w:val="32"/>
                <w:highlight w:val="none"/>
                <w:lang w:val="en-US" w:eastAsia="zh-CN"/>
              </w:rPr>
            </w:pPr>
          </w:p>
        </w:tc>
        <w:tc>
          <w:tcPr>
            <w:tcW w:w="3066" w:type="dxa"/>
            <w:shd w:val="clear" w:color="auto" w:fill="auto"/>
            <w:noWrap w:val="0"/>
            <w:vAlign w:val="center"/>
          </w:tcPr>
          <w:p w14:paraId="6C780DE0">
            <w:pPr>
              <w:keepNext w:val="0"/>
              <w:keepLines w:val="0"/>
              <w:widowControl/>
              <w:suppressLineNumbers w:val="0"/>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rPr>
              <w:t>6.定时监控：可根据客户要求设置监控时间间隔；</w:t>
            </w:r>
          </w:p>
        </w:tc>
        <w:tc>
          <w:tcPr>
            <w:tcW w:w="2041" w:type="dxa"/>
            <w:noWrap w:val="0"/>
            <w:vAlign w:val="center"/>
          </w:tcPr>
          <w:p w14:paraId="523B6356">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39D1B04B">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70D90E6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r w14:paraId="61DB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91" w:type="dxa"/>
            <w:noWrap w:val="0"/>
            <w:vAlign w:val="center"/>
          </w:tcPr>
          <w:p w14:paraId="62C8045C">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307" w:type="dxa"/>
            <w:vMerge w:val="continue"/>
            <w:noWrap w:val="0"/>
            <w:vAlign w:val="center"/>
          </w:tcPr>
          <w:p w14:paraId="7E7BEC4A">
            <w:pPr>
              <w:widowControl w:val="0"/>
              <w:jc w:val="center"/>
              <w:rPr>
                <w:rFonts w:hint="eastAsia" w:ascii="仿宋_GB2312" w:hAnsi="仿宋_GB2312" w:eastAsia="仿宋_GB2312" w:cs="仿宋_GB2312"/>
                <w:sz w:val="32"/>
                <w:szCs w:val="32"/>
                <w:highlight w:val="none"/>
                <w:lang w:val="en-US" w:eastAsia="zh-CN"/>
              </w:rPr>
            </w:pPr>
          </w:p>
        </w:tc>
        <w:tc>
          <w:tcPr>
            <w:tcW w:w="3066" w:type="dxa"/>
            <w:shd w:val="clear" w:color="auto" w:fill="auto"/>
            <w:noWrap w:val="0"/>
            <w:vAlign w:val="center"/>
          </w:tcPr>
          <w:p w14:paraId="3C13A398">
            <w:pPr>
              <w:keepNext w:val="0"/>
              <w:keepLines w:val="0"/>
              <w:widowControl/>
              <w:suppressLineNumbers w:val="0"/>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eastAsia="仿宋_GB2312" w:cs="仿宋_GB2312"/>
                <w:b w:val="0"/>
                <w:bCs w:val="0"/>
                <w:color w:val="auto"/>
                <w:kern w:val="2"/>
                <w:sz w:val="21"/>
                <w:szCs w:val="21"/>
                <w:highlight w:val="none"/>
                <w:lang w:val="en-US" w:eastAsia="zh-CN"/>
              </w:rPr>
              <w:t>▲7.提供产品能够接入龙华区环卫监管平台、深圳市环卫全周期管理平台，数据上保持稳定有效，提供承诺函以及证明材料。</w:t>
            </w:r>
          </w:p>
        </w:tc>
        <w:tc>
          <w:tcPr>
            <w:tcW w:w="2041" w:type="dxa"/>
            <w:noWrap w:val="0"/>
            <w:vAlign w:val="center"/>
          </w:tcPr>
          <w:p w14:paraId="7231185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474" w:type="dxa"/>
            <w:noWrap w:val="0"/>
            <w:vAlign w:val="center"/>
          </w:tcPr>
          <w:p w14:paraId="69EBDAEA">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c>
          <w:tcPr>
            <w:tcW w:w="1134" w:type="dxa"/>
            <w:noWrap w:val="0"/>
            <w:vAlign w:val="center"/>
          </w:tcPr>
          <w:p w14:paraId="48DEFF04">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val="0"/>
                <w:bCs w:val="0"/>
                <w:color w:val="auto"/>
                <w:kern w:val="2"/>
                <w:sz w:val="28"/>
                <w:szCs w:val="28"/>
                <w:highlight w:val="none"/>
                <w:lang w:val="en-US" w:eastAsia="zh-CN"/>
              </w:rPr>
            </w:pPr>
          </w:p>
        </w:tc>
      </w:tr>
    </w:tbl>
    <w:p w14:paraId="34463AA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楷体_GB2312" w:hAnsi="楷体_GB2312" w:eastAsia="楷体_GB2312" w:cs="楷体_GB2312"/>
          <w:sz w:val="24"/>
          <w:szCs w:val="24"/>
          <w:highlight w:val="none"/>
          <w:lang w:val="en-US" w:eastAsia="zh-CN"/>
        </w:rPr>
      </w:pPr>
      <w:r>
        <w:rPr>
          <w:rFonts w:hint="eastAsia" w:ascii="仿宋" w:hAnsi="仿宋" w:eastAsia="仿宋" w:cs="仿宋"/>
          <w:sz w:val="24"/>
          <w:szCs w:val="24"/>
          <w:highlight w:val="none"/>
          <w:lang w:val="en-US" w:eastAsia="zh-CN"/>
        </w:rPr>
        <w:t>注：带▲符合的为重点技术参数。根据技术参数指标，投标人应后附</w:t>
      </w:r>
      <w:r>
        <w:rPr>
          <w:rFonts w:hint="eastAsia" w:ascii="仿宋" w:hAnsi="仿宋" w:eastAsia="仿宋" w:cs="仿宋"/>
          <w:b/>
          <w:bCs w:val="0"/>
          <w:sz w:val="24"/>
          <w:szCs w:val="24"/>
          <w:highlight w:val="none"/>
          <w:lang w:val="en-US" w:eastAsia="zh-CN"/>
        </w:rPr>
        <w:t>工信部公告参数报告或截图</w:t>
      </w:r>
      <w:r>
        <w:rPr>
          <w:rFonts w:hint="eastAsia" w:ascii="仿宋" w:hAnsi="仿宋" w:eastAsia="仿宋" w:cs="仿宋"/>
          <w:b/>
          <w:bCs/>
          <w:sz w:val="24"/>
          <w:szCs w:val="24"/>
          <w:highlight w:val="none"/>
          <w:lang w:val="en-US" w:eastAsia="zh-CN"/>
        </w:rPr>
        <w:t>，并在相应参数处做重点标注（</w:t>
      </w:r>
      <w:r>
        <w:rPr>
          <w:rFonts w:hint="eastAsia" w:ascii="仿宋" w:hAnsi="仿宋" w:eastAsia="仿宋" w:cs="仿宋"/>
          <w:sz w:val="24"/>
          <w:szCs w:val="24"/>
          <w:highlight w:val="none"/>
          <w:lang w:val="en-US" w:eastAsia="zh-CN"/>
        </w:rPr>
        <w:t>单北斗芯片须通过国家通信专业机构实验检测认证，提供认证证书</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，若工信部公告未体现的参数，投标人应提供第三方机构检测报告进行证明，否则视为不满足。</w:t>
      </w:r>
    </w:p>
    <w:p w14:paraId="28FBD42B">
      <w:pPr>
        <w:pStyle w:val="8"/>
        <w:rPr>
          <w:rFonts w:hint="eastAsia"/>
          <w:lang w:val="en-US" w:eastAsia="zh-CN"/>
        </w:rPr>
        <w:sectPr>
          <w:pgSz w:w="11906" w:h="16838"/>
          <w:pgMar w:top="2098" w:right="1417" w:bottom="1984" w:left="1587" w:header="851" w:footer="992" w:gutter="0"/>
          <w:cols w:space="425" w:num="1"/>
          <w:docGrid w:type="lines" w:linePitch="312" w:charSpace="0"/>
        </w:sectPr>
      </w:pPr>
    </w:p>
    <w:p w14:paraId="0F360D82">
      <w:pPr>
        <w:pStyle w:val="8"/>
        <w:ind w:left="0" w:leftChars="0" w:firstLine="0" w:firstLineChars="0"/>
        <w:rPr>
          <w:rFonts w:hint="eastAsia"/>
          <w:highlight w:val="none"/>
          <w:lang w:val="en-US" w:eastAsia="zh-CN"/>
        </w:rPr>
      </w:pPr>
      <w:r>
        <w:rPr>
          <w:rFonts w:hint="eastAsia" w:ascii="楷体_GB2312" w:hAnsi="楷体_GB2312" w:eastAsia="楷体_GB2312" w:cs="楷体_GB2312"/>
          <w:sz w:val="32"/>
          <w:szCs w:val="32"/>
          <w:highlight w:val="none"/>
          <w:lang w:val="en-US" w:eastAsia="zh-CN"/>
        </w:rPr>
        <w:t>8.投标报价一览表</w:t>
      </w:r>
    </w:p>
    <w:p w14:paraId="5AB5DF44">
      <w:pPr>
        <w:pStyle w:val="4"/>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7BFC68C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b/>
          <w:bCs/>
          <w:sz w:val="32"/>
          <w:szCs w:val="32"/>
          <w:highlight w:val="none"/>
          <w:u w:val="single"/>
        </w:rPr>
        <w:t>深圳市龙华环境有限公司龙华街道城市管家项目智能终端设备</w:t>
      </w:r>
      <w:r>
        <w:rPr>
          <w:rFonts w:hint="eastAsia" w:ascii="仿宋_GB2312" w:hAnsi="仿宋_GB2312" w:eastAsia="仿宋_GB2312" w:cs="仿宋_GB2312"/>
          <w:b/>
          <w:bCs/>
          <w:sz w:val="32"/>
          <w:szCs w:val="32"/>
          <w:highlight w:val="none"/>
          <w:u w:val="single"/>
          <w:lang w:eastAsia="zh-CN"/>
        </w:rPr>
        <w:t>（</w:t>
      </w:r>
      <w:r>
        <w:rPr>
          <w:rFonts w:hint="eastAsia" w:ascii="仿宋_GB2312" w:hAnsi="仿宋_GB2312" w:eastAsia="仿宋_GB2312" w:cs="仿宋_GB2312"/>
          <w:b/>
          <w:bCs/>
          <w:sz w:val="32"/>
          <w:szCs w:val="32"/>
          <w:highlight w:val="none"/>
          <w:u w:val="single"/>
          <w:lang w:val="en-US" w:eastAsia="zh-CN"/>
        </w:rPr>
        <w:t>服务</w:t>
      </w:r>
      <w:r>
        <w:rPr>
          <w:rFonts w:hint="eastAsia" w:ascii="仿宋_GB2312" w:hAnsi="仿宋_GB2312" w:eastAsia="仿宋_GB2312" w:cs="仿宋_GB2312"/>
          <w:b/>
          <w:bCs/>
          <w:sz w:val="32"/>
          <w:szCs w:val="32"/>
          <w:highlight w:val="none"/>
          <w:u w:val="single"/>
          <w:lang w:eastAsia="zh-CN"/>
        </w:rPr>
        <w:t>）</w:t>
      </w:r>
      <w:r>
        <w:rPr>
          <w:rFonts w:hint="eastAsia" w:ascii="仿宋_GB2312" w:hAnsi="仿宋_GB2312" w:eastAsia="仿宋_GB2312" w:cs="仿宋_GB2312"/>
          <w:b/>
          <w:bCs/>
          <w:sz w:val="32"/>
          <w:szCs w:val="32"/>
          <w:highlight w:val="none"/>
          <w:u w:val="single"/>
        </w:rPr>
        <w:t>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的报价见下表所列：</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1"/>
        <w:gridCol w:w="866"/>
        <w:gridCol w:w="1529"/>
        <w:gridCol w:w="1056"/>
        <w:gridCol w:w="1622"/>
        <w:gridCol w:w="1574"/>
      </w:tblGrid>
      <w:tr w14:paraId="2099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30" w:type="pct"/>
            <w:gridSpan w:val="2"/>
            <w:noWrap w:val="0"/>
            <w:vAlign w:val="center"/>
          </w:tcPr>
          <w:p w14:paraId="6FA636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采购项目</w:t>
            </w:r>
          </w:p>
        </w:tc>
        <w:tc>
          <w:tcPr>
            <w:tcW w:w="838" w:type="pct"/>
            <w:noWrap w:val="0"/>
            <w:vAlign w:val="center"/>
          </w:tcPr>
          <w:p w14:paraId="47D30E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含税投标单价</w:t>
            </w:r>
          </w:p>
          <w:p w14:paraId="6F0EB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rPr>
              <w:t>（元</w:t>
            </w:r>
            <w:r>
              <w:rPr>
                <w:rFonts w:hint="eastAsia" w:ascii="仿宋_GB2312" w:hAnsi="仿宋_GB2312" w:eastAsia="仿宋_GB2312" w:cs="仿宋_GB2312"/>
                <w:b/>
                <w:bCs/>
                <w:sz w:val="28"/>
                <w:szCs w:val="28"/>
                <w:highlight w:val="none"/>
                <w:lang w:val="en-US" w:eastAsia="zh-CN"/>
              </w:rPr>
              <w:t>/台</w:t>
            </w:r>
            <w:r>
              <w:rPr>
                <w:rFonts w:hint="eastAsia" w:ascii="仿宋_GB2312" w:hAnsi="仿宋_GB2312" w:eastAsia="仿宋_GB2312" w:cs="仿宋_GB2312"/>
                <w:b/>
                <w:bCs/>
                <w:sz w:val="28"/>
                <w:szCs w:val="28"/>
                <w:highlight w:val="none"/>
              </w:rPr>
              <w:t>）</w:t>
            </w:r>
          </w:p>
        </w:tc>
        <w:tc>
          <w:tcPr>
            <w:tcW w:w="579" w:type="pct"/>
            <w:noWrap w:val="0"/>
            <w:vAlign w:val="center"/>
          </w:tcPr>
          <w:p w14:paraId="658D65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数量</w:t>
            </w:r>
          </w:p>
          <w:p w14:paraId="4FA95B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（台）</w:t>
            </w:r>
          </w:p>
        </w:tc>
        <w:tc>
          <w:tcPr>
            <w:tcW w:w="889" w:type="pct"/>
            <w:noWrap w:val="0"/>
            <w:vAlign w:val="center"/>
          </w:tcPr>
          <w:p w14:paraId="5CAD5F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含税</w:t>
            </w:r>
            <w:r>
              <w:rPr>
                <w:rFonts w:hint="eastAsia" w:ascii="仿宋_GB2312" w:hAnsi="仿宋_GB2312" w:eastAsia="仿宋_GB2312" w:cs="仿宋_GB2312"/>
                <w:b/>
                <w:bCs/>
                <w:sz w:val="28"/>
                <w:szCs w:val="28"/>
                <w:highlight w:val="none"/>
              </w:rPr>
              <w:t>投标</w:t>
            </w:r>
            <w:r>
              <w:rPr>
                <w:rFonts w:hint="eastAsia" w:ascii="仿宋_GB2312" w:hAnsi="仿宋_GB2312" w:eastAsia="仿宋_GB2312" w:cs="仿宋_GB2312"/>
                <w:b/>
                <w:bCs/>
                <w:sz w:val="28"/>
                <w:szCs w:val="28"/>
                <w:highlight w:val="none"/>
                <w:lang w:val="en-US" w:eastAsia="zh-CN"/>
              </w:rPr>
              <w:t>总</w:t>
            </w:r>
            <w:r>
              <w:rPr>
                <w:rFonts w:hint="eastAsia" w:ascii="仿宋_GB2312" w:hAnsi="仿宋_GB2312" w:eastAsia="仿宋_GB2312" w:cs="仿宋_GB2312"/>
                <w:b/>
                <w:bCs/>
                <w:sz w:val="28"/>
                <w:szCs w:val="28"/>
                <w:highlight w:val="none"/>
              </w:rPr>
              <w:t>价</w:t>
            </w:r>
          </w:p>
          <w:p w14:paraId="4C3005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（元）</w:t>
            </w:r>
          </w:p>
        </w:tc>
        <w:tc>
          <w:tcPr>
            <w:tcW w:w="862" w:type="pct"/>
            <w:noWrap w:val="0"/>
            <w:vAlign w:val="center"/>
          </w:tcPr>
          <w:p w14:paraId="6DFE6F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w:t>
            </w:r>
          </w:p>
        </w:tc>
      </w:tr>
      <w:tr w14:paraId="52A3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1355" w:type="pct"/>
            <w:vMerge w:val="restart"/>
            <w:noWrap w:val="0"/>
            <w:vAlign w:val="center"/>
          </w:tcPr>
          <w:p w14:paraId="6D031F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sz w:val="32"/>
                <w:szCs w:val="32"/>
                <w:highlight w:val="none"/>
                <w:lang w:val="en-US" w:eastAsia="zh-CN"/>
              </w:rPr>
              <w:t>单北斗人员工牌设备及配套服务</w:t>
            </w:r>
          </w:p>
        </w:tc>
        <w:tc>
          <w:tcPr>
            <w:tcW w:w="475" w:type="pct"/>
            <w:noWrap w:val="0"/>
            <w:vAlign w:val="center"/>
          </w:tcPr>
          <w:p w14:paraId="222A92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采购价</w:t>
            </w:r>
          </w:p>
        </w:tc>
        <w:tc>
          <w:tcPr>
            <w:tcW w:w="838" w:type="pct"/>
            <w:noWrap w:val="0"/>
            <w:vAlign w:val="center"/>
          </w:tcPr>
          <w:p w14:paraId="48576A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highlight w:val="none"/>
                <w:lang w:val="en-US" w:eastAsia="zh-CN"/>
              </w:rPr>
            </w:pPr>
          </w:p>
        </w:tc>
        <w:tc>
          <w:tcPr>
            <w:tcW w:w="579" w:type="pct"/>
            <w:vMerge w:val="restart"/>
            <w:noWrap w:val="0"/>
            <w:vAlign w:val="center"/>
          </w:tcPr>
          <w:p w14:paraId="7EF4EE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1210</w:t>
            </w:r>
          </w:p>
        </w:tc>
        <w:tc>
          <w:tcPr>
            <w:tcW w:w="889" w:type="pct"/>
            <w:noWrap w:val="0"/>
            <w:vAlign w:val="center"/>
          </w:tcPr>
          <w:p w14:paraId="22A39C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p>
        </w:tc>
        <w:tc>
          <w:tcPr>
            <w:tcW w:w="862" w:type="pct"/>
            <w:vMerge w:val="restart"/>
            <w:noWrap w:val="0"/>
            <w:vAlign w:val="center"/>
          </w:tcPr>
          <w:p w14:paraId="50A5E8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kern w:val="0"/>
                <w:sz w:val="28"/>
                <w:szCs w:val="28"/>
                <w:lang w:val="en-US" w:eastAsia="zh-CN"/>
              </w:rPr>
              <w:t>增值税率：</w:t>
            </w:r>
            <w:r>
              <w:rPr>
                <w:rFonts w:hint="eastAsia" w:ascii="仿宋_GB2312" w:hAnsi="仿宋_GB2312" w:eastAsia="仿宋_GB2312" w:cs="仿宋_GB2312"/>
                <w:kern w:val="0"/>
                <w:sz w:val="28"/>
                <w:szCs w:val="28"/>
                <w:lang w:val="en-US" w:eastAsia="zh-CN"/>
              </w:rPr>
              <w:br w:type="textWrapping"/>
            </w:r>
            <w:r>
              <w:rPr>
                <w:rFonts w:hint="eastAsia" w:ascii="仿宋_GB2312" w:hAnsi="仿宋_GB2312" w:eastAsia="仿宋_GB2312" w:cs="仿宋_GB2312"/>
                <w:bCs/>
                <w:kern w:val="2"/>
                <w:sz w:val="28"/>
                <w:szCs w:val="28"/>
                <w:u w:val="single"/>
                <w:lang w:val="en-US" w:eastAsia="zh-CN" w:bidi="ar-SA"/>
              </w:rPr>
              <w:t xml:space="preserve">        </w:t>
            </w:r>
            <w:r>
              <w:rPr>
                <w:rFonts w:hint="eastAsia" w:ascii="仿宋_GB2312" w:hAnsi="仿宋_GB2312" w:eastAsia="仿宋_GB2312" w:cs="仿宋_GB2312"/>
                <w:bCs/>
                <w:kern w:val="2"/>
                <w:sz w:val="28"/>
                <w:szCs w:val="28"/>
                <w:lang w:val="en-US" w:eastAsia="zh-CN" w:bidi="ar-SA"/>
              </w:rPr>
              <w:t>%</w:t>
            </w:r>
          </w:p>
        </w:tc>
      </w:tr>
      <w:tr w14:paraId="4EAE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355" w:type="pct"/>
            <w:vMerge w:val="continue"/>
            <w:noWrap w:val="0"/>
            <w:vAlign w:val="center"/>
          </w:tcPr>
          <w:p w14:paraId="602E00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8"/>
                <w:szCs w:val="28"/>
                <w:highlight w:val="none"/>
                <w:lang w:val="en-US" w:eastAsia="zh-CN"/>
              </w:rPr>
            </w:pPr>
          </w:p>
        </w:tc>
        <w:tc>
          <w:tcPr>
            <w:tcW w:w="475" w:type="pct"/>
            <w:noWrap w:val="0"/>
            <w:vAlign w:val="center"/>
          </w:tcPr>
          <w:p w14:paraId="497CCB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服务费</w:t>
            </w:r>
          </w:p>
        </w:tc>
        <w:tc>
          <w:tcPr>
            <w:tcW w:w="838" w:type="pct"/>
            <w:noWrap w:val="0"/>
            <w:vAlign w:val="center"/>
          </w:tcPr>
          <w:p w14:paraId="585F07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highlight w:val="none"/>
                <w:lang w:val="en-US" w:eastAsia="zh-CN"/>
              </w:rPr>
            </w:pPr>
          </w:p>
        </w:tc>
        <w:tc>
          <w:tcPr>
            <w:tcW w:w="579" w:type="pct"/>
            <w:vMerge w:val="continue"/>
            <w:noWrap w:val="0"/>
            <w:vAlign w:val="center"/>
          </w:tcPr>
          <w:p w14:paraId="0E28DB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val="0"/>
                <w:bCs w:val="0"/>
                <w:sz w:val="28"/>
                <w:szCs w:val="28"/>
                <w:highlight w:val="none"/>
                <w:lang w:val="en-US" w:eastAsia="zh-CN"/>
              </w:rPr>
            </w:pPr>
          </w:p>
        </w:tc>
        <w:tc>
          <w:tcPr>
            <w:tcW w:w="889" w:type="pct"/>
            <w:noWrap w:val="0"/>
            <w:vAlign w:val="center"/>
          </w:tcPr>
          <w:p w14:paraId="06C54E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highlight w:val="none"/>
                <w:lang w:val="en-US" w:eastAsia="zh-CN"/>
              </w:rPr>
            </w:pPr>
          </w:p>
        </w:tc>
        <w:tc>
          <w:tcPr>
            <w:tcW w:w="862" w:type="pct"/>
            <w:vMerge w:val="continue"/>
            <w:noWrap w:val="0"/>
            <w:vAlign w:val="center"/>
          </w:tcPr>
          <w:p w14:paraId="03C2E8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sz w:val="28"/>
                <w:szCs w:val="28"/>
                <w:highlight w:val="none"/>
                <w:lang w:val="en-US" w:eastAsia="zh-CN"/>
              </w:rPr>
            </w:pPr>
          </w:p>
        </w:tc>
      </w:tr>
      <w:tr w14:paraId="7146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center"/>
        </w:trPr>
        <w:tc>
          <w:tcPr>
            <w:tcW w:w="1355" w:type="pct"/>
            <w:vMerge w:val="restart"/>
            <w:noWrap w:val="0"/>
            <w:vAlign w:val="center"/>
          </w:tcPr>
          <w:p w14:paraId="0F2F49A7">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highlight w:val="none"/>
                <w:lang w:val="en-US" w:eastAsia="zh-CN"/>
              </w:rPr>
              <w:t>单北斗压缩箱智能终端及配套服务</w:t>
            </w:r>
          </w:p>
        </w:tc>
        <w:tc>
          <w:tcPr>
            <w:tcW w:w="475" w:type="pct"/>
            <w:shd w:val="clear" w:color="auto" w:fill="auto"/>
            <w:noWrap w:val="0"/>
            <w:vAlign w:val="center"/>
          </w:tcPr>
          <w:p w14:paraId="55A359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采购价</w:t>
            </w:r>
          </w:p>
        </w:tc>
        <w:tc>
          <w:tcPr>
            <w:tcW w:w="838" w:type="pct"/>
            <w:noWrap w:val="0"/>
            <w:vAlign w:val="center"/>
          </w:tcPr>
          <w:p w14:paraId="0FAA8C67">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0"/>
                <w:sz w:val="28"/>
                <w:szCs w:val="28"/>
                <w:lang w:val="en-US" w:eastAsia="zh-CN"/>
              </w:rPr>
            </w:pPr>
          </w:p>
        </w:tc>
        <w:tc>
          <w:tcPr>
            <w:tcW w:w="579" w:type="pct"/>
            <w:vMerge w:val="restart"/>
            <w:noWrap w:val="0"/>
            <w:vAlign w:val="center"/>
          </w:tcPr>
          <w:p w14:paraId="3FC824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64</w:t>
            </w:r>
          </w:p>
        </w:tc>
        <w:tc>
          <w:tcPr>
            <w:tcW w:w="889" w:type="pct"/>
            <w:noWrap w:val="0"/>
            <w:vAlign w:val="center"/>
          </w:tcPr>
          <w:p w14:paraId="48A11DBC">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8"/>
                <w:szCs w:val="28"/>
                <w:lang w:val="en-US" w:eastAsia="zh-CN"/>
              </w:rPr>
            </w:pPr>
          </w:p>
        </w:tc>
        <w:tc>
          <w:tcPr>
            <w:tcW w:w="862" w:type="pct"/>
            <w:vMerge w:val="continue"/>
            <w:noWrap w:val="0"/>
            <w:vAlign w:val="center"/>
          </w:tcPr>
          <w:p w14:paraId="38DEA4B0">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0"/>
                <w:sz w:val="28"/>
                <w:szCs w:val="28"/>
                <w:lang w:val="en-US" w:eastAsia="zh-CN"/>
              </w:rPr>
            </w:pPr>
          </w:p>
        </w:tc>
      </w:tr>
      <w:tr w14:paraId="61A4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5" w:type="pct"/>
            <w:vMerge w:val="continue"/>
            <w:shd w:val="clear" w:color="auto" w:fill="auto"/>
            <w:noWrap w:val="0"/>
            <w:vAlign w:val="center"/>
          </w:tcPr>
          <w:p w14:paraId="47247A70">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2"/>
                <w:sz w:val="28"/>
                <w:szCs w:val="28"/>
                <w:highlight w:val="none"/>
                <w:lang w:val="en-US" w:eastAsia="zh-CN" w:bidi="ar-SA"/>
              </w:rPr>
            </w:pPr>
          </w:p>
        </w:tc>
        <w:tc>
          <w:tcPr>
            <w:tcW w:w="475" w:type="pct"/>
            <w:shd w:val="clear" w:color="auto" w:fill="auto"/>
            <w:noWrap w:val="0"/>
            <w:vAlign w:val="center"/>
          </w:tcPr>
          <w:p w14:paraId="1A00DC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rPr>
              <w:t>服务费</w:t>
            </w:r>
          </w:p>
        </w:tc>
        <w:tc>
          <w:tcPr>
            <w:tcW w:w="838" w:type="pct"/>
            <w:noWrap w:val="0"/>
            <w:vAlign w:val="center"/>
          </w:tcPr>
          <w:p w14:paraId="63959912">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28"/>
                <w:szCs w:val="28"/>
                <w:lang w:val="en-US" w:eastAsia="zh-CN" w:bidi="ar-SA"/>
              </w:rPr>
            </w:pPr>
          </w:p>
        </w:tc>
        <w:tc>
          <w:tcPr>
            <w:tcW w:w="579" w:type="pct"/>
            <w:vMerge w:val="continue"/>
            <w:noWrap w:val="0"/>
            <w:vAlign w:val="center"/>
          </w:tcPr>
          <w:p w14:paraId="4F8343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8"/>
                <w:szCs w:val="28"/>
                <w:highlight w:val="none"/>
                <w:lang w:val="en-US" w:eastAsia="zh-CN"/>
              </w:rPr>
            </w:pPr>
          </w:p>
        </w:tc>
        <w:tc>
          <w:tcPr>
            <w:tcW w:w="889" w:type="pct"/>
            <w:noWrap w:val="0"/>
            <w:vAlign w:val="center"/>
          </w:tcPr>
          <w:p w14:paraId="26CCD2B4">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28"/>
                <w:szCs w:val="28"/>
                <w:lang w:val="en-US" w:eastAsia="zh-CN" w:bidi="ar-SA"/>
              </w:rPr>
            </w:pPr>
          </w:p>
        </w:tc>
        <w:tc>
          <w:tcPr>
            <w:tcW w:w="862" w:type="pct"/>
            <w:vMerge w:val="continue"/>
            <w:noWrap w:val="0"/>
            <w:vAlign w:val="center"/>
          </w:tcPr>
          <w:p w14:paraId="795F0332">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28"/>
                <w:szCs w:val="28"/>
                <w:lang w:val="en-US" w:eastAsia="zh-CN" w:bidi="ar-SA"/>
              </w:rPr>
            </w:pPr>
          </w:p>
        </w:tc>
      </w:tr>
      <w:tr w14:paraId="250F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0" w:type="pct"/>
            <w:gridSpan w:val="2"/>
            <w:shd w:val="clear" w:color="auto" w:fill="auto"/>
            <w:noWrap w:val="0"/>
            <w:vAlign w:val="center"/>
          </w:tcPr>
          <w:p w14:paraId="4DA01443">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总价合计（万元）</w:t>
            </w:r>
          </w:p>
        </w:tc>
        <w:tc>
          <w:tcPr>
            <w:tcW w:w="3169" w:type="pct"/>
            <w:gridSpan w:val="4"/>
            <w:noWrap w:val="0"/>
            <w:vAlign w:val="center"/>
          </w:tcPr>
          <w:p w14:paraId="6DA15DF8">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kern w:val="2"/>
                <w:sz w:val="28"/>
                <w:szCs w:val="28"/>
                <w:lang w:val="en-US" w:eastAsia="zh-CN" w:bidi="ar-SA"/>
              </w:rPr>
            </w:pPr>
          </w:p>
        </w:tc>
      </w:tr>
      <w:tr w14:paraId="2B8D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830" w:type="pct"/>
            <w:gridSpan w:val="2"/>
            <w:shd w:val="clear" w:color="auto" w:fill="auto"/>
            <w:noWrap w:val="0"/>
            <w:vAlign w:val="center"/>
          </w:tcPr>
          <w:p w14:paraId="4BA76E72">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招标上限价（万元）</w:t>
            </w:r>
          </w:p>
        </w:tc>
        <w:tc>
          <w:tcPr>
            <w:tcW w:w="3169" w:type="pct"/>
            <w:gridSpan w:val="4"/>
            <w:shd w:val="clear" w:color="auto" w:fill="auto"/>
            <w:noWrap w:val="0"/>
            <w:vAlign w:val="center"/>
          </w:tcPr>
          <w:p w14:paraId="69ABB3A9">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99.826</w:t>
            </w:r>
          </w:p>
        </w:tc>
      </w:tr>
    </w:tbl>
    <w:p w14:paraId="3DB11B22">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31922C6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（1）如投标人提供的增值税专用发票税率不同时，则以不含增值税报价为最终评标价格（该评标价格仅作为评标时的依据，不能作为中标价格）。</w:t>
      </w:r>
    </w:p>
    <w:p w14:paraId="4E1C721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（2）本项目采用固定单价合同，投标报价总价不得超过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18EB183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以上报价包括供货方设计、标配工具、运输费、运输保险、调试、培训、质保期服务、购置税及其他各项税费等。包含语音交互要求，且设备要求能够接入龙华区相关环卫管理系统（平台）及城管智慧化管理平台，并确保在网时间不少于一年。</w:t>
      </w:r>
    </w:p>
    <w:p w14:paraId="3A34546D">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楷体_GB2312" w:hAnsi="楷体_GB2312" w:eastAsia="楷体_GB2312" w:cs="楷体_GB2312"/>
          <w:sz w:val="32"/>
          <w:szCs w:val="32"/>
          <w:highlight w:val="none"/>
          <w:lang w:val="en-US" w:eastAsia="zh-CN"/>
        </w:rPr>
      </w:pPr>
      <w:r>
        <w:rPr>
          <w:rFonts w:hint="eastAsia" w:ascii="仿宋" w:hAnsi="仿宋" w:eastAsia="仿宋" w:cs="仿宋"/>
          <w:b/>
          <w:bCs/>
          <w:sz w:val="24"/>
          <w:szCs w:val="24"/>
          <w:highlight w:val="none"/>
          <w:lang w:val="en-US" w:eastAsia="zh-CN"/>
        </w:rPr>
        <w:t>（4）如采购人接受本投标人的投标，本投标人将保证遵循国家和省、市相关法律、法规的要求和公告要求完成相关工作。在正式的合同协议制定和签署前，本报价连同采购人的中标通知书应为约束贵司、我双方的合同文件。</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F61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8503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285033">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248A"/>
    <w:multiLevelType w:val="singleLevel"/>
    <w:tmpl w:val="5E5C24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0601"/>
    <w:rsid w:val="011F73B2"/>
    <w:rsid w:val="10471133"/>
    <w:rsid w:val="17350D7B"/>
    <w:rsid w:val="19F12D60"/>
    <w:rsid w:val="1AC2453B"/>
    <w:rsid w:val="1B8B187A"/>
    <w:rsid w:val="1C2D64CB"/>
    <w:rsid w:val="1EFF7CD1"/>
    <w:rsid w:val="20042C9E"/>
    <w:rsid w:val="20E25A74"/>
    <w:rsid w:val="27E91EF6"/>
    <w:rsid w:val="29DD1B12"/>
    <w:rsid w:val="39E63965"/>
    <w:rsid w:val="3FD54CB2"/>
    <w:rsid w:val="45BE7BC4"/>
    <w:rsid w:val="4ACD0890"/>
    <w:rsid w:val="4BE27EEC"/>
    <w:rsid w:val="4EB52EAD"/>
    <w:rsid w:val="4F2F2A4B"/>
    <w:rsid w:val="59654212"/>
    <w:rsid w:val="6732388D"/>
    <w:rsid w:val="70B14A45"/>
    <w:rsid w:val="70D6146D"/>
    <w:rsid w:val="728D4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firstLineChars="200"/>
    </w:pPr>
  </w:style>
  <w:style w:type="paragraph" w:styleId="4">
    <w:name w:val="Plain Text"/>
    <w:basedOn w:val="1"/>
    <w:qFormat/>
    <w:uiPriority w:val="0"/>
    <w:rPr>
      <w:rFonts w:hAnsi="Courier New" w:cs="Courier New"/>
      <w:szCs w:val="21"/>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99"/>
    <w:pPr>
      <w:spacing w:after="120" w:line="240" w:lineRule="auto"/>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5077</Words>
  <Characters>5291</Characters>
  <Lines>0</Lines>
  <Paragraphs>0</Paragraphs>
  <TotalTime>13</TotalTime>
  <ScaleCrop>false</ScaleCrop>
  <LinksUpToDate>false</LinksUpToDate>
  <CharactersWithSpaces>5378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SBB</cp:lastModifiedBy>
  <dcterms:modified xsi:type="dcterms:W3CDTF">2025-09-25T08:54:14Z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eyJoZGlkIjoiNjc5MTlkNDZkNjliMzhkMjQzNDJkY2ViN2E2ZjVlYzUifQ==</vt:lpwstr>
  </property>
  <property fmtid="{D5CDD505-2E9C-101B-9397-08002B2CF9AE}" pid="4" name="ICV">
    <vt:lpwstr>C057CA60BBFF45C6AFE7836183E85E68_12</vt:lpwstr>
  </property>
</Properties>
</file>